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A08F8" w14:textId="77777777" w:rsidR="00FA3389" w:rsidRPr="00E23240" w:rsidRDefault="00FA3389" w:rsidP="00F61FD0">
      <w:pPr>
        <w:jc w:val="center"/>
        <w:rPr>
          <w:rFonts w:ascii="Garamond" w:hAnsi="Garamond"/>
          <w:b/>
          <w:sz w:val="24"/>
          <w:szCs w:val="24"/>
        </w:rPr>
      </w:pPr>
      <w:bookmarkStart w:id="0" w:name="_GoBack"/>
      <w:bookmarkEnd w:id="0"/>
      <w:r w:rsidRPr="00E23240">
        <w:rPr>
          <w:rFonts w:ascii="Garamond" w:hAnsi="Garamond"/>
          <w:b/>
          <w:sz w:val="24"/>
          <w:szCs w:val="24"/>
        </w:rPr>
        <w:t>EXPOSICIÓN DE MOTIVOS</w:t>
      </w:r>
    </w:p>
    <w:p w14:paraId="63E6E82F" w14:textId="77777777" w:rsidR="00FA3389" w:rsidRPr="00E23240" w:rsidRDefault="00FA3389" w:rsidP="00FA3389">
      <w:pPr>
        <w:jc w:val="both"/>
        <w:rPr>
          <w:rFonts w:ascii="Garamond" w:hAnsi="Garamond"/>
          <w:sz w:val="24"/>
          <w:szCs w:val="24"/>
        </w:rPr>
      </w:pPr>
      <w:r w:rsidRPr="00E23240">
        <w:rPr>
          <w:rFonts w:ascii="Garamond" w:hAnsi="Garamond"/>
          <w:sz w:val="24"/>
          <w:szCs w:val="24"/>
        </w:rPr>
        <w:t>Las personas lesbianas, gays, bisexuales, transgénero, intersexuales, con orientación sexual, identidad, expresión de género y características sexuales diversas (LGBTIQ+) pueden sufrir discriminación, persecución y violencia en todas sus actividades cotidianas.</w:t>
      </w:r>
    </w:p>
    <w:p w14:paraId="2C6647F7"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Varios son los países en que las relaciones entre personas del mismo sexo están criminalizadas, incluso castigadas con la muerte. Muchas personas LGBTIQ+ no tienen más remedio que buscar protección en otro lugar. Pero incluso en los países de asilo pueden enfrentar el estigma y el abuso. </w:t>
      </w:r>
    </w:p>
    <w:p w14:paraId="6AE38FFE"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En Ecuador, una de las principales fechas para el movimiento LGBTIQ+ es el 28 de junio de 1969, en la cual se reafirmó el sentimiento de orgullo sobre las identidades y orientaciones sexuales y de género tradicionalmente marginadas y reprimidas, y se visibilizó su presencia en la sociedad. </w:t>
      </w:r>
    </w:p>
    <w:p w14:paraId="3717E521"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la Constitución de 1998, artículo 23, número 3, se logró definir que: “[t]</w:t>
      </w:r>
      <w:r w:rsidRPr="00E23240">
        <w:rPr>
          <w:rFonts w:ascii="Garamond" w:hAnsi="Garamond"/>
          <w:i/>
          <w:sz w:val="24"/>
          <w:szCs w:val="24"/>
        </w:rPr>
        <w:t>odas las personas serán consideradas iguales y gozarán de los mismos derechos, libertades y oportunidades, sin discriminación en razón de nacimiento, edad, sexo, etnia, color, origen social, idioma, religión, filiación política, posición económica, orientación sexual</w:t>
      </w:r>
      <w:r w:rsidRPr="00E23240">
        <w:rPr>
          <w:rFonts w:ascii="Garamond" w:hAnsi="Garamond"/>
          <w:sz w:val="24"/>
          <w:szCs w:val="24"/>
        </w:rPr>
        <w:t xml:space="preserve">”. </w:t>
      </w:r>
    </w:p>
    <w:p w14:paraId="2ABE0585"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la Constitución de la República del Ecuador del año 2008  se plasmó en el artículo 11, número 2 que: “[t]</w:t>
      </w:r>
      <w:r w:rsidRPr="00E23240">
        <w:rPr>
          <w:rFonts w:ascii="Garamond" w:hAnsi="Garamond"/>
          <w:i/>
          <w:sz w:val="24"/>
          <w:szCs w:val="24"/>
        </w:rPr>
        <w:t>odas las personas son iguales y gozarán de los mismos derechos, deberes y oportunidades</w:t>
      </w:r>
      <w:r w:rsidRPr="00E23240">
        <w:rPr>
          <w:rFonts w:ascii="Garamond" w:hAnsi="Garamond"/>
          <w:sz w:val="24"/>
          <w:szCs w:val="24"/>
        </w:rPr>
        <w:t>.</w:t>
      </w:r>
    </w:p>
    <w:p w14:paraId="56E693AF" w14:textId="77777777" w:rsidR="00FA3389" w:rsidRPr="00E23240" w:rsidRDefault="00FA3389" w:rsidP="00FA3389">
      <w:pPr>
        <w:jc w:val="both"/>
        <w:rPr>
          <w:rFonts w:ascii="Garamond" w:hAnsi="Garamond"/>
          <w:i/>
          <w:sz w:val="24"/>
          <w:szCs w:val="24"/>
        </w:rPr>
      </w:pPr>
      <w:r w:rsidRPr="00E23240">
        <w:rPr>
          <w:rFonts w:ascii="Garamond" w:hAnsi="Garamond"/>
          <w:i/>
          <w:sz w:val="24"/>
          <w:szCs w:val="24"/>
        </w:rPr>
        <w:t xml:space="preserve">Nadie podrá ser discriminado por razones de etnia, lugar de nacimiento, edad, </w:t>
      </w:r>
      <w:r w:rsidRPr="00E23240">
        <w:rPr>
          <w:rFonts w:ascii="Garamond" w:hAnsi="Garamond"/>
          <w:b/>
          <w:i/>
          <w:sz w:val="24"/>
          <w:szCs w:val="24"/>
        </w:rPr>
        <w:t>sexo</w:t>
      </w:r>
      <w:r w:rsidRPr="00E23240">
        <w:rPr>
          <w:rFonts w:ascii="Garamond" w:hAnsi="Garamond"/>
          <w:i/>
          <w:sz w:val="24"/>
          <w:szCs w:val="24"/>
        </w:rPr>
        <w:t>,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p>
    <w:p w14:paraId="66BC8EA4" w14:textId="77777777" w:rsidR="00FA3389" w:rsidRPr="00E23240" w:rsidRDefault="00FA3389" w:rsidP="00FA3389">
      <w:pPr>
        <w:jc w:val="both"/>
        <w:rPr>
          <w:rFonts w:ascii="Garamond" w:hAnsi="Garamond"/>
          <w:sz w:val="24"/>
          <w:szCs w:val="24"/>
        </w:rPr>
      </w:pPr>
      <w:r w:rsidRPr="00E23240">
        <w:rPr>
          <w:rFonts w:ascii="Garamond" w:hAnsi="Garamond"/>
          <w:i/>
          <w:sz w:val="24"/>
          <w:szCs w:val="24"/>
        </w:rPr>
        <w:t>El Estado adoptará medidas de acción afirmativa que promuevan la igualdad real en favor de los titulares de derechos que se encuentren en situación de desigualdad</w:t>
      </w:r>
      <w:r w:rsidRPr="00E23240">
        <w:rPr>
          <w:rFonts w:ascii="Garamond" w:hAnsi="Garamond"/>
          <w:sz w:val="24"/>
          <w:szCs w:val="24"/>
        </w:rPr>
        <w:t>”. [Énfasis añadido]</w:t>
      </w:r>
    </w:p>
    <w:p w14:paraId="6AB92342" w14:textId="77777777" w:rsidR="00FA3389" w:rsidRPr="00E23240" w:rsidRDefault="00FA3389" w:rsidP="00FA3389">
      <w:pPr>
        <w:jc w:val="both"/>
        <w:rPr>
          <w:rFonts w:ascii="Garamond" w:hAnsi="Garamond"/>
          <w:sz w:val="24"/>
          <w:szCs w:val="24"/>
        </w:rPr>
      </w:pPr>
      <w:r w:rsidRPr="00E23240">
        <w:rPr>
          <w:rFonts w:ascii="Garamond" w:hAnsi="Garamond"/>
          <w:sz w:val="24"/>
          <w:szCs w:val="24"/>
        </w:rPr>
        <w:t>Así mismo, el artículo 66 de la norma ibídem: “</w:t>
      </w:r>
      <w:r w:rsidRPr="00E23240">
        <w:rPr>
          <w:rFonts w:ascii="Garamond" w:hAnsi="Garamond"/>
          <w:i/>
          <w:sz w:val="24"/>
          <w:szCs w:val="24"/>
        </w:rPr>
        <w:t>reconoce y garantiza a las personas el derecho a la inviolabilidad de la vida, no habrá pena de muerte. El derecho a la integridad personal que incluye integridad física, psíquica, moral y sexual</w:t>
      </w:r>
      <w:r w:rsidRPr="00E23240">
        <w:rPr>
          <w:rFonts w:ascii="Garamond" w:hAnsi="Garamond"/>
          <w:sz w:val="24"/>
          <w:szCs w:val="24"/>
        </w:rPr>
        <w:t xml:space="preserve">”; y en su artículo 67 reconoce la familia en sus diversos tipos. </w:t>
      </w:r>
    </w:p>
    <w:p w14:paraId="5B8A9A94"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Para el movimiento LGBTIQ+ es esencial haber conseguido en el año 2014 que el Código Orgánico Integral Penal (COIP) tipifique a la discriminación como delito y que los actos de odio (artículo 177) puedan tener una sanción con pena privativa de libertad de uno a tres años (COIP 2014); </w:t>
      </w:r>
    </w:p>
    <w:p w14:paraId="6F59066A" w14:textId="77777777" w:rsidR="00FA3389" w:rsidRPr="00E23240" w:rsidRDefault="00FA3389" w:rsidP="00FA3389">
      <w:pPr>
        <w:jc w:val="both"/>
        <w:rPr>
          <w:rFonts w:ascii="Garamond" w:hAnsi="Garamond"/>
          <w:sz w:val="24"/>
          <w:szCs w:val="24"/>
        </w:rPr>
      </w:pPr>
      <w:r w:rsidRPr="00E23240">
        <w:rPr>
          <w:rFonts w:ascii="Garamond" w:hAnsi="Garamond"/>
          <w:sz w:val="24"/>
          <w:szCs w:val="24"/>
        </w:rPr>
        <w:lastRenderedPageBreak/>
        <w:t>El artículo 76 señala de la norma ibídem señala: “[l]</w:t>
      </w:r>
      <w:r w:rsidRPr="00E23240">
        <w:rPr>
          <w:rFonts w:ascii="Garamond" w:hAnsi="Garamond"/>
          <w:i/>
          <w:sz w:val="24"/>
          <w:szCs w:val="24"/>
        </w:rPr>
        <w:t>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r w:rsidRPr="00E23240">
        <w:rPr>
          <w:rFonts w:ascii="Garamond" w:hAnsi="Garamond"/>
          <w:sz w:val="24"/>
          <w:szCs w:val="24"/>
        </w:rPr>
        <w:t xml:space="preserve">” (Código Orgánico Integral Penal – COIP, 2014). </w:t>
      </w:r>
    </w:p>
    <w:p w14:paraId="45580ADE" w14:textId="77777777" w:rsidR="00FA3389" w:rsidRPr="00E23240" w:rsidRDefault="00FA3389" w:rsidP="00FA3389">
      <w:pPr>
        <w:jc w:val="both"/>
        <w:rPr>
          <w:rFonts w:ascii="Garamond" w:hAnsi="Garamond"/>
          <w:sz w:val="24"/>
          <w:szCs w:val="24"/>
        </w:rPr>
      </w:pPr>
      <w:r w:rsidRPr="00E23240">
        <w:rPr>
          <w:rFonts w:ascii="Garamond" w:hAnsi="Garamond"/>
          <w:sz w:val="24"/>
          <w:szCs w:val="24"/>
        </w:rPr>
        <w:t>Otro elemento central para la población transgénero e intersexual es que en el año 2016 se aprobó la Ley Orgánica de Gestión de la Identidad y Datos Civiles que a través del artículo 78 posibilita el cambio de nombres; y, en el artículo 94 se señala que “</w:t>
      </w:r>
      <w:r w:rsidRPr="00E23240">
        <w:rPr>
          <w:rFonts w:ascii="Garamond" w:hAnsi="Garamond"/>
          <w:i/>
          <w:sz w:val="24"/>
          <w:szCs w:val="24"/>
        </w:rPr>
        <w:t>voluntariamente al cumplir la mayoría de edad y por una sola vez, la persona por autodeterminación podrá sustituir el campo sexo por el de género que puede ser masculino o femenino</w:t>
      </w:r>
      <w:r w:rsidRPr="00E23240">
        <w:rPr>
          <w:rFonts w:ascii="Garamond" w:hAnsi="Garamond"/>
          <w:sz w:val="24"/>
          <w:szCs w:val="24"/>
        </w:rPr>
        <w:t xml:space="preserve">” (2016). </w:t>
      </w:r>
    </w:p>
    <w:p w14:paraId="5DA5B1F3"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Recientemente, mediante sentencias No. 10-18-CN/19 y 11-18-CN/19 de 12 de junio de 2019, la Corte Constitucional dio paso al matrimonio entre personas del mismo sexo. </w:t>
      </w:r>
    </w:p>
    <w:p w14:paraId="38A8A62C"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El título VIII del Código Municipal para el Distrito Metropolitano de Quito instauró mecanismos que permitan afirmar el respeto de los derechos de todos los ciudadanos y ciudadanas, cualquiera sea su identidad, sexo genérica, dentro del territorio del Distrito Metropolitano de Quito; incluir políticas de acción afirmativa que logren la inclusión de las personas lesbianas, gays, bisexuales, transgéneros e intersexo (en adelante "LGBTIQ+"); y, eliminar la discriminación en función de la diversidad sexo-genérica, fortaleciendo el reconocimiento y la construcción de la identidad de género y orientación sexual desde temprana edad. </w:t>
      </w:r>
    </w:p>
    <w:p w14:paraId="38FBB93B"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A pesar de todos los logros y que el 27 de noviembre de 2022 se cumplen 25 años de la despenalización de la homosexualidad, es posible encontrar todavía problemáticas serias en el país como la existencia de clínicas de des - homosexualización. </w:t>
      </w:r>
    </w:p>
    <w:p w14:paraId="2BFDDEB5"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Por otro lado, la primera investigación sobre condiciones de vida e inclusión social de población LGBTIQ+ realizada en el año 2013 por el Instituto Nacional de Estadísticas y Censos de Ecuador (INEC) indica que el 70,9 % de las personas LGBTIQ+ han sido discriminadas, rechazadas y han vivido violencia por parte de sus familias, el 58 % de las personas LGBTIQ+ no tiene acceso a seguridad social. El 27.8 % gana 292 dólares (USD) o menos por mes. El 45.6 % tiene un ingreso entre USD $293 y USD $584 dólares mensuales. Un 5,9 % obtiene USD $1.168 dólares o más por mes (2013). </w:t>
      </w:r>
    </w:p>
    <w:p w14:paraId="45558A2A"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En el mismo estudio se menciona que el porcentaje de personas LGBTIQ+ que ha sufrido violencia en espacios públicos es del 52,1%, exclusión 71,4% y discriminación el 50,5%. Asimismo, el 27,3% indicó haber sufrido actos de violencia, de los cuales el 91,4% fue insultos, amenazas, gritos y burlas. </w:t>
      </w:r>
    </w:p>
    <w:p w14:paraId="7DA240E0" w14:textId="77777777" w:rsidR="00FA3389" w:rsidRPr="00E23240" w:rsidRDefault="00FA3389" w:rsidP="00FA3389">
      <w:pPr>
        <w:jc w:val="both"/>
        <w:rPr>
          <w:rFonts w:ascii="Garamond" w:hAnsi="Garamond"/>
          <w:sz w:val="24"/>
          <w:szCs w:val="24"/>
        </w:rPr>
      </w:pPr>
      <w:r w:rsidRPr="00E23240">
        <w:rPr>
          <w:rFonts w:ascii="Garamond" w:hAnsi="Garamond"/>
          <w:sz w:val="24"/>
          <w:szCs w:val="24"/>
        </w:rPr>
        <w:lastRenderedPageBreak/>
        <w:t>Con estos antecedentes y en miras de una ciudad inclusiva y libre de discriminación según lo establecido en la Ordenanza Municipal N° 001, Código Municipal, Libro II, del Eje Social, Libro II, 3 De la Cultura, artículo 717, establece que: el Concejo Metropolitano de Quito, otorgará cada año el premio "</w:t>
      </w:r>
      <w:r w:rsidRPr="00E23240">
        <w:rPr>
          <w:rFonts w:ascii="Garamond" w:hAnsi="Garamond"/>
          <w:i/>
          <w:sz w:val="24"/>
          <w:szCs w:val="24"/>
        </w:rPr>
        <w:t>Para la Comunidad LGBTIQ+" al miembro de la misma, que haya cumplido una labor destacada en la defensa de los derechos de su comunidad. Este premio será tramitado por la Comisión competente en materia de igualdad, género e inclusión social y se entregará en un acto especial, con ocasión del día internacional del orgullo LGBTIQ</w:t>
      </w:r>
      <w:r w:rsidRPr="00E23240">
        <w:rPr>
          <w:rFonts w:ascii="Garamond" w:hAnsi="Garamond"/>
          <w:sz w:val="24"/>
          <w:szCs w:val="24"/>
        </w:rPr>
        <w:t xml:space="preserve">+.” </w:t>
      </w:r>
    </w:p>
    <w:p w14:paraId="549FC67D" w14:textId="77777777" w:rsidR="00FA3389" w:rsidRPr="00E23240" w:rsidRDefault="00FA3389" w:rsidP="00FA3389">
      <w:pPr>
        <w:jc w:val="both"/>
        <w:rPr>
          <w:rFonts w:ascii="Garamond" w:hAnsi="Garamond"/>
          <w:sz w:val="24"/>
          <w:szCs w:val="24"/>
        </w:rPr>
      </w:pPr>
      <w:r w:rsidRPr="00E23240">
        <w:rPr>
          <w:rFonts w:ascii="Garamond" w:hAnsi="Garamond"/>
          <w:sz w:val="24"/>
          <w:szCs w:val="24"/>
        </w:rPr>
        <w:t>Mediante Resolución del Concejo Metropolitano de Quito No 123 de fecha 26 de febrero del 2013, en su artículo único se decide: “[d]</w:t>
      </w:r>
      <w:r w:rsidRPr="00E23240">
        <w:rPr>
          <w:rFonts w:ascii="Garamond" w:hAnsi="Garamond"/>
          <w:i/>
          <w:sz w:val="24"/>
          <w:szCs w:val="24"/>
        </w:rPr>
        <w:t>esignar con el nombre de ‘Patricio Brabomalo’ al premio “Para la Comunidad LGBTIQ+</w:t>
      </w:r>
      <w:r w:rsidRPr="00E23240">
        <w:rPr>
          <w:rFonts w:ascii="Garamond" w:hAnsi="Garamond"/>
          <w:sz w:val="24"/>
          <w:szCs w:val="24"/>
        </w:rPr>
        <w:t>” (…).</w:t>
      </w:r>
    </w:p>
    <w:p w14:paraId="108E7FA8" w14:textId="77777777" w:rsidR="00FA3389" w:rsidRPr="00E23240" w:rsidRDefault="00FA3389" w:rsidP="00FA3389">
      <w:pPr>
        <w:jc w:val="both"/>
        <w:rPr>
          <w:rFonts w:ascii="Garamond" w:hAnsi="Garamond"/>
          <w:sz w:val="24"/>
          <w:szCs w:val="24"/>
        </w:rPr>
      </w:pPr>
    </w:p>
    <w:p w14:paraId="45C40621"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EL CONCEJO METROPOLITANO DE QUITO</w:t>
      </w:r>
    </w:p>
    <w:p w14:paraId="0C2BFF60" w14:textId="77777777" w:rsidR="00FA3389" w:rsidRPr="00E23240" w:rsidRDefault="00FA3389" w:rsidP="00FA3389">
      <w:pPr>
        <w:jc w:val="both"/>
        <w:rPr>
          <w:rFonts w:ascii="Garamond" w:hAnsi="Garamond"/>
          <w:sz w:val="24"/>
          <w:szCs w:val="24"/>
        </w:rPr>
      </w:pPr>
      <w:r w:rsidRPr="00E23240">
        <w:rPr>
          <w:rFonts w:ascii="Garamond" w:hAnsi="Garamond"/>
          <w:sz w:val="24"/>
          <w:szCs w:val="24"/>
        </w:rPr>
        <w:t xml:space="preserve">Visto los Informes XXX de XX de X de 2022, expedidos por la Comisión de Igualdad, Género e Inclusión Social </w:t>
      </w:r>
    </w:p>
    <w:p w14:paraId="0EF0C21F"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CONSIDERANDO:</w:t>
      </w:r>
    </w:p>
    <w:p w14:paraId="4553D43C"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número 2 del artículo 11 de la Constitución de la República del Ecuador (en adelante “</w:t>
      </w:r>
      <w:r w:rsidRPr="00E23240">
        <w:rPr>
          <w:rFonts w:ascii="Garamond" w:hAnsi="Garamond"/>
          <w:b/>
          <w:sz w:val="24"/>
          <w:szCs w:val="24"/>
        </w:rPr>
        <w:t>Constitución</w:t>
      </w:r>
      <w:r w:rsidRPr="00E23240">
        <w:rPr>
          <w:rFonts w:ascii="Garamond" w:hAnsi="Garamond"/>
          <w:sz w:val="24"/>
          <w:szCs w:val="24"/>
        </w:rPr>
        <w:t>”) determina que: “…[t]</w:t>
      </w:r>
      <w:r w:rsidRPr="00E23240">
        <w:rPr>
          <w:rFonts w:ascii="Garamond" w:hAnsi="Garamond"/>
          <w:i/>
          <w:sz w:val="24"/>
          <w:szCs w:val="24"/>
        </w:rPr>
        <w: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w:t>
      </w:r>
      <w:r w:rsidR="00F61FD0" w:rsidRPr="00E23240">
        <w:rPr>
          <w:rFonts w:ascii="Garamond" w:hAnsi="Garamond"/>
          <w:i/>
          <w:sz w:val="24"/>
          <w:szCs w:val="24"/>
        </w:rPr>
        <w:t xml:space="preserve"> </w:t>
      </w:r>
      <w:r w:rsidRPr="00E23240">
        <w:rPr>
          <w:rFonts w:ascii="Garamond" w:hAnsi="Garamond"/>
          <w:i/>
          <w:sz w:val="24"/>
          <w:szCs w:val="24"/>
        </w:rPr>
        <w:t>(…)</w:t>
      </w:r>
      <w:r w:rsidR="00F61FD0" w:rsidRPr="00E23240">
        <w:rPr>
          <w:rFonts w:ascii="Garamond" w:hAnsi="Garamond"/>
          <w:sz w:val="24"/>
          <w:szCs w:val="24"/>
        </w:rPr>
        <w:t>.</w:t>
      </w:r>
      <w:r w:rsidRPr="00E23240">
        <w:rPr>
          <w:rFonts w:ascii="Garamond" w:hAnsi="Garamond"/>
          <w:sz w:val="24"/>
          <w:szCs w:val="24"/>
        </w:rPr>
        <w:t>”;</w:t>
      </w:r>
    </w:p>
    <w:p w14:paraId="3C01EBBF"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número 14 del artículo 83 de la Constitución establece que es deber y responsabilidad de las y los ecuatorianos: “</w:t>
      </w:r>
      <w:r w:rsidR="00F61FD0" w:rsidRPr="00E23240">
        <w:rPr>
          <w:rFonts w:ascii="Garamond" w:hAnsi="Garamond"/>
          <w:sz w:val="24"/>
          <w:szCs w:val="24"/>
        </w:rPr>
        <w:t>(</w:t>
      </w:r>
      <w:r w:rsidRPr="00E23240">
        <w:rPr>
          <w:rFonts w:ascii="Garamond" w:hAnsi="Garamond"/>
          <w:sz w:val="24"/>
          <w:szCs w:val="24"/>
        </w:rPr>
        <w:t>…</w:t>
      </w:r>
      <w:r w:rsidR="00F61FD0" w:rsidRPr="00E23240">
        <w:rPr>
          <w:rFonts w:ascii="Garamond" w:hAnsi="Garamond"/>
          <w:sz w:val="24"/>
          <w:szCs w:val="24"/>
        </w:rPr>
        <w:t>)</w:t>
      </w:r>
      <w:r w:rsidRPr="00E23240">
        <w:rPr>
          <w:rFonts w:ascii="Garamond" w:hAnsi="Garamond"/>
          <w:sz w:val="24"/>
          <w:szCs w:val="24"/>
        </w:rPr>
        <w:t xml:space="preserve"> </w:t>
      </w:r>
      <w:r w:rsidRPr="00E23240">
        <w:rPr>
          <w:rFonts w:ascii="Garamond" w:hAnsi="Garamond"/>
          <w:i/>
          <w:sz w:val="24"/>
          <w:szCs w:val="24"/>
        </w:rPr>
        <w:t>14. Respetar y reconocer las diferencias étnicas, nacionales, sociales, generacionales, de género y la orientación e identidad sexual</w:t>
      </w:r>
      <w:r w:rsidRPr="00E23240">
        <w:rPr>
          <w:rFonts w:ascii="Garamond" w:hAnsi="Garamond"/>
          <w:sz w:val="24"/>
          <w:szCs w:val="24"/>
        </w:rPr>
        <w:t xml:space="preserve"> (…);</w:t>
      </w:r>
    </w:p>
    <w:p w14:paraId="30BDD215"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el Concejo Metropolitano, mediante Ordenanza Metropolitana No. 224 sancionada el 11 de abril de 2012, reguló la entrega del premio “Para la Comunidad GLBTI”</w:t>
      </w:r>
    </w:p>
    <w:p w14:paraId="7D314558" w14:textId="77777777" w:rsidR="00FA3389" w:rsidRPr="00E23240" w:rsidRDefault="00FA3389" w:rsidP="00FA3389">
      <w:pPr>
        <w:jc w:val="both"/>
        <w:rPr>
          <w:rFonts w:ascii="Garamond" w:hAnsi="Garamond"/>
          <w:sz w:val="24"/>
          <w:szCs w:val="24"/>
        </w:rPr>
      </w:pPr>
      <w:r w:rsidRPr="00E23240">
        <w:rPr>
          <w:rFonts w:ascii="Garamond" w:hAnsi="Garamond"/>
          <w:sz w:val="24"/>
          <w:szCs w:val="24"/>
        </w:rPr>
        <w:t>Que, la Resolución del Concejo Metropolitano No. C123 sancionada el 26 de febrero de 2013, designó con el nombre de “Patricio Brabomalo” al premio “Para la Comunidad GLBTI” contemplado en la normativa metropolitana.</w:t>
      </w:r>
    </w:p>
    <w:p w14:paraId="663E3960" w14:textId="77777777" w:rsidR="00FA3389" w:rsidRPr="00E23240" w:rsidRDefault="00FA3389" w:rsidP="00FA3389">
      <w:pPr>
        <w:jc w:val="both"/>
        <w:rPr>
          <w:rFonts w:ascii="Garamond" w:hAnsi="Garamond"/>
          <w:sz w:val="24"/>
          <w:szCs w:val="24"/>
        </w:rPr>
      </w:pPr>
      <w:r w:rsidRPr="00E23240">
        <w:rPr>
          <w:rFonts w:ascii="Garamond" w:hAnsi="Garamond"/>
          <w:sz w:val="24"/>
          <w:szCs w:val="24"/>
        </w:rPr>
        <w:t>En ejercicio de sus atribuciones legales constantes en los artículos 240 y 264 números 1 y 2 de la Constitución de la República del Ecuador;</w:t>
      </w:r>
      <w:r w:rsidR="00F61FD0" w:rsidRPr="00E23240">
        <w:rPr>
          <w:rFonts w:ascii="Garamond" w:hAnsi="Garamond"/>
          <w:sz w:val="24"/>
          <w:szCs w:val="24"/>
        </w:rPr>
        <w:t xml:space="preserve"> artículos</w:t>
      </w:r>
      <w:r w:rsidRPr="00E23240">
        <w:rPr>
          <w:rFonts w:ascii="Garamond" w:hAnsi="Garamond"/>
          <w:sz w:val="24"/>
          <w:szCs w:val="24"/>
        </w:rPr>
        <w:t xml:space="preserve"> 87 letras a) y v), y 322 del Código Orgánico </w:t>
      </w:r>
      <w:r w:rsidRPr="00E23240">
        <w:rPr>
          <w:rFonts w:ascii="Garamond" w:hAnsi="Garamond"/>
          <w:sz w:val="24"/>
          <w:szCs w:val="24"/>
        </w:rPr>
        <w:lastRenderedPageBreak/>
        <w:t xml:space="preserve">de Organización Territorial, Autonomía y Descentralización; artículo 2, número 1 y artículo 8 número 1 de la Ley Orgánica de Régimen para el Distrito Metropolitano de Quito. </w:t>
      </w:r>
    </w:p>
    <w:p w14:paraId="7C2C142D" w14:textId="77777777" w:rsidR="00FA3389" w:rsidRPr="00E23240" w:rsidRDefault="00FA3389" w:rsidP="00FA3389">
      <w:pPr>
        <w:jc w:val="center"/>
        <w:rPr>
          <w:rFonts w:ascii="Garamond" w:hAnsi="Garamond"/>
          <w:b/>
          <w:sz w:val="24"/>
          <w:szCs w:val="24"/>
        </w:rPr>
      </w:pPr>
      <w:r w:rsidRPr="00E23240">
        <w:rPr>
          <w:rFonts w:ascii="Garamond" w:hAnsi="Garamond"/>
          <w:b/>
          <w:sz w:val="24"/>
          <w:szCs w:val="24"/>
        </w:rPr>
        <w:t>EXPIDE LA SIGUIENTE:</w:t>
      </w:r>
    </w:p>
    <w:p w14:paraId="420F0FAA" w14:textId="77777777" w:rsidR="00FA3389" w:rsidRPr="00523BD3" w:rsidRDefault="00FA3389" w:rsidP="00523BD3">
      <w:pPr>
        <w:jc w:val="center"/>
        <w:rPr>
          <w:rFonts w:ascii="Garamond" w:hAnsi="Garamond"/>
          <w:b/>
          <w:sz w:val="24"/>
          <w:szCs w:val="24"/>
        </w:rPr>
      </w:pPr>
      <w:r w:rsidRPr="00E23240">
        <w:rPr>
          <w:rFonts w:ascii="Garamond" w:hAnsi="Garamond"/>
          <w:b/>
          <w:sz w:val="24"/>
          <w:szCs w:val="24"/>
        </w:rPr>
        <w:t>ORDENANZA REFORMATORIA LIBRO II.3 DE LA CULTURA, TÍTULO VII DE LAS CONDECORACIONES, PREMIOS Y RECONOCIMIENTOS, CAPÍTULO III, SECCIÓN IV DE LOS PREMIOS EN TEMAS DE GÉNERO Y JUVENTUD, Del premio para la comunidad</w:t>
      </w:r>
      <w:r w:rsidR="00F61FD0" w:rsidRPr="00E23240">
        <w:rPr>
          <w:rFonts w:ascii="Garamond" w:hAnsi="Garamond"/>
          <w:sz w:val="24"/>
          <w:szCs w:val="24"/>
        </w:rPr>
        <w:t xml:space="preserve"> </w:t>
      </w:r>
      <w:r w:rsidR="00F61FD0" w:rsidRPr="00E23240">
        <w:rPr>
          <w:rFonts w:ascii="Garamond" w:hAnsi="Garamond"/>
          <w:b/>
          <w:sz w:val="24"/>
          <w:szCs w:val="24"/>
        </w:rPr>
        <w:t>LGBTIQ+</w:t>
      </w:r>
      <w:r w:rsidRPr="00E23240">
        <w:rPr>
          <w:rFonts w:ascii="Garamond" w:hAnsi="Garamond"/>
          <w:b/>
          <w:sz w:val="24"/>
          <w:szCs w:val="24"/>
        </w:rPr>
        <w:t>.</w:t>
      </w:r>
    </w:p>
    <w:p w14:paraId="56D8B669" w14:textId="77777777" w:rsidR="00FA3389" w:rsidRPr="00E23240" w:rsidRDefault="00FA3389" w:rsidP="00FA3389">
      <w:pPr>
        <w:jc w:val="both"/>
        <w:rPr>
          <w:rFonts w:ascii="Garamond" w:hAnsi="Garamond"/>
          <w:sz w:val="24"/>
          <w:szCs w:val="24"/>
        </w:rPr>
      </w:pPr>
      <w:r w:rsidRPr="00E23240">
        <w:rPr>
          <w:rFonts w:ascii="Garamond" w:hAnsi="Garamond"/>
          <w:sz w:val="24"/>
          <w:szCs w:val="24"/>
        </w:rPr>
        <w:t>Artículo 1.- Sustitúyase el artículo 717 del Código Municipal por los siguientes:</w:t>
      </w:r>
    </w:p>
    <w:p w14:paraId="52DAC930" w14:textId="77777777" w:rsidR="00FA3389" w:rsidRPr="00E63668" w:rsidRDefault="00FA3389" w:rsidP="00FA3389">
      <w:pPr>
        <w:autoSpaceDE w:val="0"/>
        <w:autoSpaceDN w:val="0"/>
        <w:adjustRightInd w:val="0"/>
        <w:spacing w:after="0" w:line="240" w:lineRule="auto"/>
        <w:jc w:val="both"/>
        <w:rPr>
          <w:rFonts w:ascii="Garamond" w:hAnsi="Garamond"/>
          <w:sz w:val="24"/>
          <w:szCs w:val="24"/>
        </w:rPr>
      </w:pPr>
      <w:r w:rsidRPr="00E63668">
        <w:rPr>
          <w:rFonts w:ascii="Garamond" w:hAnsi="Garamond"/>
          <w:sz w:val="24"/>
          <w:szCs w:val="24"/>
        </w:rPr>
        <w:t xml:space="preserve">Artículo (…). – </w:t>
      </w:r>
      <w:proofErr w:type="gramStart"/>
      <w:r w:rsidRPr="00E63668">
        <w:rPr>
          <w:rFonts w:ascii="Garamond" w:hAnsi="Garamond"/>
          <w:b/>
          <w:sz w:val="24"/>
          <w:szCs w:val="24"/>
        </w:rPr>
        <w:t>Premio</w:t>
      </w:r>
      <w:r w:rsidR="00F61FD0" w:rsidRPr="00E63668">
        <w:rPr>
          <w:rFonts w:ascii="Garamond" w:hAnsi="Garamond"/>
          <w:b/>
          <w:sz w:val="24"/>
          <w:szCs w:val="24"/>
        </w:rPr>
        <w:t>.-</w:t>
      </w:r>
      <w:proofErr w:type="gramEnd"/>
      <w:r w:rsidRPr="00E63668">
        <w:rPr>
          <w:rFonts w:ascii="Garamond" w:hAnsi="Garamond"/>
          <w:sz w:val="24"/>
          <w:szCs w:val="24"/>
        </w:rPr>
        <w:t xml:space="preserve"> “Patricio Brabomalo para la Comunidad GLBTIQ+. – El Concejo Metropolitano de Quito otorgará cada año el premio “Patricio Brabomalo para la comunidad LGBTIQ+” </w:t>
      </w:r>
      <w:r w:rsidR="00E63668" w:rsidRPr="00E63668">
        <w:rPr>
          <w:rFonts w:ascii="Garamond" w:hAnsi="Garamond"/>
          <w:sz w:val="24"/>
          <w:szCs w:val="24"/>
        </w:rPr>
        <w:t xml:space="preserve">al miembro de la misma, que haya cumplido una labor destacada en la defensa de los derechos de su </w:t>
      </w:r>
      <w:proofErr w:type="gramStart"/>
      <w:r w:rsidR="00E63668" w:rsidRPr="00E63668">
        <w:rPr>
          <w:rFonts w:ascii="Garamond" w:hAnsi="Garamond"/>
          <w:sz w:val="24"/>
          <w:szCs w:val="24"/>
        </w:rPr>
        <w:t>comunidad.</w:t>
      </w:r>
      <w:r w:rsidR="003332B6" w:rsidRPr="00E63668">
        <w:rPr>
          <w:rFonts w:ascii="Garamond" w:hAnsi="Garamond"/>
          <w:sz w:val="24"/>
          <w:szCs w:val="24"/>
        </w:rPr>
        <w:t>.</w:t>
      </w:r>
      <w:proofErr w:type="gramEnd"/>
    </w:p>
    <w:p w14:paraId="2E65179F"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7747F8CA" w14:textId="77777777" w:rsidR="00FA3389" w:rsidRDefault="00FA3389" w:rsidP="00FA3389">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t xml:space="preserve">Artículo (…). – </w:t>
      </w:r>
      <w:r w:rsidRPr="00E23240">
        <w:rPr>
          <w:rFonts w:ascii="Garamond" w:hAnsi="Garamond" w:cs="CourierNewNormal"/>
          <w:b/>
          <w:sz w:val="24"/>
          <w:szCs w:val="24"/>
        </w:rPr>
        <w:t xml:space="preserve">De la </w:t>
      </w:r>
      <w:proofErr w:type="gramStart"/>
      <w:r w:rsidRPr="00E23240">
        <w:rPr>
          <w:rFonts w:ascii="Garamond" w:hAnsi="Garamond" w:cs="CourierNewNormal"/>
          <w:b/>
          <w:sz w:val="24"/>
          <w:szCs w:val="24"/>
        </w:rPr>
        <w:t>organización.-</w:t>
      </w:r>
      <w:proofErr w:type="gramEnd"/>
      <w:r w:rsidRPr="00E23240">
        <w:rPr>
          <w:rFonts w:ascii="Garamond" w:hAnsi="Garamond" w:cs="CourierNewNormal"/>
          <w:sz w:val="24"/>
          <w:szCs w:val="24"/>
        </w:rPr>
        <w:t xml:space="preserve"> </w:t>
      </w:r>
      <w:r w:rsidR="00B64332">
        <w:rPr>
          <w:rFonts w:ascii="Garamond" w:hAnsi="Garamond" w:cs="CourierNewNormal"/>
          <w:sz w:val="24"/>
          <w:szCs w:val="24"/>
        </w:rPr>
        <w:t xml:space="preserve">El ente rector en materia </w:t>
      </w:r>
      <w:r w:rsidRPr="00E23240">
        <w:rPr>
          <w:rFonts w:ascii="Garamond" w:hAnsi="Garamond" w:cs="CourierNewNormal"/>
          <w:sz w:val="24"/>
          <w:szCs w:val="24"/>
        </w:rPr>
        <w:t>de Inclusión Social organizará la premiación y nombrará un comité técnico indepen</w:t>
      </w:r>
      <w:r w:rsidR="00E23240" w:rsidRPr="00E23240">
        <w:rPr>
          <w:rFonts w:ascii="Garamond" w:hAnsi="Garamond" w:cs="CourierNewNormal"/>
          <w:sz w:val="24"/>
          <w:szCs w:val="24"/>
        </w:rPr>
        <w:t>d</w:t>
      </w:r>
      <w:r w:rsidRPr="00E23240">
        <w:rPr>
          <w:rFonts w:ascii="Garamond" w:hAnsi="Garamond" w:cs="CourierNewNormal"/>
          <w:sz w:val="24"/>
          <w:szCs w:val="24"/>
        </w:rPr>
        <w:t>iente conformado por cinco miembros de reconocida imparcialidad y trayectoria en el ámbito de los derechos humanos</w:t>
      </w:r>
      <w:r w:rsidR="00F61FD0" w:rsidRPr="00E23240">
        <w:rPr>
          <w:rFonts w:ascii="Garamond" w:hAnsi="Garamond" w:cs="CourierNewNormal"/>
          <w:sz w:val="24"/>
          <w:szCs w:val="24"/>
        </w:rPr>
        <w:t>, de los cuales un representante será de la</w:t>
      </w:r>
      <w:r w:rsidR="00EF1F81">
        <w:rPr>
          <w:rFonts w:ascii="Garamond" w:hAnsi="Garamond" w:cs="CourierNewNormal"/>
          <w:sz w:val="24"/>
          <w:szCs w:val="24"/>
        </w:rPr>
        <w:t xml:space="preserve"> </w:t>
      </w:r>
      <w:r w:rsidR="00EF1F81" w:rsidRPr="00EF1F81">
        <w:rPr>
          <w:rFonts w:ascii="Garamond" w:hAnsi="Garamond" w:cs="CourierNewNormal"/>
          <w:sz w:val="24"/>
          <w:szCs w:val="24"/>
        </w:rPr>
        <w:t>Mesa</w:t>
      </w:r>
      <w:r w:rsidR="00DD59DA">
        <w:rPr>
          <w:rFonts w:ascii="Garamond" w:hAnsi="Garamond" w:cs="CourierNewNormal"/>
          <w:sz w:val="24"/>
          <w:szCs w:val="24"/>
        </w:rPr>
        <w:t xml:space="preserve"> Distrital</w:t>
      </w:r>
      <w:r w:rsidR="00EF1F81" w:rsidRPr="00EF1F81">
        <w:rPr>
          <w:rFonts w:ascii="Garamond" w:hAnsi="Garamond" w:cs="CourierNewNormal"/>
          <w:sz w:val="24"/>
          <w:szCs w:val="24"/>
        </w:rPr>
        <w:t xml:space="preserve"> LGBTIQ+ de </w:t>
      </w:r>
      <w:r w:rsidR="00EF1F81">
        <w:rPr>
          <w:rFonts w:ascii="Garamond" w:hAnsi="Garamond" w:cs="CourierNewNormal"/>
          <w:sz w:val="24"/>
          <w:szCs w:val="24"/>
        </w:rPr>
        <w:t>Q</w:t>
      </w:r>
      <w:r w:rsidR="00EF1F81" w:rsidRPr="00EF1F81">
        <w:rPr>
          <w:rFonts w:ascii="Garamond" w:hAnsi="Garamond" w:cs="CourierNewNormal"/>
          <w:sz w:val="24"/>
          <w:szCs w:val="24"/>
        </w:rPr>
        <w:t>uito</w:t>
      </w:r>
      <w:r w:rsidR="00EF1F81">
        <w:rPr>
          <w:rFonts w:ascii="Garamond" w:hAnsi="Garamond" w:cs="CourierNewNormal"/>
          <w:sz w:val="24"/>
          <w:szCs w:val="24"/>
        </w:rPr>
        <w:t>.</w:t>
      </w:r>
    </w:p>
    <w:p w14:paraId="1F2048E8" w14:textId="77777777" w:rsidR="00517CA8" w:rsidRDefault="00517CA8" w:rsidP="00FA3389">
      <w:pPr>
        <w:autoSpaceDE w:val="0"/>
        <w:autoSpaceDN w:val="0"/>
        <w:adjustRightInd w:val="0"/>
        <w:spacing w:after="0" w:line="240" w:lineRule="auto"/>
        <w:jc w:val="both"/>
        <w:rPr>
          <w:rFonts w:ascii="Garamond" w:hAnsi="Garamond" w:cs="CourierNewNormal"/>
          <w:sz w:val="24"/>
          <w:szCs w:val="24"/>
        </w:rPr>
      </w:pPr>
    </w:p>
    <w:p w14:paraId="3499B8EF" w14:textId="77777777" w:rsidR="00FA3389" w:rsidRPr="00517CA8" w:rsidRDefault="00517CA8" w:rsidP="00517CA8">
      <w:pPr>
        <w:jc w:val="both"/>
        <w:rPr>
          <w:rFonts w:ascii="Garamond" w:hAnsi="Garamond"/>
          <w:sz w:val="24"/>
          <w:szCs w:val="24"/>
        </w:rPr>
      </w:pPr>
      <w:r>
        <w:rPr>
          <w:rFonts w:ascii="Garamond" w:hAnsi="Garamond" w:cs="CourierNewNormal"/>
          <w:sz w:val="24"/>
          <w:szCs w:val="24"/>
        </w:rPr>
        <w:t xml:space="preserve">El ente rector en materia </w:t>
      </w:r>
      <w:r w:rsidRPr="00E23240">
        <w:rPr>
          <w:rFonts w:ascii="Garamond" w:hAnsi="Garamond" w:cs="CourierNewNormal"/>
          <w:sz w:val="24"/>
          <w:szCs w:val="24"/>
        </w:rPr>
        <w:t xml:space="preserve">de Inclusión Social </w:t>
      </w:r>
      <w:r w:rsidRPr="00B01C3F">
        <w:rPr>
          <w:rFonts w:ascii="Garamond" w:hAnsi="Garamond"/>
          <w:sz w:val="24"/>
          <w:szCs w:val="24"/>
        </w:rPr>
        <w:t>será responsable de emitir el informe de calificación con el detalle de los participantes y el ganador del concurso</w:t>
      </w:r>
      <w:r w:rsidR="00E63668">
        <w:rPr>
          <w:rFonts w:ascii="Garamond" w:hAnsi="Garamond"/>
          <w:sz w:val="24"/>
          <w:szCs w:val="24"/>
        </w:rPr>
        <w:t xml:space="preserve"> y pondrá a conocimiento </w:t>
      </w:r>
      <w:r w:rsidR="00E63668" w:rsidRPr="00B01C3F">
        <w:rPr>
          <w:rFonts w:ascii="Garamond" w:hAnsi="Garamond"/>
          <w:sz w:val="24"/>
          <w:szCs w:val="24"/>
        </w:rPr>
        <w:t>de la Comisión competente en materia de Igualdad, Género e Inclusión Social, para su análisis y verificación del cumplimiento del proceso y esta a su vez ponga dicho informe en conocimiento del Pleno del Concejo Metropolitano, quienes mediante Resolución otorgará</w:t>
      </w:r>
      <w:r w:rsidR="00E63668">
        <w:rPr>
          <w:rFonts w:ascii="Garamond" w:hAnsi="Garamond"/>
          <w:sz w:val="24"/>
          <w:szCs w:val="24"/>
        </w:rPr>
        <w:t>n</w:t>
      </w:r>
      <w:r w:rsidR="00E63668" w:rsidRPr="00B01C3F">
        <w:rPr>
          <w:rFonts w:ascii="Garamond" w:hAnsi="Garamond"/>
          <w:sz w:val="24"/>
          <w:szCs w:val="24"/>
        </w:rPr>
        <w:t xml:space="preserve"> el premio</w:t>
      </w:r>
      <w:r w:rsidR="00E63668">
        <w:rPr>
          <w:rFonts w:ascii="Garamond" w:hAnsi="Garamond"/>
          <w:sz w:val="24"/>
          <w:szCs w:val="24"/>
        </w:rPr>
        <w:t>.</w:t>
      </w:r>
    </w:p>
    <w:p w14:paraId="08587BB3"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cs="CourierNewNormal"/>
          <w:sz w:val="24"/>
          <w:szCs w:val="24"/>
        </w:rPr>
        <w:t xml:space="preserve">Artículo (…). – </w:t>
      </w:r>
      <w:proofErr w:type="gramStart"/>
      <w:r w:rsidRPr="00E23240">
        <w:rPr>
          <w:rFonts w:ascii="Garamond" w:hAnsi="Garamond" w:cs="CourierNewNormal"/>
          <w:b/>
          <w:sz w:val="24"/>
          <w:szCs w:val="24"/>
        </w:rPr>
        <w:t>Participantes.-</w:t>
      </w:r>
      <w:proofErr w:type="gramEnd"/>
      <w:r w:rsidRPr="00E23240">
        <w:rPr>
          <w:rFonts w:ascii="Garamond" w:hAnsi="Garamond" w:cs="CourierNewNormal"/>
          <w:b/>
          <w:sz w:val="24"/>
          <w:szCs w:val="24"/>
        </w:rPr>
        <w:t xml:space="preserve"> </w:t>
      </w:r>
      <w:r w:rsidRPr="00E23240">
        <w:rPr>
          <w:rFonts w:ascii="Garamond" w:hAnsi="Garamond" w:cs="CourierNewNormal"/>
          <w:sz w:val="24"/>
          <w:szCs w:val="24"/>
        </w:rPr>
        <w:t>Podrán partici</w:t>
      </w:r>
      <w:r w:rsidR="00E23240" w:rsidRPr="00E23240">
        <w:rPr>
          <w:rFonts w:ascii="Garamond" w:hAnsi="Garamond" w:cs="CourierNewNormal"/>
          <w:sz w:val="24"/>
          <w:szCs w:val="24"/>
        </w:rPr>
        <w:t>p</w:t>
      </w:r>
      <w:r w:rsidRPr="00E23240">
        <w:rPr>
          <w:rFonts w:ascii="Garamond" w:hAnsi="Garamond" w:cs="CourierNewNormal"/>
          <w:sz w:val="24"/>
          <w:szCs w:val="24"/>
        </w:rPr>
        <w:t xml:space="preserve">ar miembros de la comunidad </w:t>
      </w:r>
      <w:r w:rsidRPr="00E23240">
        <w:rPr>
          <w:rFonts w:ascii="Garamond" w:hAnsi="Garamond"/>
          <w:sz w:val="24"/>
          <w:szCs w:val="24"/>
        </w:rPr>
        <w:t>LGBTIQ+ que haya</w:t>
      </w:r>
      <w:r w:rsidR="00E23240" w:rsidRPr="00E23240">
        <w:rPr>
          <w:rFonts w:ascii="Garamond" w:hAnsi="Garamond"/>
          <w:sz w:val="24"/>
          <w:szCs w:val="24"/>
        </w:rPr>
        <w:t>n</w:t>
      </w:r>
      <w:r w:rsidRPr="00E23240">
        <w:rPr>
          <w:rFonts w:ascii="Garamond" w:hAnsi="Garamond"/>
          <w:sz w:val="24"/>
          <w:szCs w:val="24"/>
        </w:rPr>
        <w:t xml:space="preserve"> cumplido una labor destacada en la defensa de los derechos de su comunidad. </w:t>
      </w:r>
    </w:p>
    <w:p w14:paraId="458E3175"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p>
    <w:p w14:paraId="7B0C2E84"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sz w:val="24"/>
          <w:szCs w:val="24"/>
        </w:rPr>
        <w:t xml:space="preserve">Artículo (…). - </w:t>
      </w:r>
      <w:proofErr w:type="gramStart"/>
      <w:r w:rsidRPr="00E23240">
        <w:rPr>
          <w:rFonts w:ascii="Garamond" w:hAnsi="Garamond"/>
          <w:b/>
          <w:sz w:val="24"/>
          <w:szCs w:val="24"/>
        </w:rPr>
        <w:t>Financiamiento.-</w:t>
      </w:r>
      <w:proofErr w:type="gramEnd"/>
      <w:r w:rsidRPr="00E23240">
        <w:rPr>
          <w:rFonts w:ascii="Garamond" w:hAnsi="Garamond"/>
          <w:sz w:val="24"/>
          <w:szCs w:val="24"/>
        </w:rPr>
        <w:t xml:space="preserve">  </w:t>
      </w:r>
      <w:r w:rsidR="00B64332">
        <w:rPr>
          <w:rFonts w:ascii="Garamond" w:hAnsi="Garamond" w:cs="CourierNewNormal"/>
          <w:sz w:val="24"/>
          <w:szCs w:val="24"/>
        </w:rPr>
        <w:t xml:space="preserve">El ente rector en materia </w:t>
      </w:r>
      <w:r w:rsidR="00B64332" w:rsidRPr="00E23240">
        <w:rPr>
          <w:rFonts w:ascii="Garamond" w:hAnsi="Garamond" w:cs="CourierNewNormal"/>
          <w:sz w:val="24"/>
          <w:szCs w:val="24"/>
        </w:rPr>
        <w:t xml:space="preserve">de Inclusión Social </w:t>
      </w:r>
      <w:r w:rsidRPr="00E23240">
        <w:rPr>
          <w:rFonts w:ascii="Garamond" w:hAnsi="Garamond"/>
          <w:sz w:val="24"/>
          <w:szCs w:val="24"/>
        </w:rPr>
        <w:t>incluirá dentro de su POA anual, la actividad premio “</w:t>
      </w:r>
      <w:r w:rsidR="00A87795">
        <w:rPr>
          <w:rFonts w:ascii="Garamond" w:hAnsi="Garamond"/>
          <w:sz w:val="24"/>
          <w:szCs w:val="24"/>
        </w:rPr>
        <w:t xml:space="preserve">Patricio </w:t>
      </w:r>
      <w:r w:rsidRPr="00E23240">
        <w:rPr>
          <w:rFonts w:ascii="Garamond" w:hAnsi="Garamond"/>
          <w:sz w:val="24"/>
          <w:szCs w:val="24"/>
        </w:rPr>
        <w:t>Brabomalo”, con el correspondiente presupuesto</w:t>
      </w:r>
      <w:r w:rsidR="00F61FD0" w:rsidRPr="00E23240">
        <w:rPr>
          <w:rFonts w:ascii="Garamond" w:hAnsi="Garamond"/>
          <w:sz w:val="24"/>
          <w:szCs w:val="24"/>
        </w:rPr>
        <w:t>.</w:t>
      </w:r>
    </w:p>
    <w:p w14:paraId="1D617611"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3EFB243F"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t>La persona ganadora recibirá, conforme el ordenamiento jurídico nacional y metropolitano, un estímulo económico, de</w:t>
      </w:r>
      <w:r w:rsidRPr="00E23240">
        <w:rPr>
          <w:rFonts w:ascii="Garamond" w:hAnsi="Garamond"/>
          <w:sz w:val="24"/>
          <w:szCs w:val="24"/>
        </w:rPr>
        <w:t xml:space="preserve"> cuatro remuneraciones básicas unificadas del ejercicio fiscal anterior al que se entrega el premio</w:t>
      </w:r>
      <w:r w:rsidRPr="00E23240">
        <w:rPr>
          <w:rFonts w:ascii="Garamond" w:hAnsi="Garamond" w:cs="CourierNewNormal"/>
          <w:sz w:val="24"/>
          <w:szCs w:val="24"/>
        </w:rPr>
        <w:t>.</w:t>
      </w:r>
    </w:p>
    <w:p w14:paraId="43AA55F6" w14:textId="77777777" w:rsidR="00FA3389" w:rsidRPr="00E23240" w:rsidRDefault="00FA3389" w:rsidP="00FA3389">
      <w:pPr>
        <w:autoSpaceDE w:val="0"/>
        <w:autoSpaceDN w:val="0"/>
        <w:adjustRightInd w:val="0"/>
        <w:spacing w:after="0" w:line="240" w:lineRule="auto"/>
        <w:jc w:val="both"/>
        <w:rPr>
          <w:rFonts w:ascii="Garamond" w:hAnsi="Garamond" w:cs="CourierNewNormal"/>
          <w:sz w:val="24"/>
          <w:szCs w:val="24"/>
        </w:rPr>
      </w:pPr>
    </w:p>
    <w:p w14:paraId="78B0865F"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r w:rsidRPr="00E23240">
        <w:rPr>
          <w:rFonts w:ascii="Garamond" w:hAnsi="Garamond" w:cs="CourierNewNormal"/>
          <w:sz w:val="24"/>
          <w:szCs w:val="24"/>
        </w:rPr>
        <w:t>Artículo (…</w:t>
      </w:r>
      <w:proofErr w:type="gramStart"/>
      <w:r w:rsidRPr="00E23240">
        <w:rPr>
          <w:rFonts w:ascii="Garamond" w:hAnsi="Garamond" w:cs="CourierNewNormal"/>
          <w:sz w:val="24"/>
          <w:szCs w:val="24"/>
        </w:rPr>
        <w:t xml:space="preserve">) </w:t>
      </w:r>
      <w:r w:rsidRPr="00E23240">
        <w:rPr>
          <w:rFonts w:ascii="Garamond" w:hAnsi="Garamond"/>
          <w:sz w:val="24"/>
          <w:szCs w:val="24"/>
        </w:rPr>
        <w:t>.</w:t>
      </w:r>
      <w:proofErr w:type="gramEnd"/>
      <w:r w:rsidRPr="00E23240">
        <w:rPr>
          <w:rFonts w:ascii="Garamond" w:hAnsi="Garamond"/>
          <w:sz w:val="24"/>
          <w:szCs w:val="24"/>
        </w:rPr>
        <w:t xml:space="preserve"> – </w:t>
      </w:r>
      <w:r w:rsidRPr="00E23240">
        <w:rPr>
          <w:rFonts w:ascii="Garamond" w:hAnsi="Garamond"/>
          <w:b/>
          <w:sz w:val="24"/>
          <w:szCs w:val="24"/>
        </w:rPr>
        <w:t xml:space="preserve">Normas de </w:t>
      </w:r>
      <w:proofErr w:type="gramStart"/>
      <w:r w:rsidRPr="00E23240">
        <w:rPr>
          <w:rFonts w:ascii="Garamond" w:hAnsi="Garamond"/>
          <w:b/>
          <w:sz w:val="24"/>
          <w:szCs w:val="24"/>
        </w:rPr>
        <w:t>aplicación</w:t>
      </w:r>
      <w:r w:rsidRPr="00E23240">
        <w:rPr>
          <w:rFonts w:ascii="Garamond" w:hAnsi="Garamond"/>
          <w:sz w:val="24"/>
          <w:szCs w:val="24"/>
        </w:rPr>
        <w:t>.-</w:t>
      </w:r>
      <w:proofErr w:type="gramEnd"/>
      <w:r w:rsidRPr="00E23240">
        <w:rPr>
          <w:rFonts w:ascii="Garamond" w:hAnsi="Garamond"/>
          <w:sz w:val="24"/>
          <w:szCs w:val="24"/>
        </w:rPr>
        <w:t xml:space="preserve"> El premio Patricio Brabomalo contará con sus respectivas normas de aplicación, las mismas que regularán los aspectos de su organización y realización y se expedirán mediante Resolución Administrativa. </w:t>
      </w:r>
    </w:p>
    <w:p w14:paraId="271FD9B5" w14:textId="77777777" w:rsidR="00F61FD0" w:rsidRPr="00E23240" w:rsidRDefault="00F61FD0" w:rsidP="00FA3389">
      <w:pPr>
        <w:autoSpaceDE w:val="0"/>
        <w:autoSpaceDN w:val="0"/>
        <w:adjustRightInd w:val="0"/>
        <w:spacing w:after="0" w:line="240" w:lineRule="auto"/>
        <w:jc w:val="both"/>
        <w:rPr>
          <w:rFonts w:ascii="Garamond" w:hAnsi="Garamond"/>
          <w:sz w:val="24"/>
          <w:szCs w:val="24"/>
        </w:rPr>
      </w:pPr>
    </w:p>
    <w:p w14:paraId="0BEFBD83" w14:textId="77777777" w:rsidR="00F61FD0" w:rsidRPr="00E23240" w:rsidRDefault="00F61FD0" w:rsidP="00F61FD0">
      <w:pPr>
        <w:autoSpaceDE w:val="0"/>
        <w:autoSpaceDN w:val="0"/>
        <w:adjustRightInd w:val="0"/>
        <w:spacing w:after="0" w:line="240" w:lineRule="auto"/>
        <w:jc w:val="both"/>
        <w:rPr>
          <w:rFonts w:ascii="Garamond" w:hAnsi="Garamond" w:cs="CourierNewNormal"/>
          <w:sz w:val="24"/>
          <w:szCs w:val="24"/>
        </w:rPr>
      </w:pPr>
      <w:r w:rsidRPr="00E23240">
        <w:rPr>
          <w:rFonts w:ascii="Garamond" w:hAnsi="Garamond" w:cs="CourierNewNormal"/>
          <w:sz w:val="24"/>
          <w:szCs w:val="24"/>
        </w:rPr>
        <w:lastRenderedPageBreak/>
        <w:t xml:space="preserve">La convocatoria </w:t>
      </w:r>
      <w:r w:rsidR="00E63668">
        <w:rPr>
          <w:rFonts w:ascii="Garamond" w:hAnsi="Garamond" w:cs="CourierNewNormal"/>
          <w:sz w:val="24"/>
          <w:szCs w:val="24"/>
        </w:rPr>
        <w:t xml:space="preserve">y las bases del concurso las emitirá el ente rector en materia </w:t>
      </w:r>
      <w:r w:rsidR="00E63668" w:rsidRPr="00E23240">
        <w:rPr>
          <w:rFonts w:ascii="Garamond" w:hAnsi="Garamond" w:cs="CourierNewNormal"/>
          <w:sz w:val="24"/>
          <w:szCs w:val="24"/>
        </w:rPr>
        <w:t>de Inclusión Social</w:t>
      </w:r>
      <w:r w:rsidR="00E63668">
        <w:rPr>
          <w:rFonts w:ascii="Garamond" w:hAnsi="Garamond" w:cs="CourierNewNormal"/>
          <w:sz w:val="24"/>
          <w:szCs w:val="24"/>
        </w:rPr>
        <w:t xml:space="preserve"> y </w:t>
      </w:r>
      <w:r w:rsidRPr="00E23240">
        <w:rPr>
          <w:rFonts w:ascii="Garamond" w:hAnsi="Garamond" w:cs="CourierNewNormal"/>
          <w:sz w:val="24"/>
          <w:szCs w:val="24"/>
        </w:rPr>
        <w:t xml:space="preserve">se la realizará en </w:t>
      </w:r>
      <w:r w:rsidR="00A87795">
        <w:rPr>
          <w:rFonts w:ascii="Garamond" w:hAnsi="Garamond" w:cs="CourierNewNormal"/>
          <w:sz w:val="24"/>
          <w:szCs w:val="24"/>
        </w:rPr>
        <w:t>la primera semana del</w:t>
      </w:r>
      <w:r w:rsidRPr="00E23240">
        <w:rPr>
          <w:rFonts w:ascii="Garamond" w:hAnsi="Garamond" w:cs="CourierNewNormal"/>
          <w:sz w:val="24"/>
          <w:szCs w:val="24"/>
        </w:rPr>
        <w:t xml:space="preserve"> mes de abril. La entrega del premio se lo realizará </w:t>
      </w:r>
      <w:r w:rsidR="00A87795">
        <w:rPr>
          <w:rFonts w:ascii="Garamond" w:hAnsi="Garamond" w:cs="CourierNewNormal"/>
          <w:sz w:val="24"/>
          <w:szCs w:val="24"/>
        </w:rPr>
        <w:t>previo al</w:t>
      </w:r>
      <w:r w:rsidRPr="00E23240">
        <w:rPr>
          <w:rFonts w:ascii="Garamond" w:hAnsi="Garamond" w:cs="CourierNewNormal"/>
          <w:sz w:val="24"/>
          <w:szCs w:val="24"/>
        </w:rPr>
        <w:t xml:space="preserve"> 28 de junio de 2022, </w:t>
      </w:r>
      <w:r w:rsidRPr="00E23240">
        <w:rPr>
          <w:rFonts w:ascii="Garamond" w:hAnsi="Garamond"/>
          <w:sz w:val="24"/>
          <w:szCs w:val="24"/>
        </w:rPr>
        <w:t>día internacional del orgullo LGBTIQ+.</w:t>
      </w:r>
    </w:p>
    <w:p w14:paraId="07460C61" w14:textId="77777777" w:rsidR="00FA3389" w:rsidRPr="00E23240" w:rsidRDefault="00FA3389" w:rsidP="00FA3389">
      <w:pPr>
        <w:autoSpaceDE w:val="0"/>
        <w:autoSpaceDN w:val="0"/>
        <w:adjustRightInd w:val="0"/>
        <w:spacing w:after="0" w:line="240" w:lineRule="auto"/>
        <w:jc w:val="both"/>
        <w:rPr>
          <w:rFonts w:ascii="Garamond" w:hAnsi="Garamond"/>
          <w:sz w:val="24"/>
          <w:szCs w:val="24"/>
        </w:rPr>
      </w:pPr>
    </w:p>
    <w:p w14:paraId="2555AB26" w14:textId="77777777" w:rsidR="00FA3389" w:rsidRPr="00E23240" w:rsidRDefault="00FA3389" w:rsidP="00F61FD0">
      <w:pPr>
        <w:autoSpaceDE w:val="0"/>
        <w:autoSpaceDN w:val="0"/>
        <w:adjustRightInd w:val="0"/>
        <w:spacing w:after="0" w:line="240" w:lineRule="auto"/>
        <w:jc w:val="both"/>
        <w:rPr>
          <w:rFonts w:ascii="Garamond" w:hAnsi="Garamond"/>
          <w:sz w:val="24"/>
          <w:szCs w:val="24"/>
        </w:rPr>
      </w:pPr>
      <w:r w:rsidRPr="00E23240">
        <w:rPr>
          <w:rFonts w:ascii="Garamond" w:hAnsi="Garamond"/>
          <w:b/>
          <w:sz w:val="24"/>
          <w:szCs w:val="24"/>
        </w:rPr>
        <w:t>Disposición Final. -</w:t>
      </w:r>
      <w:r w:rsidRPr="00E23240">
        <w:rPr>
          <w:rFonts w:ascii="Garamond" w:hAnsi="Garamond"/>
          <w:sz w:val="24"/>
          <w:szCs w:val="24"/>
        </w:rPr>
        <w:t xml:space="preserve"> La presente ordenanza entrará en vigencia a partir de su sanción sin perjuicio de su publicación </w:t>
      </w:r>
      <w:r w:rsidRPr="00E23240">
        <w:rPr>
          <w:rFonts w:ascii="Garamond" w:hAnsi="Garamond" w:cs="Times New Roman"/>
          <w:sz w:val="24"/>
          <w:szCs w:val="24"/>
        </w:rPr>
        <w:t xml:space="preserve">en la Gaceta Oficial, en el dominio web de la institución y en el Registro Oficial. </w:t>
      </w:r>
    </w:p>
    <w:p w14:paraId="62939656" w14:textId="77777777" w:rsidR="009112E4" w:rsidRPr="00E23240" w:rsidRDefault="009112E4">
      <w:pPr>
        <w:rPr>
          <w:rFonts w:ascii="Garamond" w:hAnsi="Garamond"/>
          <w:sz w:val="24"/>
          <w:szCs w:val="24"/>
        </w:rPr>
      </w:pPr>
    </w:p>
    <w:sectPr w:rsidR="009112E4" w:rsidRPr="00E2324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2B432" w14:textId="77777777" w:rsidR="000824D3" w:rsidRDefault="000824D3">
      <w:pPr>
        <w:spacing w:after="0" w:line="240" w:lineRule="auto"/>
      </w:pPr>
      <w:r>
        <w:separator/>
      </w:r>
    </w:p>
  </w:endnote>
  <w:endnote w:type="continuationSeparator" w:id="0">
    <w:p w14:paraId="61C06FA8" w14:textId="77777777" w:rsidR="000824D3" w:rsidRDefault="0008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C7DEE" w14:textId="77777777" w:rsidR="000824D3" w:rsidRDefault="000824D3">
      <w:pPr>
        <w:spacing w:after="0" w:line="240" w:lineRule="auto"/>
      </w:pPr>
      <w:r>
        <w:separator/>
      </w:r>
    </w:p>
  </w:footnote>
  <w:footnote w:type="continuationSeparator" w:id="0">
    <w:p w14:paraId="2CD9A067" w14:textId="77777777" w:rsidR="000824D3" w:rsidRDefault="00082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2A69" w14:textId="77777777" w:rsidR="00494142" w:rsidRDefault="00EF1F81" w:rsidP="00494142">
    <w:pPr>
      <w:pStyle w:val="Encabezado"/>
    </w:pPr>
    <w:r>
      <w:rPr>
        <w:noProof/>
        <w:lang w:eastAsia="es-EC"/>
      </w:rPr>
      <w:drawing>
        <wp:anchor distT="0" distB="0" distL="114300" distR="114300" simplePos="0" relativeHeight="251659264" behindDoc="0" locked="0" layoutInCell="1" allowOverlap="1" wp14:anchorId="62DD6AE6" wp14:editId="635AE9B8">
          <wp:simplePos x="0" y="0"/>
          <wp:positionH relativeFrom="margin">
            <wp:align>center</wp:align>
          </wp:positionH>
          <wp:positionV relativeFrom="paragraph">
            <wp:posOffset>-100330</wp:posOffset>
          </wp:positionV>
          <wp:extent cx="673735" cy="990600"/>
          <wp:effectExtent l="0" t="0" r="0" b="0"/>
          <wp:wrapNone/>
          <wp:docPr id="1" name="Picture 1" descr="Imagen que contiene tabla, pastel, cubierto, c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Picture 1" descr="Imagen que contiene tabla, pastel, cubierto, cama&#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anchor>
      </w:drawing>
    </w:r>
  </w:p>
  <w:p w14:paraId="3BCBAED9" w14:textId="77777777" w:rsidR="00494142" w:rsidRDefault="000824D3" w:rsidP="00494142">
    <w:pPr>
      <w:pStyle w:val="Encabezado"/>
    </w:pPr>
  </w:p>
  <w:p w14:paraId="0FFF9739" w14:textId="77777777" w:rsidR="00494142" w:rsidRDefault="000824D3" w:rsidP="00494142">
    <w:pPr>
      <w:pStyle w:val="Encabezado"/>
    </w:pPr>
  </w:p>
  <w:p w14:paraId="5B5917C2" w14:textId="77777777" w:rsidR="00494142" w:rsidRDefault="000824D3" w:rsidP="00494142">
    <w:pPr>
      <w:autoSpaceDE w:val="0"/>
      <w:autoSpaceDN w:val="0"/>
      <w:adjustRightInd w:val="0"/>
      <w:spacing w:after="0" w:line="240" w:lineRule="auto"/>
      <w:jc w:val="center"/>
      <w:rPr>
        <w:rFonts w:ascii="Palatino Linotype" w:eastAsia="Times New Roman" w:hAnsi="Palatino Linotype" w:cs="Times New Roman"/>
        <w:b/>
        <w:bCs/>
      </w:rPr>
    </w:pPr>
  </w:p>
  <w:p w14:paraId="03F15435" w14:textId="77777777" w:rsidR="00494142" w:rsidRDefault="000824D3" w:rsidP="00494142">
    <w:pPr>
      <w:autoSpaceDE w:val="0"/>
      <w:autoSpaceDN w:val="0"/>
      <w:adjustRightInd w:val="0"/>
      <w:spacing w:after="0" w:line="240" w:lineRule="auto"/>
      <w:jc w:val="center"/>
      <w:rPr>
        <w:rFonts w:ascii="Palatino Linotype" w:eastAsia="Times New Roman" w:hAnsi="Palatino Linotype" w:cs="Times New Roman"/>
        <w:b/>
        <w:bCs/>
      </w:rPr>
    </w:pPr>
  </w:p>
  <w:p w14:paraId="5C3829DA" w14:textId="77777777" w:rsidR="00494142" w:rsidRDefault="00EF1F81" w:rsidP="00494142">
    <w:pPr>
      <w:pStyle w:val="Encabezado"/>
      <w:jc w:val="center"/>
      <w:rPr>
        <w:rFonts w:ascii="Palatino Linotype" w:hAnsi="Palatino Linotype"/>
        <w:b/>
        <w:bCs/>
      </w:rPr>
    </w:pPr>
    <w:r>
      <w:rPr>
        <w:rFonts w:ascii="Palatino Linotype" w:hAnsi="Palatino Linotype"/>
        <w:b/>
        <w:bCs/>
      </w:rPr>
      <w:t xml:space="preserve">PROYECTO DE ORDENANZA </w:t>
    </w:r>
  </w:p>
  <w:p w14:paraId="71AA7DAA" w14:textId="77777777" w:rsidR="00494142" w:rsidRPr="00494142" w:rsidRDefault="000824D3" w:rsidP="004941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89"/>
    <w:rsid w:val="000824D3"/>
    <w:rsid w:val="0009113F"/>
    <w:rsid w:val="000B2AB5"/>
    <w:rsid w:val="000D1E5A"/>
    <w:rsid w:val="001824CE"/>
    <w:rsid w:val="00330CE2"/>
    <w:rsid w:val="003332B6"/>
    <w:rsid w:val="003508A9"/>
    <w:rsid w:val="0040057D"/>
    <w:rsid w:val="00414514"/>
    <w:rsid w:val="004F5035"/>
    <w:rsid w:val="00517CA8"/>
    <w:rsid w:val="00523BD3"/>
    <w:rsid w:val="00537D5A"/>
    <w:rsid w:val="00554A2F"/>
    <w:rsid w:val="00666618"/>
    <w:rsid w:val="006947FB"/>
    <w:rsid w:val="006D2430"/>
    <w:rsid w:val="007310F1"/>
    <w:rsid w:val="007F78F1"/>
    <w:rsid w:val="009112E4"/>
    <w:rsid w:val="00A75579"/>
    <w:rsid w:val="00A87795"/>
    <w:rsid w:val="00AD27DD"/>
    <w:rsid w:val="00B4551B"/>
    <w:rsid w:val="00B64332"/>
    <w:rsid w:val="00CC7DFE"/>
    <w:rsid w:val="00CD4BE0"/>
    <w:rsid w:val="00D1228A"/>
    <w:rsid w:val="00D7541F"/>
    <w:rsid w:val="00DD59DA"/>
    <w:rsid w:val="00E23240"/>
    <w:rsid w:val="00E63668"/>
    <w:rsid w:val="00EF1F81"/>
    <w:rsid w:val="00F54741"/>
    <w:rsid w:val="00F61FD0"/>
    <w:rsid w:val="00FA3389"/>
    <w:rsid w:val="00FC0A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5B97"/>
  <w15:chartTrackingRefBased/>
  <w15:docId w15:val="{B1BB5BC9-0AA2-2E4C-AB44-D3E01F54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389"/>
    <w:pPr>
      <w:spacing w:after="160" w:line="259" w:lineRule="auto"/>
    </w:pPr>
    <w:rPr>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A3389"/>
    <w:rPr>
      <w:sz w:val="16"/>
      <w:szCs w:val="16"/>
    </w:rPr>
  </w:style>
  <w:style w:type="paragraph" w:styleId="Textocomentario">
    <w:name w:val="annotation text"/>
    <w:basedOn w:val="Normal"/>
    <w:link w:val="TextocomentarioCar"/>
    <w:uiPriority w:val="99"/>
    <w:semiHidden/>
    <w:unhideWhenUsed/>
    <w:rsid w:val="00FA33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3389"/>
    <w:rPr>
      <w:sz w:val="20"/>
      <w:szCs w:val="20"/>
      <w:lang w:val="es-EC"/>
    </w:rPr>
  </w:style>
  <w:style w:type="paragraph" w:styleId="Encabezado">
    <w:name w:val="header"/>
    <w:basedOn w:val="Normal"/>
    <w:link w:val="EncabezadoCar"/>
    <w:uiPriority w:val="99"/>
    <w:unhideWhenUsed/>
    <w:rsid w:val="00FA33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3389"/>
    <w:rPr>
      <w:sz w:val="22"/>
      <w:szCs w:val="22"/>
      <w:lang w:val="es-EC"/>
    </w:rPr>
  </w:style>
  <w:style w:type="paragraph" w:styleId="Textodeglobo">
    <w:name w:val="Balloon Text"/>
    <w:basedOn w:val="Normal"/>
    <w:link w:val="TextodegloboCar"/>
    <w:uiPriority w:val="99"/>
    <w:semiHidden/>
    <w:unhideWhenUsed/>
    <w:rsid w:val="00FA338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A3389"/>
    <w:rPr>
      <w:rFonts w:ascii="Times New Roman" w:hAnsi="Times New Roman" w:cs="Times New Roman"/>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53323-611B-4BCF-A913-3A08E837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9752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PATRICIA TELLO TORAL</dc:creator>
  <cp:keywords/>
  <dc:description/>
  <cp:lastModifiedBy>Daniela Beatriz Palacios Navarrete</cp:lastModifiedBy>
  <cp:revision>2</cp:revision>
  <dcterms:created xsi:type="dcterms:W3CDTF">2023-06-10T14:09:00Z</dcterms:created>
  <dcterms:modified xsi:type="dcterms:W3CDTF">2023-06-10T14:09:00Z</dcterms:modified>
</cp:coreProperties>
</file>