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EL CONCEJO METROPOLITANO DE QUITO</w:t>
      </w: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CONSIDERANDO:</w:t>
      </w:r>
    </w:p>
    <w:p w:rsidR="00C926A0" w:rsidRPr="00EA337F"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A337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la Constitución de la República del Ecuador en su artículo 266, determina: </w:t>
      </w:r>
      <w:r w:rsidRPr="00EA337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A337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conforme establece el artículo 87, literal v) del COOTAD, al Concejo Metropolitano le corresponde: </w:t>
      </w:r>
      <w:r w:rsidRPr="00EA337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A337F">
        <w:rPr>
          <w:rFonts w:ascii="Palatino Linotype" w:eastAsiaTheme="minorHAnsi" w:hAnsi="Palatino Linotype"/>
          <w:sz w:val="22"/>
          <w:szCs w:val="22"/>
          <w:lang w:eastAsia="en-US"/>
        </w:rPr>
        <w:t xml:space="preserv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artículo 323 del COOTAD establece: “</w:t>
      </w:r>
      <w:r w:rsidRPr="00EA337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A337F">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424 del COOTAD señala: </w:t>
      </w:r>
      <w:r w:rsidRPr="00EA337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el artículo 472 del COOTAD señala que: </w:t>
      </w:r>
      <w:r w:rsidRPr="00EA337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2410 del el Código Civil Ecuatoriano determina que: </w:t>
      </w:r>
      <w:r w:rsidRPr="00EA337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jc w:val="both"/>
        <w:rPr>
          <w:rFonts w:ascii="Palatino Linotype" w:hAnsi="Palatino Linotype"/>
          <w:sz w:val="22"/>
          <w:szCs w:val="22"/>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Que,</w:t>
      </w:r>
      <w:r w:rsidRPr="00EA337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A337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A337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A337F">
        <w:rPr>
          <w:rFonts w:ascii="Palatino Linotype" w:hAnsi="Palatino Linotype"/>
          <w:i/>
          <w:sz w:val="22"/>
          <w:szCs w:val="22"/>
        </w:rPr>
        <w:t>”</w:t>
      </w:r>
      <w:r w:rsidRPr="00EA337F">
        <w:rPr>
          <w:rFonts w:ascii="Palatino Linotype" w:hAnsi="Palatino Linotype"/>
          <w:sz w:val="22"/>
          <w:szCs w:val="22"/>
        </w:rPr>
        <w:t xml:space="preserve">; </w:t>
      </w: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EA337F"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en su artículo 2171, establece: </w:t>
      </w:r>
      <w:r w:rsidRPr="00EA337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EA337F"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mediante oficio Nro.</w:t>
      </w:r>
      <w:r w:rsidRPr="00EA337F">
        <w:rPr>
          <w:rFonts w:ascii="Palatino Linotype" w:hAnsi="Palatino Linotype"/>
          <w:sz w:val="22"/>
          <w:szCs w:val="22"/>
        </w:rPr>
        <w:t xml:space="preserve"> 2950-2010 de 31 de octubre de 2011</w:t>
      </w:r>
      <w:r w:rsidRPr="00EA337F">
        <w:rPr>
          <w:rFonts w:ascii="Palatino Linotype" w:eastAsiaTheme="minorHAnsi" w:hAnsi="Palatino Linotype"/>
          <w:sz w:val="22"/>
          <w:szCs w:val="22"/>
          <w:lang w:eastAsia="en-US"/>
        </w:rPr>
        <w:t xml:space="preserve"> la Procuraduría Metropolitana emitió un </w:t>
      </w:r>
      <w:r w:rsidRPr="00EA337F">
        <w:rPr>
          <w:rFonts w:ascii="Palatino Linotype" w:hAnsi="Palatino Linotype"/>
          <w:sz w:val="22"/>
          <w:szCs w:val="22"/>
        </w:rPr>
        <w:t xml:space="preserve">pronunciamiento en forma general, respecto al marco legal y operativo para todos los casos de </w:t>
      </w:r>
      <w:r w:rsidRPr="00EA337F">
        <w:rPr>
          <w:rFonts w:ascii="Palatino Linotype" w:eastAsiaTheme="minorHAnsi" w:hAnsi="Palatino Linotype"/>
          <w:sz w:val="22"/>
          <w:szCs w:val="22"/>
          <w:lang w:eastAsia="en-US"/>
        </w:rPr>
        <w:t>prescripción extraordinaria adquisitiva de dominio;</w:t>
      </w:r>
    </w:p>
    <w:p w:rsidR="00027D50" w:rsidRPr="00EA337F"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1E2F33" w:rsidRPr="009164CE" w:rsidRDefault="00C926A0" w:rsidP="001E2F33">
      <w:pPr>
        <w:autoSpaceDE w:val="0"/>
        <w:autoSpaceDN w:val="0"/>
        <w:adjustRightInd w:val="0"/>
        <w:ind w:left="708" w:hanging="708"/>
        <w:jc w:val="both"/>
        <w:rPr>
          <w:rFonts w:ascii="Palatino Linotype" w:hAnsi="Palatino Linotype"/>
          <w:i/>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r>
      <w:r w:rsidR="001E2F33">
        <w:rPr>
          <w:rFonts w:ascii="Palatino Linotype" w:hAnsi="Palatino Linotype"/>
          <w:sz w:val="22"/>
          <w:szCs w:val="22"/>
        </w:rPr>
        <w:t>c</w:t>
      </w:r>
      <w:r w:rsidR="001E2F33" w:rsidRPr="009164CE">
        <w:rPr>
          <w:rFonts w:ascii="Palatino Linotype" w:hAnsi="Palatino Linotype"/>
          <w:sz w:val="22"/>
          <w:szCs w:val="22"/>
        </w:rPr>
        <w:t xml:space="preserve">onforme se desprende del memorando No. GADDMQ-AZQ-DAJ-2023-0055-M, de 19 de enero de 2023, mediante sentencia dictada el 10 de marzo del 2021, el Juez de la Unidad Judicial con Sede en la Parroquia Quitumbe del Distrito Metropolitano de Quito, provincia de Pichincha, dentro del Juicio Nro. 17233-2019-02230, resolvió: </w:t>
      </w:r>
      <w:r w:rsidR="001E2F33" w:rsidRPr="009164CE">
        <w:rPr>
          <w:rFonts w:ascii="Palatino Linotype" w:hAnsi="Palatino Linotype"/>
          <w:i/>
          <w:sz w:val="22"/>
          <w:szCs w:val="22"/>
        </w:rPr>
        <w:t>“(</w:t>
      </w:r>
      <w:r w:rsidR="001E2F33" w:rsidRPr="009164CE">
        <w:rPr>
          <w:rFonts w:ascii="Palatino Linotype" w:hAnsi="Palatino Linotype" w:cs="Arial"/>
          <w:i/>
          <w:sz w:val="22"/>
          <w:szCs w:val="22"/>
        </w:rPr>
        <w:t>...</w:t>
      </w:r>
      <w:r w:rsidR="001E2F33" w:rsidRPr="009164CE">
        <w:rPr>
          <w:rFonts w:ascii="Palatino Linotype" w:hAnsi="Palatino Linotype"/>
          <w:i/>
          <w:sz w:val="22"/>
          <w:szCs w:val="22"/>
        </w:rPr>
        <w:t xml:space="preserve">) se acepta la demanda, de conformidad con las normas legales referidas; y, se declara que, Ignacio Cornelio Molina Gómez portador de la cédula de ciudadanía No. 1708717432 y María Olga Tenezaca Quezada portadora de la cédula de ciudadanía No. 060390444-2, han </w:t>
      </w:r>
      <w:r w:rsidR="001E2F33" w:rsidRPr="009164CE">
        <w:rPr>
          <w:rFonts w:ascii="Palatino Linotype" w:hAnsi="Palatino Linotype"/>
          <w:i/>
          <w:sz w:val="22"/>
          <w:szCs w:val="22"/>
        </w:rPr>
        <w:lastRenderedPageBreak/>
        <w:t>adquirido por prescripción adquisitiva extraordinaria de dominio el lote de terreno No. 290 de una superficie de 188m2, ubicado en la calle Mateo y Aarón, en el barrio La Pampa 1, parroquia Turubamba, cantón Quito, provincia de Pichincha; linderado así: Norte.- En 13,90m con la calle pública Mateo y se identifica por un cerramiento de hormigón y mampostería de bloque de puerta metálica; Sur.- En 13,95m con el lote No. 282 del posesionario Parco Ulvio en una parte y en otra parte con el lote No. 283 de Pedro Cajilema. Lindero que se identifica por tener un cerramiento de columnas de hormigón y bloque; y forma parte de la edificación; Este: En 13,50m con el lote No. 288 de Zoila Ortiz, cuyo cerramiento es de madera, sujetas con pingos; y, Oeste. - En 13,50 con el lote No. 291 de Hilario Salvatierra cuyo lindero se identifica por tener un cerramiento de columnas de hormigón y bloque que forman parte de la edificación. Dando una extensión de 188m2. Con la casa de habitación de dos plantas, media agua aledaña y todos los servicios existentes (</w:t>
      </w:r>
      <w:r w:rsidR="001E2F33" w:rsidRPr="009164CE">
        <w:rPr>
          <w:rFonts w:ascii="Palatino Linotype" w:hAnsi="Palatino Linotype" w:cs="Arial"/>
          <w:i/>
          <w:sz w:val="22"/>
          <w:szCs w:val="22"/>
        </w:rPr>
        <w:t>...</w:t>
      </w:r>
      <w:r w:rsidR="001E2F33" w:rsidRPr="009164CE">
        <w:rPr>
          <w:rFonts w:ascii="Palatino Linotype" w:hAnsi="Palatino Linotype"/>
          <w:i/>
          <w:sz w:val="22"/>
          <w:szCs w:val="22"/>
        </w:rPr>
        <w:t>)”</w:t>
      </w:r>
      <w:r w:rsidR="00563512">
        <w:rPr>
          <w:rFonts w:ascii="Palatino Linotype" w:hAnsi="Palatino Linotype"/>
          <w:i/>
          <w:sz w:val="22"/>
          <w:szCs w:val="22"/>
        </w:rPr>
        <w:t xml:space="preserve">; </w:t>
      </w:r>
    </w:p>
    <w:p w:rsidR="00F073C7" w:rsidRPr="00EA337F" w:rsidRDefault="00F073C7" w:rsidP="001E2F33">
      <w:pPr>
        <w:autoSpaceDE w:val="0"/>
        <w:autoSpaceDN w:val="0"/>
        <w:adjustRightInd w:val="0"/>
        <w:ind w:left="708" w:hanging="708"/>
        <w:jc w:val="both"/>
        <w:rPr>
          <w:rFonts w:ascii="Palatino Linotype" w:hAnsi="Palatino Linotype"/>
          <w:i/>
          <w:sz w:val="22"/>
          <w:szCs w:val="22"/>
        </w:rPr>
      </w:pPr>
    </w:p>
    <w:p w:rsidR="001F733D" w:rsidRPr="00EA337F" w:rsidRDefault="0013405F" w:rsidP="0013405F">
      <w:pPr>
        <w:pStyle w:val="Default"/>
        <w:ind w:left="708" w:hanging="708"/>
        <w:jc w:val="both"/>
        <w:rPr>
          <w:sz w:val="22"/>
          <w:szCs w:val="22"/>
        </w:rPr>
      </w:pPr>
      <w:r w:rsidRPr="00EA337F">
        <w:rPr>
          <w:b/>
          <w:sz w:val="22"/>
          <w:szCs w:val="22"/>
        </w:rPr>
        <w:t>Que,</w:t>
      </w:r>
      <w:r w:rsidRPr="00EA337F">
        <w:rPr>
          <w:sz w:val="22"/>
          <w:szCs w:val="22"/>
        </w:rPr>
        <w:t xml:space="preserve"> m</w:t>
      </w:r>
      <w:r w:rsidR="001F733D" w:rsidRPr="00EA337F">
        <w:rPr>
          <w:sz w:val="22"/>
          <w:szCs w:val="22"/>
        </w:rPr>
        <w:t>ediante oficio GADDMQ-PM-2021-03</w:t>
      </w:r>
      <w:r w:rsidR="00AC0982" w:rsidRPr="00EA337F">
        <w:rPr>
          <w:sz w:val="22"/>
          <w:szCs w:val="22"/>
        </w:rPr>
        <w:t>96-O de 29 de enero de 2021, el</w:t>
      </w:r>
      <w:r w:rsidR="001F733D" w:rsidRPr="00EA337F">
        <w:rPr>
          <w:sz w:val="22"/>
          <w:szCs w:val="22"/>
        </w:rPr>
        <w:t xml:space="preserve"> Dr. Edison Yépez Vinueza, Subprocurador Metropolitano, señala: </w:t>
      </w:r>
    </w:p>
    <w:p w:rsidR="001F733D" w:rsidRPr="00EA337F" w:rsidRDefault="001F733D" w:rsidP="001F733D">
      <w:pPr>
        <w:tabs>
          <w:tab w:val="left" w:pos="426"/>
        </w:tabs>
        <w:ind w:left="1416" w:right="566"/>
        <w:jc w:val="both"/>
        <w:rPr>
          <w:rFonts w:ascii="Palatino Linotype" w:hAnsi="Palatino Linotype"/>
          <w:i/>
          <w:sz w:val="22"/>
          <w:szCs w:val="22"/>
        </w:rPr>
      </w:pP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Pr="00EA337F" w:rsidRDefault="001F733D" w:rsidP="001F733D">
      <w:pPr>
        <w:tabs>
          <w:tab w:val="left" w:pos="284"/>
        </w:tabs>
        <w:jc w:val="both"/>
        <w:rPr>
          <w:rFonts w:ascii="Palatino Linotype" w:hAnsi="Palatino Linotype"/>
          <w:i/>
          <w:sz w:val="22"/>
          <w:szCs w:val="22"/>
        </w:rPr>
      </w:pPr>
    </w:p>
    <w:p w:rsidR="006D2D14" w:rsidRPr="009164CE" w:rsidRDefault="000B4CF2" w:rsidP="00DD732A">
      <w:pPr>
        <w:tabs>
          <w:tab w:val="left" w:pos="709"/>
        </w:tabs>
        <w:ind w:left="709" w:hanging="796"/>
        <w:jc w:val="both"/>
        <w:rPr>
          <w:rFonts w:ascii="Palatino Linotype" w:hAnsi="Palatino Linotype"/>
          <w:sz w:val="22"/>
          <w:szCs w:val="22"/>
        </w:rPr>
      </w:pPr>
      <w:r w:rsidRPr="00EA337F">
        <w:rPr>
          <w:rFonts w:ascii="Palatino Linotype" w:hAnsi="Palatino Linotype"/>
          <w:sz w:val="22"/>
          <w:szCs w:val="22"/>
        </w:rPr>
        <w:t xml:space="preserve">Que, </w:t>
      </w:r>
      <w:r w:rsidR="006D2D14">
        <w:rPr>
          <w:rFonts w:ascii="Palatino Linotype" w:hAnsi="Palatino Linotype"/>
          <w:sz w:val="22"/>
          <w:szCs w:val="22"/>
        </w:rPr>
        <w:t>m</w:t>
      </w:r>
      <w:r w:rsidR="006D2D14" w:rsidRPr="009164CE">
        <w:rPr>
          <w:rFonts w:ascii="Palatino Linotype" w:hAnsi="Palatino Linotype"/>
          <w:sz w:val="22"/>
          <w:szCs w:val="22"/>
        </w:rPr>
        <w:t xml:space="preserve">ediante informe técnico Nro. </w:t>
      </w:r>
      <w:r w:rsidR="006D2D14" w:rsidRPr="009164CE">
        <w:rPr>
          <w:rStyle w:val="markedcontent"/>
          <w:rFonts w:ascii="Palatino Linotype" w:hAnsi="Palatino Linotype" w:cs="Arial"/>
          <w:sz w:val="22"/>
          <w:szCs w:val="22"/>
        </w:rPr>
        <w:t>AZQ-DGT-UGU-IT- 2022-272</w:t>
      </w:r>
      <w:r w:rsidR="006D2D14" w:rsidRPr="009164CE">
        <w:rPr>
          <w:rFonts w:ascii="Palatino Linotype" w:hAnsi="Palatino Linotype"/>
          <w:sz w:val="22"/>
          <w:szCs w:val="22"/>
        </w:rPr>
        <w:t xml:space="preserve">, de 04 de enero de 2023, la Arq. Ana Lucía Loza Anda, Responsable de la Unidad de Gestión Urbana de la Administración Zonal Eloy Alfaro, señala: </w:t>
      </w:r>
    </w:p>
    <w:p w:rsidR="006D2D14" w:rsidRPr="009164CE" w:rsidRDefault="006D2D14" w:rsidP="006D2D14">
      <w:pPr>
        <w:tabs>
          <w:tab w:val="left" w:pos="1080"/>
        </w:tabs>
        <w:ind w:left="708"/>
        <w:jc w:val="both"/>
        <w:rPr>
          <w:rFonts w:ascii="Palatino Linotype" w:hAnsi="Palatino Linotype"/>
          <w:b/>
          <w:i/>
          <w:sz w:val="22"/>
          <w:szCs w:val="22"/>
        </w:rPr>
      </w:pPr>
    </w:p>
    <w:p w:rsidR="006D2D14" w:rsidRPr="009164CE" w:rsidRDefault="006D2D14" w:rsidP="006D2D14">
      <w:pPr>
        <w:tabs>
          <w:tab w:val="left" w:pos="1080"/>
        </w:tabs>
        <w:ind w:left="708"/>
        <w:jc w:val="both"/>
        <w:rPr>
          <w:rFonts w:ascii="Palatino Linotype" w:hAnsi="Palatino Linotype"/>
          <w:b/>
          <w:i/>
          <w:sz w:val="22"/>
          <w:szCs w:val="22"/>
        </w:rPr>
      </w:pPr>
      <w:r w:rsidRPr="009164CE">
        <w:rPr>
          <w:rFonts w:ascii="Palatino Linotype" w:hAnsi="Palatino Linotype"/>
          <w:b/>
          <w:i/>
          <w:sz w:val="22"/>
          <w:szCs w:val="22"/>
        </w:rPr>
        <w:t>“(…)  5. CONCLUSIONES</w:t>
      </w:r>
    </w:p>
    <w:p w:rsidR="006D2D14" w:rsidRPr="009164CE" w:rsidRDefault="006D2D14" w:rsidP="006D2D14">
      <w:pPr>
        <w:tabs>
          <w:tab w:val="left" w:pos="1080"/>
        </w:tabs>
        <w:ind w:left="708"/>
        <w:jc w:val="both"/>
        <w:rPr>
          <w:rStyle w:val="markedcontent"/>
          <w:rFonts w:ascii="Palatino Linotype" w:hAnsi="Palatino Linotype" w:cs="Arial"/>
          <w:i/>
          <w:sz w:val="22"/>
          <w:szCs w:val="22"/>
        </w:rPr>
      </w:pPr>
      <w:r w:rsidRPr="009164CE">
        <w:rPr>
          <w:rFonts w:ascii="Palatino Linotype" w:hAnsi="Palatino Linotype"/>
          <w:i/>
          <w:sz w:val="22"/>
          <w:szCs w:val="22"/>
        </w:rPr>
        <w:lastRenderedPageBreak/>
        <w:br/>
      </w:r>
      <w:r w:rsidRPr="009164CE">
        <w:rPr>
          <w:rStyle w:val="markedcontent"/>
          <w:rFonts w:ascii="Palatino Linotype" w:hAnsi="Palatino Linotype" w:cs="Arial"/>
          <w:i/>
          <w:sz w:val="22"/>
          <w:szCs w:val="22"/>
        </w:rPr>
        <w:t>Del análisis técnico se desprende que, la prescripción adquisitiva de dominio de una parte del inmueble del predio No. 103067, No Cumple con los datos establecidos en la zonificación vigente, tales como, “lote mínimo” y “frente mínimo”, el área prescrita corresponde a 188M2 menor a 300m2 zonificación vigente; razón por la que se emite Informe Técnico desfavorable, motivo que no cumple con las condiciones generales de los inmuebles de la zona.</w:t>
      </w:r>
    </w:p>
    <w:p w:rsidR="006D2D14" w:rsidRPr="009164CE" w:rsidRDefault="006D2D14" w:rsidP="006D2D14">
      <w:pPr>
        <w:tabs>
          <w:tab w:val="left" w:pos="1080"/>
        </w:tabs>
        <w:ind w:left="708"/>
        <w:jc w:val="both"/>
        <w:rPr>
          <w:rStyle w:val="markedcontent"/>
          <w:rFonts w:ascii="Palatino Linotype" w:hAnsi="Palatino Linotype" w:cs="Arial"/>
          <w:i/>
          <w:sz w:val="22"/>
          <w:szCs w:val="22"/>
        </w:rPr>
      </w:pPr>
      <w:r w:rsidRPr="009164CE">
        <w:rPr>
          <w:rFonts w:ascii="Palatino Linotype" w:hAnsi="Palatino Linotype"/>
          <w:i/>
          <w:sz w:val="22"/>
          <w:szCs w:val="22"/>
        </w:rPr>
        <w:br/>
      </w:r>
      <w:r w:rsidRPr="009164CE">
        <w:rPr>
          <w:rStyle w:val="markedcontent"/>
          <w:rFonts w:ascii="Palatino Linotype" w:hAnsi="Palatino Linotype" w:cs="Arial"/>
          <w:i/>
          <w:sz w:val="22"/>
          <w:szCs w:val="22"/>
        </w:rPr>
        <w:t>La Unidad de Gestión Urbana emite este informe en base al CÓDIGO MUNICIPAL PARA EL DISTRITO METROPOLITANO DE QUITO y el Pronunciamiento de la Procuraduría Metropolitana la misma que se describe en el Expediente No.:2950-2010 de fecha 31 Oct 2011, Referencia: Consulta sobre sentencia de prescripción adquisitiva de dominio, suscrito por la Señora Magíster Natalia Novillo Rameix, SECRETARIA DE COORDINACIÓN TERRITORIAL Y PARTICIPACIÓN CIUDADANA, la cual describe en MARCO NORMATIVO APLICABLE, claramente</w:t>
      </w:r>
      <w:r w:rsidR="00EF041A">
        <w:rPr>
          <w:rStyle w:val="markedcontent"/>
          <w:rFonts w:ascii="Palatino Linotype" w:hAnsi="Palatino Linotype" w:cs="Arial"/>
          <w:i/>
          <w:sz w:val="22"/>
          <w:szCs w:val="22"/>
        </w:rPr>
        <w:t xml:space="preserve"> </w:t>
      </w:r>
      <w:r w:rsidRPr="009164CE">
        <w:rPr>
          <w:rStyle w:val="markedcontent"/>
          <w:rFonts w:ascii="Palatino Linotype" w:hAnsi="Palatino Linotype" w:cs="Arial"/>
          <w:i/>
          <w:sz w:val="22"/>
          <w:szCs w:val="22"/>
        </w:rPr>
        <w:t>especifica en el literal B.2.1.</w:t>
      </w:r>
    </w:p>
    <w:p w:rsidR="006D2D14" w:rsidRPr="00EA337F" w:rsidRDefault="006D2D14" w:rsidP="006A4027">
      <w:pPr>
        <w:tabs>
          <w:tab w:val="left" w:pos="1080"/>
        </w:tabs>
        <w:ind w:left="708"/>
        <w:jc w:val="both"/>
        <w:rPr>
          <w:rFonts w:ascii="Palatino Linotype" w:hAnsi="Palatino Linotype"/>
          <w:b/>
          <w:sz w:val="22"/>
          <w:szCs w:val="22"/>
        </w:rPr>
      </w:pPr>
      <w:r w:rsidRPr="009164CE">
        <w:rPr>
          <w:rFonts w:ascii="Palatino Linotype" w:hAnsi="Palatino Linotype"/>
          <w:i/>
          <w:sz w:val="22"/>
          <w:szCs w:val="22"/>
        </w:rPr>
        <w:br/>
      </w:r>
      <w:r w:rsidRPr="009164CE">
        <w:rPr>
          <w:rStyle w:val="markedcontent"/>
          <w:rFonts w:ascii="Palatino Linotype" w:hAnsi="Palatino Linotype" w:cs="Arial"/>
          <w:i/>
          <w:sz w:val="22"/>
          <w:szCs w:val="22"/>
        </w:rPr>
        <w:t>La Dirección de Asesoría Jurídica verificará la idoneidad de la documentación y la factibilidad legal del trámite, dará continuidad conforme en el ámbito de sus competencias lo que el ma</w:t>
      </w:r>
      <w:r w:rsidR="00EF041A">
        <w:rPr>
          <w:rStyle w:val="markedcontent"/>
          <w:rFonts w:ascii="Palatino Linotype" w:hAnsi="Palatino Linotype" w:cs="Arial"/>
          <w:i/>
          <w:sz w:val="22"/>
          <w:szCs w:val="22"/>
        </w:rPr>
        <w:t xml:space="preserve">rco legal vigente”; </w:t>
      </w:r>
    </w:p>
    <w:p w:rsidR="00CF748D" w:rsidRPr="00EA337F" w:rsidRDefault="00CF748D" w:rsidP="00A76A16">
      <w:pPr>
        <w:tabs>
          <w:tab w:val="left" w:pos="1080"/>
        </w:tabs>
        <w:jc w:val="both"/>
        <w:rPr>
          <w:rFonts w:ascii="Palatino Linotype" w:hAnsi="Palatino Linotype"/>
          <w:sz w:val="22"/>
          <w:szCs w:val="22"/>
        </w:rPr>
      </w:pPr>
    </w:p>
    <w:p w:rsidR="001A1C17" w:rsidRPr="009164CE" w:rsidRDefault="00E41B4B" w:rsidP="001A1C17">
      <w:pPr>
        <w:pStyle w:val="Default"/>
        <w:jc w:val="both"/>
        <w:rPr>
          <w:sz w:val="22"/>
          <w:szCs w:val="22"/>
        </w:rPr>
      </w:pPr>
      <w:r w:rsidRPr="00EA337F">
        <w:rPr>
          <w:sz w:val="22"/>
          <w:szCs w:val="22"/>
        </w:rPr>
        <w:t xml:space="preserve">Que, </w:t>
      </w:r>
      <w:r w:rsidR="001A1C17">
        <w:rPr>
          <w:sz w:val="22"/>
          <w:szCs w:val="22"/>
        </w:rPr>
        <w:t>m</w:t>
      </w:r>
      <w:r w:rsidR="001A1C17" w:rsidRPr="009164CE">
        <w:rPr>
          <w:sz w:val="22"/>
          <w:szCs w:val="22"/>
        </w:rPr>
        <w:t xml:space="preserve">ediante </w:t>
      </w:r>
      <w:r w:rsidR="001A1C17" w:rsidRPr="009164CE">
        <w:rPr>
          <w:sz w:val="22"/>
          <w:szCs w:val="22"/>
          <w:lang w:val="es-EC"/>
        </w:rPr>
        <w:t xml:space="preserve">memorando Nro. </w:t>
      </w:r>
      <w:r w:rsidR="001A1C17" w:rsidRPr="009164CE">
        <w:rPr>
          <w:sz w:val="22"/>
          <w:szCs w:val="22"/>
        </w:rPr>
        <w:t>GADDMQ-AZQ-DAJ-2023-0055-M,</w:t>
      </w:r>
      <w:r w:rsidR="001A1C17" w:rsidRPr="009164CE">
        <w:rPr>
          <w:sz w:val="22"/>
          <w:szCs w:val="22"/>
          <w:lang w:val="es-EC"/>
        </w:rPr>
        <w:t xml:space="preserve"> </w:t>
      </w:r>
      <w:r w:rsidR="001A1C17" w:rsidRPr="009164CE">
        <w:rPr>
          <w:sz w:val="22"/>
          <w:szCs w:val="22"/>
        </w:rPr>
        <w:t xml:space="preserve">de 19 de enero de 2023, la Abg. Gabriela Alexandra Villegas Guerrero, Directora de Asesoría Jurídica de la Administración Zonal Quitumbe, señala: </w:t>
      </w:r>
    </w:p>
    <w:p w:rsidR="001A1C17" w:rsidRPr="009164CE" w:rsidRDefault="001A1C17" w:rsidP="001A1C17">
      <w:pPr>
        <w:pStyle w:val="Default"/>
        <w:jc w:val="center"/>
        <w:rPr>
          <w:i/>
          <w:sz w:val="22"/>
          <w:szCs w:val="22"/>
        </w:rPr>
      </w:pPr>
    </w:p>
    <w:p w:rsidR="001A1C17" w:rsidRPr="009164CE" w:rsidRDefault="001A1C17" w:rsidP="001A1C17">
      <w:pPr>
        <w:tabs>
          <w:tab w:val="left" w:pos="284"/>
        </w:tabs>
        <w:ind w:left="708"/>
        <w:jc w:val="both"/>
        <w:rPr>
          <w:rFonts w:ascii="Palatino Linotype" w:hAnsi="Palatino Linotype"/>
          <w:b/>
          <w:i/>
          <w:sz w:val="22"/>
          <w:szCs w:val="22"/>
        </w:rPr>
      </w:pPr>
      <w:r w:rsidRPr="009164CE">
        <w:rPr>
          <w:rFonts w:ascii="Palatino Linotype" w:eastAsiaTheme="minorHAnsi" w:hAnsi="Palatino Linotype" w:cs="Palatino Linotype"/>
          <w:b/>
          <w:i/>
          <w:color w:val="000000"/>
          <w:sz w:val="22"/>
          <w:szCs w:val="22"/>
          <w:lang w:eastAsia="en-US"/>
        </w:rPr>
        <w:t xml:space="preserve">“(…) </w:t>
      </w:r>
      <w:r w:rsidRPr="009164CE">
        <w:rPr>
          <w:rFonts w:ascii="Palatino Linotype" w:hAnsi="Palatino Linotype"/>
          <w:b/>
          <w:i/>
          <w:sz w:val="22"/>
          <w:szCs w:val="22"/>
        </w:rPr>
        <w:t xml:space="preserve">PRONUNCIAMIENTO LEGAL:  </w:t>
      </w:r>
    </w:p>
    <w:p w:rsidR="001A1C17" w:rsidRPr="009164CE" w:rsidRDefault="001A1C17" w:rsidP="001A1C17">
      <w:pPr>
        <w:tabs>
          <w:tab w:val="left" w:pos="284"/>
        </w:tabs>
        <w:jc w:val="both"/>
        <w:rPr>
          <w:rFonts w:ascii="Palatino Linotype" w:hAnsi="Palatino Linotype"/>
          <w:i/>
          <w:sz w:val="22"/>
          <w:szCs w:val="22"/>
        </w:rPr>
      </w:pPr>
    </w:p>
    <w:p w:rsidR="001A1C17" w:rsidRPr="009164CE" w:rsidRDefault="001A1C17" w:rsidP="001A1C17">
      <w:pPr>
        <w:tabs>
          <w:tab w:val="left" w:pos="284"/>
        </w:tabs>
        <w:ind w:left="708"/>
        <w:jc w:val="both"/>
        <w:rPr>
          <w:rFonts w:ascii="Palatino Linotype" w:hAnsi="Palatino Linotype"/>
          <w:b/>
          <w:i/>
          <w:sz w:val="22"/>
          <w:szCs w:val="22"/>
        </w:rPr>
      </w:pPr>
      <w:r w:rsidRPr="009164CE">
        <w:rPr>
          <w:rFonts w:ascii="Palatino Linotype" w:hAnsi="Palatino Linotype"/>
          <w:i/>
          <w:sz w:val="22"/>
          <w:szCs w:val="22"/>
        </w:rPr>
        <w:t>En virtud de los antecedentes expuestos, y con sustento en el Informe Técnico de</w:t>
      </w:r>
      <w:r w:rsidRPr="009164CE">
        <w:rPr>
          <w:rFonts w:ascii="Palatino Linotype" w:hAnsi="Palatino Linotype"/>
          <w:i/>
          <w:sz w:val="22"/>
          <w:szCs w:val="22"/>
        </w:rPr>
        <w:br/>
        <w:t>Prescripción Extraordinaria Adquisitiva Nro. AZQ-DGT-UGU-IT-2022-272, remitido</w:t>
      </w:r>
      <w:r w:rsidRPr="009164CE">
        <w:rPr>
          <w:rFonts w:ascii="Palatino Linotype" w:hAnsi="Palatino Linotype"/>
          <w:i/>
          <w:sz w:val="22"/>
          <w:szCs w:val="22"/>
        </w:rPr>
        <w:br/>
        <w:t>mediante memorando Nro. GADDMQ-AZQ-DGT-UGU-2023-0004-M de fecha 04 de</w:t>
      </w:r>
      <w:r w:rsidRPr="009164CE">
        <w:rPr>
          <w:rFonts w:ascii="Palatino Linotype" w:hAnsi="Palatino Linotype"/>
          <w:i/>
          <w:sz w:val="22"/>
          <w:szCs w:val="22"/>
        </w:rPr>
        <w:br/>
        <w:t>enero de 2023, con el cual se indica que el predio Nro. 103067, No cumple con los datos</w:t>
      </w:r>
      <w:r w:rsidRPr="009164CE">
        <w:rPr>
          <w:rFonts w:ascii="Palatino Linotype" w:hAnsi="Palatino Linotype"/>
          <w:i/>
          <w:sz w:val="22"/>
          <w:szCs w:val="22"/>
        </w:rPr>
        <w:br/>
        <w:t>establecidos en la zonificación vigente, tales como, “lote mínimo” y “frente mínimo”,</w:t>
      </w:r>
      <w:r w:rsidRPr="009164CE">
        <w:rPr>
          <w:rFonts w:ascii="Palatino Linotype" w:hAnsi="Palatino Linotype"/>
          <w:i/>
          <w:sz w:val="22"/>
          <w:szCs w:val="22"/>
        </w:rPr>
        <w:br/>
        <w:t>pues el área prescrita corresponde a 188M2, área menor a los 300 m2 establecidos</w:t>
      </w:r>
      <w:r w:rsidRPr="009164CE">
        <w:rPr>
          <w:rFonts w:ascii="Palatino Linotype" w:hAnsi="Palatino Linotype"/>
          <w:i/>
          <w:sz w:val="22"/>
          <w:szCs w:val="22"/>
        </w:rPr>
        <w:br/>
        <w:t>conforme la zonificación vigente; con la finalidad de dar cumplimiento a la sentencia</w:t>
      </w:r>
      <w:r w:rsidRPr="009164CE">
        <w:rPr>
          <w:rFonts w:ascii="Palatino Linotype" w:hAnsi="Palatino Linotype"/>
          <w:i/>
          <w:sz w:val="22"/>
          <w:szCs w:val="22"/>
        </w:rPr>
        <w:br/>
        <w:t>dictada el 10 de marzo del 2021 a favor de los señores Ignacio Cornelio Molina Gómez y</w:t>
      </w:r>
      <w:r w:rsidRPr="009164CE">
        <w:rPr>
          <w:rFonts w:ascii="Palatino Linotype" w:hAnsi="Palatino Linotype"/>
          <w:i/>
          <w:sz w:val="22"/>
          <w:szCs w:val="22"/>
        </w:rPr>
        <w:br/>
        <w:t>María Olga Tenezaca Quezada, por la Unidad Judicial Civil con sede en la Parroquia</w:t>
      </w:r>
      <w:r w:rsidRPr="009164CE">
        <w:rPr>
          <w:rFonts w:ascii="Palatino Linotype" w:hAnsi="Palatino Linotype"/>
          <w:i/>
          <w:sz w:val="22"/>
          <w:szCs w:val="22"/>
        </w:rPr>
        <w:br/>
        <w:t>Quitumbe del Distrito Metropolitano de Quito, provincia de Pichincha, dentro del juicio</w:t>
      </w:r>
      <w:r w:rsidRPr="009164CE">
        <w:rPr>
          <w:rFonts w:ascii="Palatino Linotype" w:hAnsi="Palatino Linotype"/>
          <w:i/>
          <w:sz w:val="22"/>
          <w:szCs w:val="22"/>
        </w:rPr>
        <w:br/>
        <w:t>de prescripción adquisitiva extraordinaria de dominio antes citado, esta Dirección de</w:t>
      </w:r>
      <w:r w:rsidRPr="009164CE">
        <w:rPr>
          <w:rFonts w:ascii="Palatino Linotype" w:hAnsi="Palatino Linotype"/>
          <w:i/>
          <w:sz w:val="22"/>
          <w:szCs w:val="22"/>
        </w:rPr>
        <w:br/>
        <w:t xml:space="preserve">Asesoría Jurídica emite </w:t>
      </w:r>
      <w:r w:rsidRPr="009164CE">
        <w:rPr>
          <w:rFonts w:ascii="Palatino Linotype" w:hAnsi="Palatino Linotype"/>
          <w:b/>
          <w:i/>
          <w:sz w:val="22"/>
          <w:szCs w:val="22"/>
        </w:rPr>
        <w:t>INFORME LEGAL FAVORABLE para que el Concejo</w:t>
      </w:r>
      <w:r w:rsidRPr="009164CE">
        <w:rPr>
          <w:rFonts w:ascii="Palatino Linotype" w:hAnsi="Palatino Linotype"/>
          <w:b/>
          <w:i/>
          <w:sz w:val="22"/>
          <w:szCs w:val="22"/>
        </w:rPr>
        <w:br/>
        <w:t>Metropolitano en acatamiento de la sentencia, cambie las condiciones para este inmueble en particular, estableciendo una excepción a las condiciones generales.</w:t>
      </w:r>
    </w:p>
    <w:p w:rsidR="001A1C17" w:rsidRPr="009164CE" w:rsidRDefault="001A1C17" w:rsidP="001A1C17">
      <w:pPr>
        <w:tabs>
          <w:tab w:val="left" w:pos="284"/>
        </w:tabs>
        <w:ind w:left="708"/>
        <w:jc w:val="both"/>
        <w:rPr>
          <w:rFonts w:ascii="Palatino Linotype" w:hAnsi="Palatino Linotype"/>
          <w:i/>
          <w:sz w:val="22"/>
          <w:szCs w:val="22"/>
        </w:rPr>
      </w:pPr>
    </w:p>
    <w:p w:rsidR="001A1C17" w:rsidRPr="009164CE" w:rsidRDefault="001A1C17" w:rsidP="001A1C17">
      <w:pPr>
        <w:tabs>
          <w:tab w:val="left" w:pos="284"/>
        </w:tabs>
        <w:ind w:left="708"/>
        <w:jc w:val="both"/>
        <w:rPr>
          <w:rFonts w:ascii="Palatino Linotype" w:hAnsi="Palatino Linotype"/>
          <w:b/>
          <w:i/>
          <w:sz w:val="22"/>
          <w:szCs w:val="22"/>
        </w:rPr>
      </w:pPr>
      <w:r w:rsidRPr="009164CE">
        <w:rPr>
          <w:rFonts w:ascii="Palatino Linotype" w:hAnsi="Palatino Linotype"/>
          <w:b/>
          <w:i/>
          <w:sz w:val="22"/>
          <w:szCs w:val="22"/>
        </w:rPr>
        <w:lastRenderedPageBreak/>
        <w:t>Así mismo, en lo referente al área verde, se ceñirá a lo establecido en el artículo</w:t>
      </w:r>
      <w:r w:rsidRPr="009164CE">
        <w:rPr>
          <w:rFonts w:ascii="Palatino Linotype" w:hAnsi="Palatino Linotype"/>
          <w:b/>
          <w:i/>
          <w:sz w:val="22"/>
          <w:szCs w:val="22"/>
        </w:rPr>
        <w:br/>
        <w:t>2266.160 del Código Municipal para el Distrito Metropolitano de Quito.</w:t>
      </w:r>
    </w:p>
    <w:p w:rsidR="00AB78A2" w:rsidRPr="009164CE" w:rsidRDefault="00AB78A2" w:rsidP="00306C08">
      <w:pPr>
        <w:pStyle w:val="Default"/>
        <w:ind w:left="708" w:hanging="708"/>
        <w:jc w:val="both"/>
        <w:rPr>
          <w:i/>
          <w:sz w:val="22"/>
          <w:szCs w:val="22"/>
        </w:rPr>
      </w:pPr>
    </w:p>
    <w:p w:rsidR="00FE1203" w:rsidRPr="00EA337F" w:rsidRDefault="00FE1203" w:rsidP="00FE1203">
      <w:pPr>
        <w:pStyle w:val="Default"/>
        <w:ind w:left="708" w:hanging="708"/>
        <w:jc w:val="both"/>
        <w:rPr>
          <w:sz w:val="22"/>
          <w:szCs w:val="22"/>
        </w:rPr>
      </w:pPr>
      <w:r w:rsidRPr="00EA337F">
        <w:rPr>
          <w:sz w:val="22"/>
          <w:szCs w:val="22"/>
        </w:rPr>
        <w:t xml:space="preserve">Que, </w:t>
      </w:r>
      <w:r w:rsidRPr="00EA337F">
        <w:rPr>
          <w:sz w:val="22"/>
          <w:szCs w:val="22"/>
        </w:rPr>
        <w:tab/>
        <w:t>la Comisión de Uso de Su</w:t>
      </w:r>
      <w:r w:rsidR="00E02AE3" w:rsidRPr="00EA337F">
        <w:rPr>
          <w:sz w:val="22"/>
          <w:szCs w:val="22"/>
        </w:rPr>
        <w:t xml:space="preserve">elo en sesión ordinaria Nro. </w:t>
      </w:r>
      <w:r w:rsidR="002D0586">
        <w:rPr>
          <w:sz w:val="22"/>
          <w:szCs w:val="22"/>
        </w:rPr>
        <w:t>201</w:t>
      </w:r>
      <w:r w:rsidRPr="00EA337F">
        <w:rPr>
          <w:sz w:val="22"/>
          <w:szCs w:val="22"/>
        </w:rPr>
        <w:t xml:space="preserve">, de </w:t>
      </w:r>
      <w:r w:rsidR="002D0586">
        <w:rPr>
          <w:sz w:val="22"/>
          <w:szCs w:val="22"/>
        </w:rPr>
        <w:t xml:space="preserve">10 </w:t>
      </w:r>
      <w:r w:rsidRPr="00EA337F">
        <w:rPr>
          <w:sz w:val="22"/>
          <w:szCs w:val="22"/>
        </w:rPr>
        <w:t xml:space="preserve">de </w:t>
      </w:r>
      <w:r w:rsidR="002D0586">
        <w:rPr>
          <w:sz w:val="22"/>
          <w:szCs w:val="22"/>
        </w:rPr>
        <w:t>abril de 2023</w:t>
      </w:r>
      <w:r w:rsidRPr="00EA337F">
        <w:rPr>
          <w:sz w:val="22"/>
          <w:szCs w:val="22"/>
        </w:rPr>
        <w:t xml:space="preserve">, analizó los informes técnicos y legales, que reposan en el expediente ,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035E6C" w:rsidRPr="00EA337F"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Concejo Metropolitano de Quito, en sesión pública ordinaria r</w:t>
      </w:r>
      <w:r w:rsidR="002D0586">
        <w:rPr>
          <w:rFonts w:ascii="Palatino Linotype" w:eastAsiaTheme="minorHAnsi" w:hAnsi="Palatino Linotype"/>
          <w:sz w:val="22"/>
          <w:szCs w:val="22"/>
          <w:lang w:eastAsia="en-US"/>
        </w:rPr>
        <w:t>ealizada el … de … de 2023</w:t>
      </w:r>
      <w:r w:rsidRPr="00EA337F">
        <w:rPr>
          <w:rFonts w:ascii="Palatino Linotype" w:eastAsiaTheme="minorHAnsi" w:hAnsi="Palatino Linotype"/>
          <w:sz w:val="22"/>
          <w:szCs w:val="22"/>
          <w:lang w:eastAsia="en-US"/>
        </w:rPr>
        <w:t>, ana</w:t>
      </w:r>
      <w:r w:rsidR="00144F8A" w:rsidRPr="00EA337F">
        <w:rPr>
          <w:rFonts w:ascii="Palatino Linotype" w:eastAsiaTheme="minorHAnsi" w:hAnsi="Palatino Linotype"/>
          <w:sz w:val="22"/>
          <w:szCs w:val="22"/>
          <w:lang w:eastAsia="en-US"/>
        </w:rPr>
        <w:t>lizó el informe Nro. IC-CUS-202</w:t>
      </w:r>
      <w:r w:rsidR="00E01875">
        <w:rPr>
          <w:rFonts w:ascii="Palatino Linotype" w:eastAsiaTheme="minorHAnsi" w:hAnsi="Palatino Linotype"/>
          <w:sz w:val="22"/>
          <w:szCs w:val="22"/>
          <w:lang w:eastAsia="en-US"/>
        </w:rPr>
        <w:t>3</w:t>
      </w:r>
      <w:r w:rsidR="00745751" w:rsidRPr="00EA337F">
        <w:rPr>
          <w:rFonts w:ascii="Palatino Linotype" w:eastAsiaTheme="minorHAnsi" w:hAnsi="Palatino Linotype"/>
          <w:sz w:val="22"/>
          <w:szCs w:val="22"/>
          <w:lang w:eastAsia="en-US"/>
        </w:rPr>
        <w:t>-</w:t>
      </w:r>
      <w:r w:rsidR="00E01875">
        <w:rPr>
          <w:rFonts w:ascii="Palatino Linotype" w:eastAsiaTheme="minorHAnsi" w:hAnsi="Palatino Linotype"/>
          <w:sz w:val="22"/>
          <w:szCs w:val="22"/>
          <w:lang w:eastAsia="en-US"/>
        </w:rPr>
        <w:t>019</w:t>
      </w:r>
      <w:r w:rsidR="00DB552C" w:rsidRPr="00EA337F">
        <w:rPr>
          <w:rFonts w:ascii="Palatino Linotype" w:eastAsiaTheme="minorHAnsi" w:hAnsi="Palatino Linotype"/>
          <w:sz w:val="22"/>
          <w:szCs w:val="22"/>
          <w:lang w:eastAsia="en-US"/>
        </w:rPr>
        <w:t>,</w:t>
      </w:r>
      <w:r w:rsidRPr="00EA337F">
        <w:rPr>
          <w:rFonts w:ascii="Palatino Linotype" w:eastAsiaTheme="minorHAnsi" w:hAnsi="Palatino Linotype"/>
          <w:sz w:val="22"/>
          <w:szCs w:val="22"/>
          <w:lang w:eastAsia="en-US"/>
        </w:rPr>
        <w:t xml:space="preserve"> emitido por la Comisión de Uso de Suelo; </w:t>
      </w:r>
    </w:p>
    <w:p w:rsidR="00C926A0" w:rsidRPr="00EA337F"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RESUELVE:</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b/>
          <w:sz w:val="22"/>
          <w:szCs w:val="22"/>
        </w:rPr>
        <w:t>Artículo 1.-</w:t>
      </w:r>
      <w:r w:rsidRPr="00EA337F">
        <w:rPr>
          <w:rFonts w:ascii="Palatino Linotype" w:hAnsi="Palatino Linotype" w:cs="Arial"/>
          <w:sz w:val="22"/>
          <w:szCs w:val="22"/>
        </w:rPr>
        <w:t xml:space="preserve"> Autorizar la subdivisión del predio </w:t>
      </w:r>
      <w:r w:rsidR="00AD0F1B" w:rsidRPr="009164CE">
        <w:rPr>
          <w:rFonts w:ascii="Palatino Linotype" w:hAnsi="Palatino Linotype"/>
          <w:sz w:val="22"/>
          <w:szCs w:val="22"/>
        </w:rPr>
        <w:t>103067</w:t>
      </w:r>
      <w:r w:rsidRPr="00EA337F">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0051D2" w:rsidRPr="009164CE">
        <w:rPr>
          <w:rFonts w:ascii="Palatino Linotype" w:hAnsi="Palatino Linotype"/>
          <w:sz w:val="22"/>
          <w:szCs w:val="22"/>
        </w:rPr>
        <w:t>17233-2019-02230</w:t>
      </w:r>
      <w:r w:rsidRPr="00EA337F">
        <w:rPr>
          <w:rFonts w:ascii="Palatino Linotype" w:hAnsi="Palatino Linotype" w:cs="Arial"/>
          <w:sz w:val="22"/>
          <w:szCs w:val="22"/>
        </w:rPr>
        <w:t xml:space="preserve">, mediante la cual la Jueza de la Unidad Judicial Civil con sede en la parroquia </w:t>
      </w:r>
      <w:r w:rsidR="000051D2">
        <w:rPr>
          <w:rFonts w:ascii="Palatino Linotype" w:hAnsi="Palatino Linotype" w:cs="Arial"/>
          <w:sz w:val="22"/>
          <w:szCs w:val="22"/>
        </w:rPr>
        <w:t xml:space="preserve">Quitumbe </w:t>
      </w:r>
      <w:r w:rsidRPr="00EA337F">
        <w:rPr>
          <w:rFonts w:ascii="Palatino Linotype" w:hAnsi="Palatino Linotype" w:cs="Arial"/>
          <w:sz w:val="22"/>
          <w:szCs w:val="22"/>
        </w:rPr>
        <w:t>del Distrito Metropolitano de Quito, acepta la demanda y declara la Prescripción Extraordinaria Adquisitiva de Do</w:t>
      </w:r>
      <w:r w:rsidR="00633AF6" w:rsidRPr="00EA337F">
        <w:rPr>
          <w:rFonts w:ascii="Palatino Linotype" w:hAnsi="Palatino Linotype" w:cs="Arial"/>
          <w:sz w:val="22"/>
          <w:szCs w:val="22"/>
        </w:rPr>
        <w:t>minio que ha operado a favor de</w:t>
      </w:r>
      <w:r w:rsidR="00590CC8">
        <w:rPr>
          <w:rFonts w:ascii="Palatino Linotype" w:hAnsi="Palatino Linotype" w:cs="Arial"/>
          <w:sz w:val="22"/>
          <w:szCs w:val="22"/>
        </w:rPr>
        <w:t xml:space="preserve"> </w:t>
      </w:r>
      <w:r w:rsidR="00633AF6" w:rsidRPr="00EA337F">
        <w:rPr>
          <w:rFonts w:ascii="Palatino Linotype" w:hAnsi="Palatino Linotype" w:cs="Arial"/>
          <w:sz w:val="22"/>
          <w:szCs w:val="22"/>
        </w:rPr>
        <w:t>l</w:t>
      </w:r>
      <w:r w:rsidR="00590CC8">
        <w:rPr>
          <w:rFonts w:ascii="Palatino Linotype" w:hAnsi="Palatino Linotype" w:cs="Arial"/>
          <w:sz w:val="22"/>
          <w:szCs w:val="22"/>
        </w:rPr>
        <w:t>os</w:t>
      </w:r>
      <w:r w:rsidR="00633AF6" w:rsidRPr="00EA337F">
        <w:rPr>
          <w:rFonts w:ascii="Palatino Linotype" w:hAnsi="Palatino Linotype" w:cs="Arial"/>
          <w:sz w:val="22"/>
          <w:szCs w:val="22"/>
        </w:rPr>
        <w:t xml:space="preserve"> </w:t>
      </w:r>
      <w:r w:rsidR="00590CC8">
        <w:rPr>
          <w:rFonts w:ascii="Palatino Linotype" w:hAnsi="Palatino Linotype" w:cs="Arial"/>
          <w:sz w:val="22"/>
          <w:szCs w:val="22"/>
        </w:rPr>
        <w:t xml:space="preserve">señores </w:t>
      </w:r>
      <w:r w:rsidR="00590CC8" w:rsidRPr="009164CE">
        <w:rPr>
          <w:rFonts w:ascii="Palatino Linotype" w:hAnsi="Palatino Linotype"/>
          <w:sz w:val="22"/>
          <w:szCs w:val="22"/>
        </w:rPr>
        <w:t>Ignacio Cornelio Molina Gómez y María Olga Tenezaca Quezada</w:t>
      </w:r>
      <w:r w:rsidRPr="00EA337F">
        <w:rPr>
          <w:rFonts w:ascii="Palatino Linotype" w:hAnsi="Palatino Linotype" w:cs="Arial"/>
          <w:sz w:val="22"/>
          <w:szCs w:val="22"/>
        </w:rPr>
        <w:t xml:space="preserve">, por una superficie de </w:t>
      </w:r>
      <w:r w:rsidR="00D206D2">
        <w:rPr>
          <w:rFonts w:ascii="Palatino Linotype" w:hAnsi="Palatino Linotype"/>
          <w:sz w:val="22"/>
          <w:szCs w:val="22"/>
        </w:rPr>
        <w:t>188,00</w:t>
      </w:r>
      <w:r w:rsidR="002F2CCA" w:rsidRPr="00EA337F">
        <w:rPr>
          <w:rFonts w:ascii="Palatino Linotype" w:hAnsi="Palatino Linotype"/>
          <w:sz w:val="22"/>
          <w:szCs w:val="22"/>
        </w:rPr>
        <w:t xml:space="preserve"> m2</w:t>
      </w:r>
      <w:r w:rsidRPr="00EA337F">
        <w:rPr>
          <w:rFonts w:ascii="Palatino Linotype" w:hAnsi="Palatino Linotype" w:cs="Arial"/>
          <w:sz w:val="22"/>
          <w:szCs w:val="22"/>
        </w:rPr>
        <w:t xml:space="preserve">. </w:t>
      </w:r>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sz w:val="22"/>
          <w:szCs w:val="22"/>
        </w:rPr>
        <w:t xml:space="preserve">De conformidad con lo dispuesto en el artículo 2266.160 del Código Municipal para el Distrito Metropolitano de Quito, </w:t>
      </w:r>
      <w:r w:rsidR="00DA65C2" w:rsidRPr="00EA337F">
        <w:rPr>
          <w:rFonts w:ascii="Palatino Linotype" w:hAnsi="Palatino Linotype" w:cs="Arial"/>
          <w:sz w:val="22"/>
          <w:szCs w:val="22"/>
        </w:rPr>
        <w:t>l</w:t>
      </w:r>
      <w:r w:rsidR="00DA65C2">
        <w:rPr>
          <w:rFonts w:ascii="Palatino Linotype" w:hAnsi="Palatino Linotype" w:cs="Arial"/>
          <w:sz w:val="22"/>
          <w:szCs w:val="22"/>
        </w:rPr>
        <w:t>os</w:t>
      </w:r>
      <w:r w:rsidR="00DA65C2" w:rsidRPr="00EA337F">
        <w:rPr>
          <w:rFonts w:ascii="Palatino Linotype" w:hAnsi="Palatino Linotype" w:cs="Arial"/>
          <w:sz w:val="22"/>
          <w:szCs w:val="22"/>
        </w:rPr>
        <w:t xml:space="preserve"> </w:t>
      </w:r>
      <w:r w:rsidR="00DA65C2">
        <w:rPr>
          <w:rFonts w:ascii="Palatino Linotype" w:hAnsi="Palatino Linotype" w:cs="Arial"/>
          <w:sz w:val="22"/>
          <w:szCs w:val="22"/>
        </w:rPr>
        <w:t xml:space="preserve">señores </w:t>
      </w:r>
      <w:r w:rsidR="00DA65C2" w:rsidRPr="009164CE">
        <w:rPr>
          <w:rFonts w:ascii="Palatino Linotype" w:hAnsi="Palatino Linotype"/>
          <w:sz w:val="22"/>
          <w:szCs w:val="22"/>
        </w:rPr>
        <w:t>Ignacio Cornelio Molina Gómez y María Olga Tenezaca Quezada</w:t>
      </w:r>
      <w:r w:rsidRPr="00EA337F">
        <w:rPr>
          <w:rFonts w:ascii="Palatino Linotype" w:hAnsi="Palatino Linotype" w:cs="Arial"/>
          <w:sz w:val="22"/>
          <w:szCs w:val="22"/>
        </w:rPr>
        <w:t>, deberá</w:t>
      </w:r>
      <w:r w:rsidR="00DA65C2">
        <w:rPr>
          <w:rFonts w:ascii="Palatino Linotype" w:hAnsi="Palatino Linotype" w:cs="Arial"/>
          <w:sz w:val="22"/>
          <w:szCs w:val="22"/>
        </w:rPr>
        <w:t>n</w:t>
      </w:r>
      <w:bookmarkStart w:id="0" w:name="_GoBack"/>
      <w:bookmarkEnd w:id="0"/>
      <w:r w:rsidRPr="00EA337F">
        <w:rPr>
          <w:rFonts w:ascii="Palatino Linotype" w:hAnsi="Palatino Linotype" w:cs="Arial"/>
          <w:sz w:val="22"/>
          <w:szCs w:val="22"/>
        </w:rPr>
        <w:t xml:space="preserve"> compensar en valor monetario, la contribución del 15% del área útil adjudicada, de acuerdo con el cálculo que realice la Administración Zonal competente.</w:t>
      </w:r>
    </w:p>
    <w:p w:rsidR="005F36E3" w:rsidRPr="00EA337F"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Disposiciones generales:</w:t>
      </w:r>
    </w:p>
    <w:p w:rsidR="00755448" w:rsidRPr="00EA337F"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lastRenderedPageBreak/>
        <w:t xml:space="preserve">Primera.- </w:t>
      </w:r>
      <w:r w:rsidRPr="00EA337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Segunda.-</w:t>
      </w:r>
      <w:r w:rsidRPr="00EA337F">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Disposición Final.-</w:t>
      </w:r>
      <w:r w:rsidRPr="00EA337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sz w:val="22"/>
          <w:szCs w:val="22"/>
        </w:rPr>
        <w:t xml:space="preserve">Dada en la sesión del Concejo Metropolitano de Quito, el ……….. </w:t>
      </w:r>
    </w:p>
    <w:p w:rsidR="00755448" w:rsidRPr="00EA337F" w:rsidRDefault="00755448" w:rsidP="00755448">
      <w:pPr>
        <w:spacing w:line="276" w:lineRule="auto"/>
        <w:ind w:left="-5"/>
        <w:jc w:val="both"/>
        <w:rPr>
          <w:rFonts w:ascii="Palatino Linotype" w:hAnsi="Palatino Linotype"/>
          <w:sz w:val="22"/>
          <w:szCs w:val="22"/>
        </w:rPr>
      </w:pPr>
    </w:p>
    <w:p w:rsidR="00755448" w:rsidRPr="00EA337F" w:rsidRDefault="00755448" w:rsidP="00755448">
      <w:pPr>
        <w:spacing w:line="276" w:lineRule="auto"/>
        <w:ind w:left="-5" w:right="-143"/>
        <w:jc w:val="both"/>
        <w:rPr>
          <w:rFonts w:ascii="Palatino Linotype" w:hAnsi="Palatino Linotype"/>
          <w:sz w:val="22"/>
          <w:szCs w:val="22"/>
        </w:rPr>
      </w:pPr>
      <w:r w:rsidRPr="00EA337F">
        <w:rPr>
          <w:rFonts w:ascii="Palatino Linotype" w:hAnsi="Palatino Linotype"/>
          <w:b/>
          <w:sz w:val="22"/>
          <w:szCs w:val="22"/>
        </w:rPr>
        <w:t xml:space="preserve">Alcaldía del Distrito Metropolitano. - </w:t>
      </w:r>
      <w:r w:rsidRPr="00EA337F">
        <w:rPr>
          <w:rFonts w:ascii="Palatino Linotype" w:hAnsi="Palatino Linotype"/>
          <w:sz w:val="22"/>
          <w:szCs w:val="22"/>
        </w:rPr>
        <w:t>Distrito Metropolitano de Quito, ………..</w:t>
      </w:r>
    </w:p>
    <w:p w:rsidR="00755448" w:rsidRPr="00EA337F" w:rsidRDefault="00755448" w:rsidP="00755448">
      <w:pPr>
        <w:spacing w:line="276" w:lineRule="auto"/>
        <w:jc w:val="both"/>
        <w:rPr>
          <w:rFonts w:ascii="Palatino Linotype" w:hAnsi="Palatino Linotype"/>
          <w:sz w:val="22"/>
          <w:szCs w:val="22"/>
        </w:rPr>
      </w:pP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b/>
          <w:sz w:val="22"/>
          <w:szCs w:val="22"/>
        </w:rPr>
        <w:t>EJECÚTESE:</w:t>
      </w: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r w:rsidRPr="00EA337F">
        <w:rPr>
          <w:rFonts w:ascii="Palatino Linotype" w:hAnsi="Palatino Linotype"/>
          <w:sz w:val="22"/>
          <w:szCs w:val="22"/>
        </w:rPr>
        <w:t>Dr. Santiago Guarderas Izquierdo</w:t>
      </w:r>
    </w:p>
    <w:p w:rsidR="00755448" w:rsidRPr="00EA337F" w:rsidRDefault="00755448" w:rsidP="00755448">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A337F">
        <w:rPr>
          <w:rFonts w:ascii="Palatino Linotype" w:eastAsia="Palatino Linotype" w:hAnsi="Palatino Linotype" w:cs="Palatino Linotype"/>
          <w:b/>
          <w:color w:val="000000"/>
          <w:sz w:val="22"/>
          <w:szCs w:val="22"/>
          <w:lang w:eastAsia="es-EC"/>
        </w:rPr>
        <w:t>ALCALDE DEL DISTRITO METROPOLITANO DE QUITO</w:t>
      </w:r>
    </w:p>
    <w:p w:rsidR="00755448" w:rsidRPr="00EA337F" w:rsidRDefault="00755448" w:rsidP="00755448">
      <w:pPr>
        <w:spacing w:line="276" w:lineRule="auto"/>
        <w:jc w:val="center"/>
        <w:rPr>
          <w:rFonts w:ascii="Palatino Linotype" w:hAnsi="Palatino Linotype"/>
          <w:sz w:val="22"/>
          <w:szCs w:val="22"/>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b/>
          <w:sz w:val="22"/>
          <w:szCs w:val="22"/>
        </w:rPr>
        <w:t>CERTIFICO,</w:t>
      </w:r>
      <w:r w:rsidRPr="00EA337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755448" w:rsidRPr="00EA337F" w:rsidRDefault="00755448" w:rsidP="00755448">
      <w:pPr>
        <w:spacing w:line="276" w:lineRule="auto"/>
        <w:jc w:val="both"/>
        <w:rPr>
          <w:rFonts w:ascii="Palatino Linotype" w:hAnsi="Palatino Linotype"/>
          <w:sz w:val="22"/>
          <w:szCs w:val="22"/>
        </w:rPr>
      </w:pPr>
      <w:r w:rsidRPr="00EA337F">
        <w:rPr>
          <w:rFonts w:ascii="Palatino Linotype" w:hAnsi="Palatino Linotype"/>
          <w:b/>
          <w:sz w:val="22"/>
          <w:szCs w:val="22"/>
        </w:rPr>
        <w:t xml:space="preserve"> </w:t>
      </w:r>
    </w:p>
    <w:p w:rsidR="00755448" w:rsidRPr="00EA337F" w:rsidRDefault="00755448" w:rsidP="00755448">
      <w:pPr>
        <w:spacing w:line="276" w:lineRule="auto"/>
        <w:ind w:left="-5"/>
        <w:jc w:val="both"/>
        <w:rPr>
          <w:rFonts w:ascii="Palatino Linotype" w:hAnsi="Palatino Linotype"/>
          <w:sz w:val="22"/>
          <w:szCs w:val="22"/>
          <w:highlight w:val="yellow"/>
        </w:rPr>
      </w:pPr>
      <w:r w:rsidRPr="00EA337F">
        <w:rPr>
          <w:rFonts w:ascii="Palatino Linotype" w:hAnsi="Palatino Linotype"/>
          <w:b/>
          <w:sz w:val="22"/>
          <w:szCs w:val="22"/>
        </w:rPr>
        <w:t xml:space="preserve">Lo certifico. - </w:t>
      </w:r>
      <w:r w:rsidRPr="00EA337F">
        <w:rPr>
          <w:rFonts w:ascii="Palatino Linotype" w:hAnsi="Palatino Linotype"/>
          <w:sz w:val="22"/>
          <w:szCs w:val="22"/>
        </w:rPr>
        <w:t xml:space="preserve">Distrito Metropolitano de Quito.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sz w:val="22"/>
          <w:szCs w:val="22"/>
        </w:rPr>
        <w:t>Abg. Pablo Santillán Paredes</w:t>
      </w:r>
    </w:p>
    <w:p w:rsidR="00751D1C" w:rsidRPr="00DF0B4F" w:rsidRDefault="00755448" w:rsidP="00DF0B4F">
      <w:pPr>
        <w:spacing w:line="276" w:lineRule="auto"/>
        <w:jc w:val="center"/>
        <w:rPr>
          <w:rFonts w:ascii="Palatino Linotype" w:eastAsia="Calibri" w:hAnsi="Palatino Linotype"/>
          <w:b/>
          <w:sz w:val="22"/>
          <w:szCs w:val="22"/>
          <w:lang w:eastAsia="en-US"/>
        </w:rPr>
      </w:pPr>
      <w:r w:rsidRPr="00EA337F">
        <w:rPr>
          <w:rFonts w:ascii="Palatino Linotype" w:eastAsia="Calibri" w:hAnsi="Palatino Linotype"/>
          <w:b/>
          <w:sz w:val="22"/>
          <w:szCs w:val="22"/>
          <w:lang w:eastAsia="en-US"/>
        </w:rPr>
        <w:t>SECRETARIO GENERAL DE</w:t>
      </w:r>
      <w:r w:rsidR="00DF0B4F">
        <w:rPr>
          <w:rFonts w:ascii="Palatino Linotype" w:eastAsia="Calibri" w:hAnsi="Palatino Linotype"/>
          <w:b/>
          <w:sz w:val="22"/>
          <w:szCs w:val="22"/>
          <w:lang w:eastAsia="en-US"/>
        </w:rPr>
        <w:t xml:space="preserve">L CONCEJO METROPOLITANO DE QUITO </w:t>
      </w:r>
    </w:p>
    <w:sectPr w:rsidR="00751D1C" w:rsidRPr="00DF0B4F"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3E" w:rsidRDefault="00516B3E">
      <w:r>
        <w:separator/>
      </w:r>
    </w:p>
  </w:endnote>
  <w:endnote w:type="continuationSeparator" w:id="0">
    <w:p w:rsidR="00516B3E" w:rsidRDefault="0051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DA65C2">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DA65C2">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516B3E">
            <w:pPr>
              <w:pStyle w:val="Piedepgina"/>
              <w:jc w:val="right"/>
              <w:rPr>
                <w:rFonts w:ascii="Palatino Linotype" w:hAnsi="Palatino Linotype"/>
                <w:sz w:val="20"/>
                <w:szCs w:val="20"/>
              </w:rPr>
            </w:pPr>
          </w:p>
        </w:sdtContent>
      </w:sdt>
    </w:sdtContent>
  </w:sdt>
  <w:p w:rsidR="005D2467" w:rsidRPr="008479FB" w:rsidRDefault="00516B3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3E" w:rsidRDefault="00516B3E">
      <w:r>
        <w:separator/>
      </w:r>
    </w:p>
  </w:footnote>
  <w:footnote w:type="continuationSeparator" w:id="0">
    <w:p w:rsidR="00516B3E" w:rsidRDefault="00516B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516B3E"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516B3E"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516B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0"/>
    <w:rsid w:val="000051D2"/>
    <w:rsid w:val="000077F9"/>
    <w:rsid w:val="000264CB"/>
    <w:rsid w:val="00027D50"/>
    <w:rsid w:val="00030386"/>
    <w:rsid w:val="00035E6C"/>
    <w:rsid w:val="0004203F"/>
    <w:rsid w:val="00063D30"/>
    <w:rsid w:val="00067AEE"/>
    <w:rsid w:val="0008033C"/>
    <w:rsid w:val="00090E26"/>
    <w:rsid w:val="000944D7"/>
    <w:rsid w:val="000A17A7"/>
    <w:rsid w:val="000A6FF4"/>
    <w:rsid w:val="000A70A0"/>
    <w:rsid w:val="000B4CF2"/>
    <w:rsid w:val="000E121C"/>
    <w:rsid w:val="000E205E"/>
    <w:rsid w:val="00115787"/>
    <w:rsid w:val="0013405F"/>
    <w:rsid w:val="00144F8A"/>
    <w:rsid w:val="0017481B"/>
    <w:rsid w:val="001950C6"/>
    <w:rsid w:val="001A17A7"/>
    <w:rsid w:val="001A1C17"/>
    <w:rsid w:val="001A2E60"/>
    <w:rsid w:val="001A5724"/>
    <w:rsid w:val="001A728F"/>
    <w:rsid w:val="001B2FFD"/>
    <w:rsid w:val="001C1FC7"/>
    <w:rsid w:val="001C4D82"/>
    <w:rsid w:val="001C7456"/>
    <w:rsid w:val="001E2F33"/>
    <w:rsid w:val="001F679D"/>
    <w:rsid w:val="001F733D"/>
    <w:rsid w:val="00224DF1"/>
    <w:rsid w:val="00236DB4"/>
    <w:rsid w:val="0024403E"/>
    <w:rsid w:val="00245D20"/>
    <w:rsid w:val="00252078"/>
    <w:rsid w:val="00253AA5"/>
    <w:rsid w:val="0026215F"/>
    <w:rsid w:val="00264155"/>
    <w:rsid w:val="0029483E"/>
    <w:rsid w:val="00296140"/>
    <w:rsid w:val="00296D2E"/>
    <w:rsid w:val="002D0586"/>
    <w:rsid w:val="002D4C5C"/>
    <w:rsid w:val="002E4C52"/>
    <w:rsid w:val="002F2CCA"/>
    <w:rsid w:val="002F7AF5"/>
    <w:rsid w:val="00306191"/>
    <w:rsid w:val="00306C08"/>
    <w:rsid w:val="00313677"/>
    <w:rsid w:val="00336073"/>
    <w:rsid w:val="00345885"/>
    <w:rsid w:val="00360B0F"/>
    <w:rsid w:val="003A3AD1"/>
    <w:rsid w:val="003E3BAD"/>
    <w:rsid w:val="004014CA"/>
    <w:rsid w:val="00406F51"/>
    <w:rsid w:val="0042799B"/>
    <w:rsid w:val="004336C0"/>
    <w:rsid w:val="004401B9"/>
    <w:rsid w:val="00445381"/>
    <w:rsid w:val="00470AD9"/>
    <w:rsid w:val="00481F59"/>
    <w:rsid w:val="00495B8D"/>
    <w:rsid w:val="004B008D"/>
    <w:rsid w:val="004B0B8C"/>
    <w:rsid w:val="004B2063"/>
    <w:rsid w:val="004C50EC"/>
    <w:rsid w:val="004E2C3F"/>
    <w:rsid w:val="004F5036"/>
    <w:rsid w:val="00511047"/>
    <w:rsid w:val="00516B3E"/>
    <w:rsid w:val="00532857"/>
    <w:rsid w:val="00552CDD"/>
    <w:rsid w:val="00563512"/>
    <w:rsid w:val="005720AF"/>
    <w:rsid w:val="00590CC8"/>
    <w:rsid w:val="005A0BB9"/>
    <w:rsid w:val="005A6B15"/>
    <w:rsid w:val="005B5DA3"/>
    <w:rsid w:val="005B6971"/>
    <w:rsid w:val="005B7C5B"/>
    <w:rsid w:val="005C6371"/>
    <w:rsid w:val="005C733B"/>
    <w:rsid w:val="005D1661"/>
    <w:rsid w:val="005D3837"/>
    <w:rsid w:val="005D5471"/>
    <w:rsid w:val="005F36E3"/>
    <w:rsid w:val="00606C06"/>
    <w:rsid w:val="00617C1E"/>
    <w:rsid w:val="00633AF6"/>
    <w:rsid w:val="00636664"/>
    <w:rsid w:val="00673059"/>
    <w:rsid w:val="00677109"/>
    <w:rsid w:val="00687C0C"/>
    <w:rsid w:val="00694141"/>
    <w:rsid w:val="006A4027"/>
    <w:rsid w:val="006A6DA4"/>
    <w:rsid w:val="006C76D0"/>
    <w:rsid w:val="006D2D14"/>
    <w:rsid w:val="006E179D"/>
    <w:rsid w:val="006E34DC"/>
    <w:rsid w:val="006E3862"/>
    <w:rsid w:val="0071609F"/>
    <w:rsid w:val="007315B0"/>
    <w:rsid w:val="00740EE8"/>
    <w:rsid w:val="00745751"/>
    <w:rsid w:val="007500BA"/>
    <w:rsid w:val="00751D1C"/>
    <w:rsid w:val="00755448"/>
    <w:rsid w:val="00757091"/>
    <w:rsid w:val="007B4D6C"/>
    <w:rsid w:val="007C3147"/>
    <w:rsid w:val="007D2680"/>
    <w:rsid w:val="007D2D4F"/>
    <w:rsid w:val="007E60E9"/>
    <w:rsid w:val="008044F7"/>
    <w:rsid w:val="0081380B"/>
    <w:rsid w:val="0082482D"/>
    <w:rsid w:val="00832D35"/>
    <w:rsid w:val="00854CBC"/>
    <w:rsid w:val="00855B0B"/>
    <w:rsid w:val="00862F11"/>
    <w:rsid w:val="0087756E"/>
    <w:rsid w:val="008824CB"/>
    <w:rsid w:val="008834D1"/>
    <w:rsid w:val="00893065"/>
    <w:rsid w:val="00893F13"/>
    <w:rsid w:val="008A3F72"/>
    <w:rsid w:val="008B2FAD"/>
    <w:rsid w:val="008B4153"/>
    <w:rsid w:val="00907185"/>
    <w:rsid w:val="0093701E"/>
    <w:rsid w:val="00942032"/>
    <w:rsid w:val="00953717"/>
    <w:rsid w:val="0096109F"/>
    <w:rsid w:val="00962351"/>
    <w:rsid w:val="0097359A"/>
    <w:rsid w:val="00983736"/>
    <w:rsid w:val="0098647F"/>
    <w:rsid w:val="00993181"/>
    <w:rsid w:val="0099372E"/>
    <w:rsid w:val="00995164"/>
    <w:rsid w:val="0099702E"/>
    <w:rsid w:val="009C157E"/>
    <w:rsid w:val="009C1F12"/>
    <w:rsid w:val="009E1D0C"/>
    <w:rsid w:val="009F6F24"/>
    <w:rsid w:val="00A23206"/>
    <w:rsid w:val="00A35D24"/>
    <w:rsid w:val="00A42FBD"/>
    <w:rsid w:val="00A45C33"/>
    <w:rsid w:val="00A47D5C"/>
    <w:rsid w:val="00A55032"/>
    <w:rsid w:val="00A56888"/>
    <w:rsid w:val="00A60EBB"/>
    <w:rsid w:val="00A654D7"/>
    <w:rsid w:val="00A66C89"/>
    <w:rsid w:val="00A76A16"/>
    <w:rsid w:val="00A87872"/>
    <w:rsid w:val="00A96ED7"/>
    <w:rsid w:val="00AA23EE"/>
    <w:rsid w:val="00AA2620"/>
    <w:rsid w:val="00AB78A2"/>
    <w:rsid w:val="00AC0982"/>
    <w:rsid w:val="00AC4B2C"/>
    <w:rsid w:val="00AD0CAC"/>
    <w:rsid w:val="00AD0F1B"/>
    <w:rsid w:val="00AD1557"/>
    <w:rsid w:val="00AD767B"/>
    <w:rsid w:val="00AE18B4"/>
    <w:rsid w:val="00AE1F80"/>
    <w:rsid w:val="00AE5F25"/>
    <w:rsid w:val="00B007F0"/>
    <w:rsid w:val="00B0169E"/>
    <w:rsid w:val="00B27543"/>
    <w:rsid w:val="00B35D39"/>
    <w:rsid w:val="00B402C2"/>
    <w:rsid w:val="00B418BF"/>
    <w:rsid w:val="00B46254"/>
    <w:rsid w:val="00B5446C"/>
    <w:rsid w:val="00B706B2"/>
    <w:rsid w:val="00B748ED"/>
    <w:rsid w:val="00B84C96"/>
    <w:rsid w:val="00B9672E"/>
    <w:rsid w:val="00BA3CE3"/>
    <w:rsid w:val="00BA63E5"/>
    <w:rsid w:val="00BD292F"/>
    <w:rsid w:val="00BF4249"/>
    <w:rsid w:val="00C2568C"/>
    <w:rsid w:val="00C31C0C"/>
    <w:rsid w:val="00C4735F"/>
    <w:rsid w:val="00C7771D"/>
    <w:rsid w:val="00C82C59"/>
    <w:rsid w:val="00C926A0"/>
    <w:rsid w:val="00CB1FAE"/>
    <w:rsid w:val="00CB5779"/>
    <w:rsid w:val="00CF05C8"/>
    <w:rsid w:val="00CF748D"/>
    <w:rsid w:val="00D1552F"/>
    <w:rsid w:val="00D206D2"/>
    <w:rsid w:val="00D23C29"/>
    <w:rsid w:val="00D4445E"/>
    <w:rsid w:val="00D5311D"/>
    <w:rsid w:val="00D57722"/>
    <w:rsid w:val="00D64A4C"/>
    <w:rsid w:val="00D86EE7"/>
    <w:rsid w:val="00DA4995"/>
    <w:rsid w:val="00DA65C2"/>
    <w:rsid w:val="00DB552C"/>
    <w:rsid w:val="00DC5625"/>
    <w:rsid w:val="00DD0991"/>
    <w:rsid w:val="00DD732A"/>
    <w:rsid w:val="00DF0B4F"/>
    <w:rsid w:val="00E01875"/>
    <w:rsid w:val="00E02AE3"/>
    <w:rsid w:val="00E22628"/>
    <w:rsid w:val="00E332EA"/>
    <w:rsid w:val="00E35865"/>
    <w:rsid w:val="00E41B4B"/>
    <w:rsid w:val="00E5406F"/>
    <w:rsid w:val="00E557C1"/>
    <w:rsid w:val="00E81779"/>
    <w:rsid w:val="00E84326"/>
    <w:rsid w:val="00E97A2B"/>
    <w:rsid w:val="00EA337F"/>
    <w:rsid w:val="00EA5D12"/>
    <w:rsid w:val="00EC6091"/>
    <w:rsid w:val="00EE4C7B"/>
    <w:rsid w:val="00EE74C9"/>
    <w:rsid w:val="00EF041A"/>
    <w:rsid w:val="00EF6F62"/>
    <w:rsid w:val="00F073C7"/>
    <w:rsid w:val="00F33C5B"/>
    <w:rsid w:val="00F5205A"/>
    <w:rsid w:val="00F6236F"/>
    <w:rsid w:val="00F64624"/>
    <w:rsid w:val="00F950D9"/>
    <w:rsid w:val="00FA7F92"/>
    <w:rsid w:val="00FB2C86"/>
    <w:rsid w:val="00FC3E6E"/>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0080"/>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371</cp:revision>
  <dcterms:created xsi:type="dcterms:W3CDTF">2021-03-30T15:44:00Z</dcterms:created>
  <dcterms:modified xsi:type="dcterms:W3CDTF">2023-05-11T16:56:00Z</dcterms:modified>
</cp:coreProperties>
</file>