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w:t>
      </w:r>
      <w:r w:rsidR="00E2458D">
        <w:rPr>
          <w:sz w:val="22"/>
          <w:szCs w:val="22"/>
        </w:rPr>
        <w:t xml:space="preserve">rocurador Metropolitano, señala: </w:t>
      </w:r>
      <w:r w:rsidR="001F733D" w:rsidRPr="00EA337F">
        <w:rPr>
          <w:sz w:val="22"/>
          <w:szCs w:val="22"/>
        </w:rPr>
        <w:t xml:space="preserve">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EA337F">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Default="001F733D" w:rsidP="001F733D">
      <w:pPr>
        <w:tabs>
          <w:tab w:val="left" w:pos="284"/>
        </w:tabs>
        <w:jc w:val="both"/>
        <w:rPr>
          <w:rFonts w:ascii="Palatino Linotype" w:hAnsi="Palatino Linotype"/>
          <w:i/>
          <w:sz w:val="22"/>
          <w:szCs w:val="22"/>
        </w:rPr>
      </w:pPr>
    </w:p>
    <w:p w:rsidR="00A73E1F" w:rsidRPr="00006334" w:rsidRDefault="006C4379" w:rsidP="00A73E1F">
      <w:pPr>
        <w:autoSpaceDE w:val="0"/>
        <w:autoSpaceDN w:val="0"/>
        <w:adjustRightInd w:val="0"/>
        <w:ind w:left="708" w:hanging="708"/>
        <w:jc w:val="both"/>
        <w:rPr>
          <w:rFonts w:ascii="Palatino Linotype" w:hAnsi="Palatino Linotype"/>
          <w:i/>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A73E1F">
        <w:rPr>
          <w:rFonts w:ascii="Palatino Linotype" w:hAnsi="Palatino Linotype"/>
          <w:sz w:val="22"/>
          <w:szCs w:val="22"/>
        </w:rPr>
        <w:t>c</w:t>
      </w:r>
      <w:r w:rsidR="00A73E1F" w:rsidRPr="00006334">
        <w:rPr>
          <w:rFonts w:ascii="Palatino Linotype" w:hAnsi="Palatino Linotype"/>
          <w:sz w:val="22"/>
          <w:szCs w:val="22"/>
        </w:rPr>
        <w:t xml:space="preserve">onforme se desprende del informe técnico No. </w:t>
      </w:r>
      <w:r w:rsidR="00A73E1F" w:rsidRPr="00006334">
        <w:rPr>
          <w:rStyle w:val="markedcontent"/>
          <w:rFonts w:ascii="Palatino Linotype" w:hAnsi="Palatino Linotype" w:cs="Arial"/>
          <w:sz w:val="22"/>
          <w:szCs w:val="22"/>
        </w:rPr>
        <w:t xml:space="preserve">089-UZGT-2022, de 18 de noviembre de 2022, de la Administración Zonal </w:t>
      </w:r>
      <w:r w:rsidR="00A73E1F" w:rsidRPr="00006334">
        <w:rPr>
          <w:rFonts w:ascii="Palatino Linotype" w:hAnsi="Palatino Linotype"/>
          <w:sz w:val="22"/>
          <w:szCs w:val="22"/>
        </w:rPr>
        <w:t>La Delicia</w:t>
      </w:r>
      <w:r w:rsidR="00A73E1F" w:rsidRPr="00006334">
        <w:rPr>
          <w:rFonts w:ascii="Palatino Linotype" w:hAnsi="Palatino Linotype"/>
          <w:i/>
          <w:sz w:val="22"/>
          <w:szCs w:val="22"/>
        </w:rPr>
        <w:t xml:space="preserve"> “(…) </w:t>
      </w:r>
      <w:r w:rsidR="00A73E1F" w:rsidRPr="00006334">
        <w:rPr>
          <w:rStyle w:val="markedcontent"/>
          <w:rFonts w:ascii="Palatino Linotype" w:hAnsi="Palatino Linotype" w:cs="Arial"/>
          <w:i/>
          <w:sz w:val="22"/>
          <w:szCs w:val="22"/>
        </w:rPr>
        <w:t>El juzgado séptimo de lo civil de Pichincha, el 7 de abril del año 2014, concede la prescripción</w:t>
      </w:r>
      <w:r w:rsidR="008F1D7C">
        <w:rPr>
          <w:rStyle w:val="markedcontent"/>
          <w:rFonts w:ascii="Palatino Linotype" w:hAnsi="Palatino Linotype" w:cs="Arial"/>
          <w:i/>
          <w:sz w:val="22"/>
          <w:szCs w:val="22"/>
        </w:rPr>
        <w:t xml:space="preserve"> </w:t>
      </w:r>
      <w:r w:rsidR="00A73E1F" w:rsidRPr="00006334">
        <w:rPr>
          <w:rStyle w:val="markedcontent"/>
          <w:rFonts w:ascii="Palatino Linotype" w:hAnsi="Palatino Linotype" w:cs="Arial"/>
          <w:i/>
          <w:sz w:val="22"/>
          <w:szCs w:val="22"/>
        </w:rPr>
        <w:t xml:space="preserve">adquisitiva de dominio del bien inmueble ubicado en el pasaje sin nombre N17-307 y calle Piedras Negras , del barrio San José del Condado, parroquia Cotocollao, del cantón Quito, Provincia de Pichincha de una superficie de </w:t>
      </w:r>
      <w:r w:rsidR="00A73E1F" w:rsidRPr="00006334">
        <w:rPr>
          <w:rStyle w:val="markedcontent"/>
          <w:rFonts w:ascii="Palatino Linotype" w:hAnsi="Palatino Linotype" w:cs="Arial"/>
          <w:b/>
          <w:i/>
          <w:sz w:val="22"/>
          <w:szCs w:val="22"/>
        </w:rPr>
        <w:t>setenta y cinco metros cuadrados</w:t>
      </w:r>
      <w:r w:rsidR="00A73E1F" w:rsidRPr="00006334">
        <w:rPr>
          <w:rStyle w:val="markedcontent"/>
          <w:rFonts w:ascii="Palatino Linotype" w:hAnsi="Palatino Linotype" w:cs="Arial"/>
          <w:i/>
          <w:sz w:val="22"/>
          <w:szCs w:val="22"/>
        </w:rPr>
        <w:t>, comprendido dentro de los siguientes linderos y dimensiones : NORTE, en 6.55 metros de longitud con</w:t>
      </w:r>
      <w:r w:rsidR="008F1D7C">
        <w:rPr>
          <w:rStyle w:val="markedcontent"/>
          <w:rFonts w:ascii="Palatino Linotype" w:hAnsi="Palatino Linotype" w:cs="Arial"/>
          <w:i/>
          <w:sz w:val="22"/>
          <w:szCs w:val="22"/>
        </w:rPr>
        <w:t xml:space="preserve"> </w:t>
      </w:r>
      <w:r w:rsidR="00A73E1F" w:rsidRPr="00006334">
        <w:rPr>
          <w:rStyle w:val="markedcontent"/>
          <w:rFonts w:ascii="Palatino Linotype" w:hAnsi="Palatino Linotype" w:cs="Arial"/>
          <w:i/>
          <w:sz w:val="22"/>
          <w:szCs w:val="22"/>
        </w:rPr>
        <w:t>pasaje sin nombre que sirve de entrada a los lotes veinte y cuatro ,veinte y cinco, y veinte y seis; SUR, en una longitud de 6.55 metros ,antes con propiedad del señor Miguel Tugulinango hoy con la propiedad de Oswaldo Pasquel; ESTE, en una longitud de 11.45 metros , con el lote número veinte y cuatro de propiedad de María Espinoza; y, OESTE, en una longitud de</w:t>
      </w:r>
      <w:r w:rsidR="008F1D7C">
        <w:rPr>
          <w:rStyle w:val="markedcontent"/>
          <w:rFonts w:ascii="Palatino Linotype" w:hAnsi="Palatino Linotype" w:cs="Arial"/>
          <w:i/>
          <w:sz w:val="22"/>
          <w:szCs w:val="22"/>
        </w:rPr>
        <w:t xml:space="preserve"> </w:t>
      </w:r>
      <w:r w:rsidR="00A73E1F" w:rsidRPr="00006334">
        <w:rPr>
          <w:rStyle w:val="markedcontent"/>
          <w:rFonts w:ascii="Palatino Linotype" w:hAnsi="Palatino Linotype" w:cs="Arial"/>
          <w:i/>
          <w:sz w:val="22"/>
          <w:szCs w:val="22"/>
        </w:rPr>
        <w:t xml:space="preserve">11.55 metros , con propiedad de la señora Blanca Cajas Viuda de Arcos. Disponiendo que ejecutoriada la sentencia se confiera copias certificadas y se protocolice en una de las Notarías del Cantón y su inscripción en el Registro de la Propiedad del cantón Quito, para que sirva de título de dominio del inmueble que está en posesión </w:t>
      </w:r>
      <w:r w:rsidR="00A73E1F" w:rsidRPr="00006334">
        <w:rPr>
          <w:rFonts w:ascii="Palatino Linotype" w:hAnsi="Palatino Linotype"/>
          <w:i/>
          <w:sz w:val="22"/>
          <w:szCs w:val="22"/>
        </w:rPr>
        <w:t>(...)"</w:t>
      </w:r>
    </w:p>
    <w:p w:rsidR="006C4379" w:rsidRPr="00EA337F" w:rsidRDefault="006C4379" w:rsidP="00884949">
      <w:pPr>
        <w:autoSpaceDE w:val="0"/>
        <w:autoSpaceDN w:val="0"/>
        <w:adjustRightInd w:val="0"/>
        <w:ind w:left="708" w:hanging="708"/>
        <w:jc w:val="both"/>
        <w:rPr>
          <w:rFonts w:ascii="Palatino Linotype" w:hAnsi="Palatino Linotype"/>
          <w:i/>
          <w:sz w:val="22"/>
          <w:szCs w:val="22"/>
        </w:rPr>
      </w:pPr>
    </w:p>
    <w:p w:rsidR="001D702D" w:rsidRPr="00006334" w:rsidRDefault="000B4CF2" w:rsidP="001D702D">
      <w:pPr>
        <w:tabs>
          <w:tab w:val="left" w:pos="1080"/>
        </w:tabs>
        <w:ind w:left="1080" w:hanging="1080"/>
        <w:jc w:val="both"/>
        <w:rPr>
          <w:rFonts w:ascii="Palatino Linotype" w:hAnsi="Palatino Linotype"/>
          <w:sz w:val="22"/>
          <w:szCs w:val="22"/>
        </w:rPr>
      </w:pPr>
      <w:r w:rsidRPr="00EA337F">
        <w:rPr>
          <w:rFonts w:ascii="Palatino Linotype" w:hAnsi="Palatino Linotype"/>
          <w:sz w:val="22"/>
          <w:szCs w:val="22"/>
        </w:rPr>
        <w:t xml:space="preserve">Que, </w:t>
      </w:r>
      <w:r w:rsidR="001D702D">
        <w:rPr>
          <w:rFonts w:ascii="Palatino Linotype" w:hAnsi="Palatino Linotype"/>
          <w:sz w:val="22"/>
          <w:szCs w:val="22"/>
        </w:rPr>
        <w:t>m</w:t>
      </w:r>
      <w:r w:rsidR="001D702D" w:rsidRPr="00006334">
        <w:rPr>
          <w:rFonts w:ascii="Palatino Linotype" w:hAnsi="Palatino Linotype"/>
          <w:sz w:val="22"/>
          <w:szCs w:val="22"/>
        </w:rPr>
        <w:t xml:space="preserve">ediante informe técnico Nro. </w:t>
      </w:r>
      <w:r w:rsidR="001D702D" w:rsidRPr="00006334">
        <w:rPr>
          <w:rStyle w:val="markedcontent"/>
          <w:rFonts w:ascii="Palatino Linotype" w:hAnsi="Palatino Linotype" w:cs="Arial"/>
          <w:sz w:val="22"/>
          <w:szCs w:val="22"/>
        </w:rPr>
        <w:t>089-UZGT-2022</w:t>
      </w:r>
      <w:r w:rsidR="001D702D" w:rsidRPr="00006334">
        <w:rPr>
          <w:rFonts w:ascii="Palatino Linotype" w:hAnsi="Palatino Linotype"/>
          <w:sz w:val="22"/>
          <w:szCs w:val="22"/>
        </w:rPr>
        <w:t xml:space="preserve">, de 18 de noviembre de 2022, el Arq. Galo Cruz, funcionario de la Administración Zonal La Delicia, señala: </w:t>
      </w:r>
    </w:p>
    <w:p w:rsidR="001D702D" w:rsidRPr="00006334" w:rsidRDefault="001D702D" w:rsidP="001D702D">
      <w:pPr>
        <w:tabs>
          <w:tab w:val="left" w:pos="1080"/>
        </w:tabs>
        <w:jc w:val="both"/>
        <w:rPr>
          <w:rFonts w:ascii="Palatino Linotype" w:hAnsi="Palatino Linotype"/>
          <w:b/>
          <w:sz w:val="22"/>
          <w:szCs w:val="22"/>
        </w:rPr>
      </w:pPr>
    </w:p>
    <w:p w:rsidR="001D702D" w:rsidRPr="00006334" w:rsidRDefault="001D702D" w:rsidP="001D702D">
      <w:pPr>
        <w:tabs>
          <w:tab w:val="left" w:pos="1080"/>
        </w:tabs>
        <w:ind w:left="708"/>
        <w:jc w:val="both"/>
        <w:rPr>
          <w:rStyle w:val="markedcontent"/>
          <w:rFonts w:ascii="Palatino Linotype" w:hAnsi="Palatino Linotype" w:cs="Arial"/>
          <w:b/>
          <w:i/>
          <w:sz w:val="22"/>
          <w:szCs w:val="22"/>
        </w:rPr>
      </w:pPr>
      <w:r w:rsidRPr="00006334">
        <w:rPr>
          <w:rFonts w:ascii="Palatino Linotype" w:hAnsi="Palatino Linotype"/>
          <w:b/>
          <w:i/>
          <w:sz w:val="22"/>
          <w:szCs w:val="22"/>
        </w:rPr>
        <w:t>“(…)</w:t>
      </w:r>
      <w:r w:rsidRPr="00006334">
        <w:rPr>
          <w:rStyle w:val="markedcontent"/>
          <w:rFonts w:ascii="Palatino Linotype" w:hAnsi="Palatino Linotype" w:cs="Arial"/>
          <w:b/>
          <w:i/>
          <w:sz w:val="22"/>
          <w:szCs w:val="22"/>
        </w:rPr>
        <w:t xml:space="preserve"> CONCLUSIONES:</w:t>
      </w:r>
    </w:p>
    <w:p w:rsidR="001D702D" w:rsidRPr="00006334" w:rsidRDefault="001D702D" w:rsidP="001D702D">
      <w:pPr>
        <w:tabs>
          <w:tab w:val="left" w:pos="1080"/>
        </w:tabs>
        <w:ind w:left="708"/>
        <w:jc w:val="both"/>
        <w:rPr>
          <w:rFonts w:ascii="Palatino Linotype" w:hAnsi="Palatino Linotype"/>
          <w:b/>
          <w:i/>
          <w:sz w:val="22"/>
          <w:szCs w:val="22"/>
        </w:rPr>
      </w:pPr>
    </w:p>
    <w:p w:rsidR="001D702D" w:rsidRPr="00006334" w:rsidRDefault="001D702D" w:rsidP="001D702D">
      <w:pPr>
        <w:tabs>
          <w:tab w:val="left" w:pos="1080"/>
        </w:tabs>
        <w:ind w:left="708"/>
        <w:jc w:val="both"/>
        <w:rPr>
          <w:rStyle w:val="markedcontent"/>
          <w:rFonts w:ascii="Palatino Linotype" w:hAnsi="Palatino Linotype" w:cs="Arial"/>
          <w:i/>
          <w:sz w:val="22"/>
          <w:szCs w:val="22"/>
        </w:rPr>
      </w:pPr>
      <w:r w:rsidRPr="00006334">
        <w:rPr>
          <w:rStyle w:val="markedcontent"/>
          <w:rFonts w:ascii="Palatino Linotype" w:hAnsi="Palatino Linotype" w:cs="Arial"/>
          <w:i/>
          <w:sz w:val="22"/>
          <w:szCs w:val="22"/>
        </w:rPr>
        <w:t>De la sentencia se desprende que el área útil que se subdivide es de 75.00 m2 por lo que conforme la zonificación del lote, la resolución propuesta NO CUMPLE con los parámetros de habilitación vigentes respecto a lote mínimo, según Informe de regulación Metropolitana, la zonificación asignada al área de prescripción es D5 (D304-80), uso de Suelo: (RU2) Residencial Urbano 2, lote mínimo 300 m2, frente mínimo 10 m, en el predio N° 229998.</w:t>
      </w:r>
    </w:p>
    <w:p w:rsidR="001D702D" w:rsidRPr="00006334" w:rsidRDefault="001D702D" w:rsidP="001D702D">
      <w:pPr>
        <w:tabs>
          <w:tab w:val="left" w:pos="1080"/>
        </w:tabs>
        <w:ind w:left="708"/>
        <w:jc w:val="both"/>
        <w:rPr>
          <w:rStyle w:val="markedcontent"/>
          <w:rFonts w:ascii="Palatino Linotype" w:hAnsi="Palatino Linotype" w:cs="Arial"/>
          <w:i/>
          <w:sz w:val="22"/>
          <w:szCs w:val="22"/>
        </w:rPr>
      </w:pPr>
      <w:r w:rsidRPr="00006334">
        <w:rPr>
          <w:rFonts w:ascii="Palatino Linotype" w:hAnsi="Palatino Linotype"/>
          <w:i/>
          <w:sz w:val="22"/>
          <w:szCs w:val="22"/>
        </w:rPr>
        <w:lastRenderedPageBreak/>
        <w:br/>
      </w:r>
      <w:r w:rsidRPr="00006334">
        <w:rPr>
          <w:rStyle w:val="markedcontent"/>
          <w:rFonts w:ascii="Palatino Linotype" w:hAnsi="Palatino Linotype" w:cs="Arial"/>
          <w:i/>
          <w:sz w:val="22"/>
          <w:szCs w:val="22"/>
        </w:rPr>
        <w:t>No obstante se requiere que el Concejo Metropolitano, en cumplimiento de la sentencia emitida por el Juzgado Séptimo de lo civil de Pichincha el 7 de abril del año 2014, cambie las condiciones del predio N° 229998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w:t>
      </w:r>
    </w:p>
    <w:p w:rsidR="001D702D" w:rsidRPr="00006334" w:rsidRDefault="001D702D" w:rsidP="001D702D">
      <w:pPr>
        <w:tabs>
          <w:tab w:val="left" w:pos="1080"/>
        </w:tabs>
        <w:ind w:left="708"/>
        <w:jc w:val="both"/>
        <w:rPr>
          <w:rStyle w:val="markedcontent"/>
          <w:rFonts w:ascii="Palatino Linotype" w:hAnsi="Palatino Linotype" w:cs="Arial"/>
          <w:i/>
          <w:sz w:val="22"/>
          <w:szCs w:val="22"/>
        </w:rPr>
      </w:pPr>
      <w:r w:rsidRPr="00006334">
        <w:rPr>
          <w:rFonts w:ascii="Palatino Linotype" w:hAnsi="Palatino Linotype"/>
          <w:i/>
          <w:sz w:val="22"/>
          <w:szCs w:val="22"/>
        </w:rPr>
        <w:br/>
      </w:r>
      <w:r w:rsidRPr="00006334">
        <w:rPr>
          <w:rStyle w:val="markedcontent"/>
          <w:rFonts w:ascii="Palatino Linotype" w:hAnsi="Palatino Linotype" w:cs="Arial"/>
          <w:i/>
          <w:sz w:val="22"/>
          <w:szCs w:val="22"/>
        </w:rPr>
        <w:t>Del Informe de Catastro, con Memorando GADDMQ-AZLD-DGT-UC-2022-0277-M del 14 de Noviembre del 2022, se determina que el valor por m2 es de USD 240. El 15% del área útil (75 m2) adquirida mediante sentencia corresponde a 11.25 m2.</w:t>
      </w:r>
    </w:p>
    <w:p w:rsidR="001D702D" w:rsidRPr="00006334" w:rsidRDefault="001D702D" w:rsidP="001D702D">
      <w:pPr>
        <w:tabs>
          <w:tab w:val="left" w:pos="1080"/>
        </w:tabs>
        <w:ind w:left="708"/>
        <w:jc w:val="both"/>
        <w:rPr>
          <w:rFonts w:ascii="Palatino Linotype" w:hAnsi="Palatino Linotype"/>
          <w:b/>
          <w:i/>
          <w:sz w:val="22"/>
          <w:szCs w:val="22"/>
        </w:rPr>
      </w:pPr>
      <w:r w:rsidRPr="00006334">
        <w:rPr>
          <w:rFonts w:ascii="Palatino Linotype" w:hAnsi="Palatino Linotype"/>
          <w:i/>
          <w:sz w:val="22"/>
          <w:szCs w:val="22"/>
        </w:rPr>
        <w:br/>
      </w:r>
      <w:r w:rsidRPr="00006334">
        <w:rPr>
          <w:rStyle w:val="markedcontent"/>
          <w:rFonts w:ascii="Palatino Linotype" w:hAnsi="Palatino Linotype" w:cs="Arial"/>
          <w:i/>
          <w:sz w:val="22"/>
          <w:szCs w:val="22"/>
        </w:rPr>
        <w:t xml:space="preserve">En base a estos antecedentes, el valor monetario según el avalúo catastral actualizado, por la contribución del 15 % del área útil adquirida mediante sentencia corresponde a USD 2700.00”. </w:t>
      </w:r>
    </w:p>
    <w:p w:rsidR="001D702D" w:rsidRPr="00006334" w:rsidRDefault="001D702D" w:rsidP="001D702D">
      <w:pPr>
        <w:tabs>
          <w:tab w:val="left" w:pos="1080"/>
        </w:tabs>
        <w:ind w:left="708"/>
        <w:jc w:val="both"/>
        <w:rPr>
          <w:rFonts w:ascii="Palatino Linotype" w:hAnsi="Palatino Linotype"/>
          <w:b/>
          <w:i/>
          <w:sz w:val="22"/>
          <w:szCs w:val="22"/>
        </w:rPr>
      </w:pPr>
    </w:p>
    <w:p w:rsidR="00DE326F" w:rsidRPr="00006334" w:rsidRDefault="00FC7EEC" w:rsidP="00DE326F">
      <w:pPr>
        <w:pStyle w:val="Default"/>
        <w:ind w:left="708" w:hanging="708"/>
        <w:jc w:val="both"/>
        <w:rPr>
          <w:sz w:val="22"/>
          <w:szCs w:val="22"/>
        </w:rPr>
      </w:pPr>
      <w:r>
        <w:rPr>
          <w:sz w:val="22"/>
          <w:szCs w:val="22"/>
        </w:rPr>
        <w:t xml:space="preserve">Que, </w:t>
      </w:r>
      <w:r w:rsidR="00DE326F">
        <w:rPr>
          <w:sz w:val="22"/>
          <w:szCs w:val="22"/>
        </w:rPr>
        <w:t>m</w:t>
      </w:r>
      <w:r w:rsidR="00DE326F" w:rsidRPr="00006334">
        <w:rPr>
          <w:sz w:val="22"/>
          <w:szCs w:val="22"/>
        </w:rPr>
        <w:t xml:space="preserve">ediante </w:t>
      </w:r>
      <w:r w:rsidR="00DE326F" w:rsidRPr="00006334">
        <w:rPr>
          <w:sz w:val="22"/>
          <w:szCs w:val="22"/>
          <w:lang w:val="es-EC"/>
        </w:rPr>
        <w:t xml:space="preserve">informe legal Nro. </w:t>
      </w:r>
      <w:r w:rsidR="00DE326F" w:rsidRPr="00006334">
        <w:rPr>
          <w:rStyle w:val="markedcontent"/>
          <w:rFonts w:cs="Arial"/>
          <w:sz w:val="22"/>
          <w:szCs w:val="22"/>
        </w:rPr>
        <w:t>13.-DJ-AZLD-2021</w:t>
      </w:r>
      <w:r w:rsidR="00DE326F" w:rsidRPr="00006334">
        <w:rPr>
          <w:sz w:val="22"/>
          <w:szCs w:val="22"/>
        </w:rPr>
        <w:t>,</w:t>
      </w:r>
      <w:r w:rsidR="00DE326F" w:rsidRPr="00006334">
        <w:rPr>
          <w:sz w:val="22"/>
          <w:szCs w:val="22"/>
          <w:lang w:val="es-EC"/>
        </w:rPr>
        <w:t xml:space="preserve"> </w:t>
      </w:r>
      <w:r w:rsidR="00DE326F" w:rsidRPr="00006334">
        <w:rPr>
          <w:sz w:val="22"/>
          <w:szCs w:val="22"/>
        </w:rPr>
        <w:t xml:space="preserve">de 21 de julio de 2021, el Abg. Santiago Rodríguez, Director Jurídico de la Administración Zonal La Delicia, señala: </w:t>
      </w:r>
    </w:p>
    <w:p w:rsidR="00DE326F" w:rsidRPr="00006334" w:rsidRDefault="00DE326F" w:rsidP="00DE326F">
      <w:pPr>
        <w:pStyle w:val="Default"/>
        <w:jc w:val="center"/>
        <w:rPr>
          <w:i/>
          <w:sz w:val="22"/>
          <w:szCs w:val="22"/>
        </w:rPr>
      </w:pPr>
    </w:p>
    <w:p w:rsidR="00DE326F" w:rsidRPr="00006334" w:rsidRDefault="00DE326F" w:rsidP="00DE326F">
      <w:pPr>
        <w:tabs>
          <w:tab w:val="left" w:pos="284"/>
        </w:tabs>
        <w:ind w:left="708"/>
        <w:jc w:val="both"/>
        <w:rPr>
          <w:rFonts w:ascii="Palatino Linotype" w:hAnsi="Palatino Linotype"/>
          <w:b/>
          <w:i/>
          <w:sz w:val="22"/>
          <w:szCs w:val="22"/>
        </w:rPr>
      </w:pPr>
      <w:r w:rsidRPr="00006334">
        <w:rPr>
          <w:rFonts w:ascii="Palatino Linotype" w:eastAsiaTheme="minorHAnsi" w:hAnsi="Palatino Linotype" w:cs="Palatino Linotype"/>
          <w:b/>
          <w:i/>
          <w:color w:val="000000"/>
          <w:sz w:val="22"/>
          <w:szCs w:val="22"/>
          <w:lang w:eastAsia="en-US"/>
        </w:rPr>
        <w:t xml:space="preserve">“(…) </w:t>
      </w:r>
      <w:r w:rsidRPr="00006334">
        <w:rPr>
          <w:rFonts w:ascii="Palatino Linotype" w:hAnsi="Palatino Linotype"/>
          <w:b/>
          <w:i/>
          <w:sz w:val="22"/>
          <w:szCs w:val="22"/>
        </w:rPr>
        <w:t xml:space="preserve">CRITERIO JURÍDICO:  </w:t>
      </w:r>
    </w:p>
    <w:p w:rsidR="00DE326F" w:rsidRPr="00006334" w:rsidRDefault="00DE326F" w:rsidP="00DE326F">
      <w:pPr>
        <w:tabs>
          <w:tab w:val="left" w:pos="284"/>
        </w:tabs>
        <w:jc w:val="both"/>
        <w:rPr>
          <w:rFonts w:ascii="Palatino Linotype" w:hAnsi="Palatino Linotype"/>
          <w:i/>
          <w:sz w:val="22"/>
          <w:szCs w:val="22"/>
        </w:rPr>
      </w:pPr>
    </w:p>
    <w:p w:rsidR="00DE326F" w:rsidRPr="00006334" w:rsidRDefault="00DE326F" w:rsidP="00DE326F">
      <w:pPr>
        <w:tabs>
          <w:tab w:val="left" w:pos="1080"/>
        </w:tabs>
        <w:ind w:left="360"/>
        <w:jc w:val="both"/>
        <w:rPr>
          <w:rFonts w:ascii="Palatino Linotype" w:hAnsi="Palatino Linotype"/>
          <w:b/>
          <w:i/>
          <w:sz w:val="22"/>
          <w:szCs w:val="22"/>
        </w:rPr>
      </w:pPr>
      <w:r w:rsidRPr="00006334">
        <w:rPr>
          <w:rStyle w:val="markedcontent"/>
          <w:rFonts w:ascii="Palatino Linotype" w:hAnsi="Palatino Linotype" w:cs="Arial"/>
          <w:i/>
          <w:sz w:val="22"/>
          <w:szCs w:val="22"/>
        </w:rPr>
        <w:t xml:space="preserve">De acuerdo a los antecedentes expuestos la sentencia de prescripción adquisitiva de dominio en el presente caso se enmarca en el escenario B, y escenario B.2.1, descrito en el Pronunciamiento de Procuraduría Metropolitana; bajo ese contexto al ser el fraccionamiento inferior a 3000.00 m2, de conformidad a lo estipulado en el artículo 424 reformado del Código Orgánico de Organización Territorial, Autonomía y Descentralización; en el presente caso, el valor monetario por concepto de contribución del 15 % del área útil adjudicada, corresponde a USD 2396.25; y, por tratarse de una prescripción parcial que no cumple con los parámetros de habilitación vigentes, el expediente debe ser remitido al Concejo Metropolitano, para que se proceda conforme lo establecido en el Artículo IV: 1.79 de la Ordenanza Metropolitana No. 001, que contiene al Código Municipal del Distrito Metropolitano de Quito”. </w:t>
      </w:r>
    </w:p>
    <w:p w:rsidR="00726973" w:rsidRPr="006B4E67" w:rsidRDefault="00726973" w:rsidP="00256FB3">
      <w:pPr>
        <w:pStyle w:val="Default"/>
        <w:ind w:left="708" w:hanging="708"/>
        <w:jc w:val="both"/>
        <w:rPr>
          <w:b/>
          <w:i/>
          <w:sz w:val="22"/>
          <w:szCs w:val="22"/>
        </w:rPr>
      </w:pPr>
    </w:p>
    <w:p w:rsidR="00FC7EEC" w:rsidRPr="00EA337F" w:rsidRDefault="00FC7EEC" w:rsidP="000E4614">
      <w:pPr>
        <w:pStyle w:val="Default"/>
        <w:jc w:val="both"/>
        <w:rPr>
          <w:i/>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t>la Comisión de Uso de Su</w:t>
      </w:r>
      <w:r w:rsidR="005C1D48">
        <w:rPr>
          <w:sz w:val="22"/>
          <w:szCs w:val="22"/>
        </w:rPr>
        <w:t>elo en sesión ordinaria Nro. 180</w:t>
      </w:r>
      <w:r w:rsidRPr="00EA337F">
        <w:rPr>
          <w:sz w:val="22"/>
          <w:szCs w:val="22"/>
        </w:rPr>
        <w:t xml:space="preserve">, de </w:t>
      </w:r>
      <w:r w:rsidR="005C1D48">
        <w:rPr>
          <w:sz w:val="22"/>
          <w:szCs w:val="22"/>
        </w:rPr>
        <w:t xml:space="preserve">12 </w:t>
      </w:r>
      <w:r w:rsidRPr="00EA337F">
        <w:rPr>
          <w:sz w:val="22"/>
          <w:szCs w:val="22"/>
        </w:rPr>
        <w:t xml:space="preserve">de </w:t>
      </w:r>
      <w:r w:rsidR="005C1D48">
        <w:rPr>
          <w:sz w:val="22"/>
          <w:szCs w:val="22"/>
        </w:rPr>
        <w:t xml:space="preserve">diciembre </w:t>
      </w:r>
      <w:r w:rsidRPr="00EA337F">
        <w:rPr>
          <w:sz w:val="22"/>
          <w:szCs w:val="22"/>
        </w:rPr>
        <w:t>de 2022, analizó los informes técnicos y legale</w:t>
      </w:r>
      <w:r w:rsidR="004553DB">
        <w:rPr>
          <w:sz w:val="22"/>
          <w:szCs w:val="22"/>
        </w:rPr>
        <w:t>s, que reposan en el expediente</w:t>
      </w:r>
      <w:r w:rsidRPr="00EA337F">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AC4B2C" w:rsidRPr="00EA337F">
        <w:rPr>
          <w:rFonts w:ascii="Palatino Linotype" w:eastAsiaTheme="minorHAnsi" w:hAnsi="Palatino Linotype"/>
          <w:sz w:val="22"/>
          <w:szCs w:val="22"/>
          <w:lang w:eastAsia="en-US"/>
        </w:rPr>
        <w:t>ealizada el … de … de 2022</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A55032" w:rsidRPr="00EA337F">
        <w:rPr>
          <w:rFonts w:ascii="Palatino Linotype" w:eastAsiaTheme="minorHAnsi" w:hAnsi="Palatino Linotype"/>
          <w:sz w:val="22"/>
          <w:szCs w:val="22"/>
          <w:lang w:eastAsia="en-US"/>
        </w:rPr>
        <w:t>2</w:t>
      </w:r>
      <w:r w:rsidR="00745751" w:rsidRPr="00EA337F">
        <w:rPr>
          <w:rFonts w:ascii="Palatino Linotype" w:eastAsiaTheme="minorHAnsi" w:hAnsi="Palatino Linotype"/>
          <w:sz w:val="22"/>
          <w:szCs w:val="22"/>
          <w:lang w:eastAsia="en-US"/>
        </w:rPr>
        <w:t>-</w:t>
      </w:r>
      <w:r w:rsidR="00814371">
        <w:rPr>
          <w:rFonts w:ascii="Palatino Linotype" w:eastAsiaTheme="minorHAnsi" w:hAnsi="Palatino Linotype"/>
          <w:sz w:val="22"/>
          <w:szCs w:val="22"/>
          <w:lang w:eastAsia="en-US"/>
        </w:rPr>
        <w:t>118</w:t>
      </w:r>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AA61B2" w:rsidRDefault="005F36E3" w:rsidP="00E81F93">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b/>
          <w:sz w:val="22"/>
          <w:szCs w:val="22"/>
        </w:rPr>
        <w:t>Artí</w:t>
      </w:r>
      <w:r w:rsidRPr="00AA61B2">
        <w:rPr>
          <w:rFonts w:ascii="Palatino Linotype" w:hAnsi="Palatino Linotype" w:cs="Arial"/>
          <w:b/>
          <w:sz w:val="22"/>
          <w:szCs w:val="22"/>
        </w:rPr>
        <w:t>culo 1.-</w:t>
      </w:r>
      <w:r w:rsidRPr="00AA61B2">
        <w:rPr>
          <w:rFonts w:ascii="Palatino Linotype" w:hAnsi="Palatino Linotype" w:cs="Arial"/>
          <w:sz w:val="22"/>
          <w:szCs w:val="22"/>
        </w:rPr>
        <w:t xml:space="preserve"> Autorizar la subdivisión del predio </w:t>
      </w:r>
      <w:r w:rsidR="00C261A8">
        <w:rPr>
          <w:rFonts w:ascii="Palatino Linotype" w:hAnsi="Palatino Linotype" w:cs="Arial"/>
          <w:sz w:val="22"/>
          <w:szCs w:val="22"/>
        </w:rPr>
        <w:t xml:space="preserve">No. </w:t>
      </w:r>
      <w:r w:rsidR="007C0EA1" w:rsidRPr="0050170E">
        <w:rPr>
          <w:rFonts w:ascii="Palatino Linotype" w:hAnsi="Palatino Linotype" w:cs="Arial"/>
          <w:sz w:val="22"/>
          <w:szCs w:val="22"/>
        </w:rPr>
        <w:t>229998, clave catastral Nro. 13204 11 011 000 000 000</w:t>
      </w:r>
      <w:r w:rsidR="009A5815" w:rsidRPr="0050170E">
        <w:rPr>
          <w:rFonts w:ascii="Palatino Linotype" w:hAnsi="Palatino Linotype" w:cs="Arial"/>
          <w:sz w:val="22"/>
          <w:szCs w:val="22"/>
        </w:rPr>
        <w:t xml:space="preserve">, </w:t>
      </w:r>
      <w:r w:rsidRPr="00AA61B2">
        <w:rPr>
          <w:rFonts w:ascii="Palatino Linotype" w:hAnsi="Palatino Linotype" w:cs="Arial"/>
          <w:sz w:val="22"/>
          <w:szCs w:val="22"/>
        </w:rPr>
        <w:t>cambiando las condiciones de ese inmueble en particular y generando una excepción a las condiciones generales, de conformidad con la sentencia emitida dentro del proceso judicial No.</w:t>
      </w:r>
      <w:r w:rsidR="007C0EA1" w:rsidRPr="0050170E">
        <w:t xml:space="preserve"> </w:t>
      </w:r>
      <w:r w:rsidR="007C0EA1" w:rsidRPr="0050170E">
        <w:rPr>
          <w:rFonts w:ascii="Palatino Linotype" w:hAnsi="Palatino Linotype"/>
          <w:sz w:val="22"/>
          <w:szCs w:val="22"/>
        </w:rPr>
        <w:t>17307-2010-144</w:t>
      </w:r>
      <w:r w:rsidRPr="00AA61B2">
        <w:rPr>
          <w:rFonts w:ascii="Palatino Linotype" w:hAnsi="Palatino Linotype" w:cs="Arial"/>
          <w:sz w:val="22"/>
          <w:szCs w:val="22"/>
        </w:rPr>
        <w:t xml:space="preserve">, mediante la cual </w:t>
      </w:r>
      <w:r w:rsidR="007C0EA1">
        <w:rPr>
          <w:rFonts w:ascii="Palatino Linotype" w:hAnsi="Palatino Linotype" w:cs="Arial"/>
          <w:sz w:val="22"/>
          <w:szCs w:val="22"/>
        </w:rPr>
        <w:t>el Ju&lt;gado Séptimo de lo Civil de Pichincha</w:t>
      </w:r>
      <w:r w:rsidRPr="00AA61B2">
        <w:rPr>
          <w:rFonts w:ascii="Palatino Linotype" w:hAnsi="Palatino Linotype" w:cs="Arial"/>
          <w:sz w:val="22"/>
          <w:szCs w:val="22"/>
        </w:rPr>
        <w:t>, acepta la demanda y declara la Prescripción Extraordinaria Adquisitiva de Do</w:t>
      </w:r>
      <w:r w:rsidR="00633AF6" w:rsidRPr="00AA61B2">
        <w:rPr>
          <w:rFonts w:ascii="Palatino Linotype" w:hAnsi="Palatino Linotype" w:cs="Arial"/>
          <w:sz w:val="22"/>
          <w:szCs w:val="22"/>
        </w:rPr>
        <w:t>minio que ha operado a favor</w:t>
      </w:r>
      <w:r w:rsidR="007E496C">
        <w:rPr>
          <w:rFonts w:ascii="Palatino Linotype" w:hAnsi="Palatino Linotype" w:cs="Arial"/>
          <w:sz w:val="22"/>
          <w:szCs w:val="22"/>
        </w:rPr>
        <w:t xml:space="preserve"> </w:t>
      </w:r>
      <w:r w:rsidR="007E496C" w:rsidRPr="0050170E">
        <w:rPr>
          <w:rFonts w:ascii="Palatino Linotype" w:hAnsi="Palatino Linotype" w:cs="Arial"/>
          <w:sz w:val="22"/>
          <w:szCs w:val="22"/>
        </w:rPr>
        <w:t>de</w:t>
      </w:r>
      <w:r w:rsidR="00E167CD" w:rsidRPr="0050170E">
        <w:rPr>
          <w:rFonts w:ascii="Palatino Linotype" w:hAnsi="Palatino Linotype" w:cs="Arial"/>
          <w:sz w:val="22"/>
          <w:szCs w:val="22"/>
        </w:rPr>
        <w:t xml:space="preserve"> </w:t>
      </w:r>
      <w:r w:rsidR="00E167CD" w:rsidRPr="0050170E">
        <w:rPr>
          <w:rFonts w:ascii="Palatino Linotype" w:hAnsi="Palatino Linotype" w:cs="Arial"/>
          <w:sz w:val="22"/>
          <w:szCs w:val="22"/>
        </w:rPr>
        <w:t>los señores Fabián Patricio Padilla y Clara Georgina Grados Padilla</w:t>
      </w:r>
      <w:r w:rsidR="00782943" w:rsidRPr="0050170E">
        <w:rPr>
          <w:rFonts w:ascii="Palatino Linotype" w:hAnsi="Palatino Linotype" w:cs="Arial"/>
          <w:sz w:val="22"/>
          <w:szCs w:val="22"/>
        </w:rPr>
        <w:t>,</w:t>
      </w:r>
      <w:r w:rsidR="00782943" w:rsidRPr="0050170E">
        <w:rPr>
          <w:rFonts w:ascii="Palatino Linotype" w:hAnsi="Palatino Linotype" w:cs="Arial"/>
          <w:sz w:val="22"/>
          <w:szCs w:val="22"/>
        </w:rPr>
        <w:t xml:space="preserve"> </w:t>
      </w:r>
      <w:r w:rsidRPr="00AA61B2">
        <w:rPr>
          <w:rFonts w:ascii="Palatino Linotype" w:hAnsi="Palatino Linotype" w:cs="Arial"/>
          <w:sz w:val="22"/>
          <w:szCs w:val="22"/>
        </w:rPr>
        <w:t xml:space="preserve">por una superficie de </w:t>
      </w:r>
      <w:r w:rsidR="0050170E">
        <w:t xml:space="preserve">75 </w:t>
      </w:r>
      <w:r w:rsidR="009F1F87" w:rsidRPr="0050170E">
        <w:t>m2</w:t>
      </w:r>
      <w:r w:rsidRPr="009F1F87">
        <w:rPr>
          <w:rFonts w:ascii="Palatino Linotype" w:hAnsi="Palatino Linotype" w:cs="Arial"/>
          <w:sz w:val="22"/>
          <w:szCs w:val="22"/>
        </w:rPr>
        <w:t>.</w:t>
      </w:r>
      <w:r w:rsidRPr="00AA61B2">
        <w:rPr>
          <w:rFonts w:ascii="Palatino Linotype" w:hAnsi="Palatino Linotype" w:cs="Arial"/>
          <w:sz w:val="22"/>
          <w:szCs w:val="22"/>
        </w:rPr>
        <w:t xml:space="preserve"> </w:t>
      </w: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r w:rsidRPr="00AA61B2">
        <w:rPr>
          <w:rFonts w:ascii="Palatino Linotype" w:hAnsi="Palatino Linotype" w:cs="Arial"/>
          <w:sz w:val="22"/>
          <w:szCs w:val="22"/>
        </w:rPr>
        <w:t xml:space="preserve">De conformidad con lo dispuesto en el artículo 2266.160 del Código Municipal para el Distrito Metropolitano de Quito, </w:t>
      </w:r>
      <w:r w:rsidR="005000E6" w:rsidRPr="0050170E">
        <w:rPr>
          <w:rFonts w:ascii="Palatino Linotype" w:hAnsi="Palatino Linotype" w:cs="Arial"/>
          <w:sz w:val="22"/>
          <w:szCs w:val="22"/>
        </w:rPr>
        <w:t>los señores Fabián Patricio Padilla y Clara Georgina Grados Padilla</w:t>
      </w:r>
      <w:r w:rsidRPr="00AA61B2">
        <w:rPr>
          <w:rFonts w:ascii="Palatino Linotype" w:hAnsi="Palatino Linotype" w:cs="Arial"/>
          <w:sz w:val="22"/>
          <w:szCs w:val="22"/>
        </w:rPr>
        <w:t>, deberá</w:t>
      </w:r>
      <w:r w:rsidR="005000E6">
        <w:rPr>
          <w:rFonts w:ascii="Palatino Linotype" w:hAnsi="Palatino Linotype" w:cs="Arial"/>
          <w:sz w:val="22"/>
          <w:szCs w:val="22"/>
        </w:rPr>
        <w:t>n</w:t>
      </w:r>
      <w:bookmarkStart w:id="0" w:name="_GoBack"/>
      <w:bookmarkEnd w:id="0"/>
      <w:r w:rsidRPr="00AA61B2">
        <w:rPr>
          <w:rFonts w:ascii="Palatino Linotype" w:hAnsi="Palatino Linotype" w:cs="Arial"/>
          <w:sz w:val="22"/>
          <w:szCs w:val="22"/>
        </w:rPr>
        <w:t xml:space="preserve">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lastRenderedPageBreak/>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C3" w:rsidRDefault="007D6EC3">
      <w:r>
        <w:separator/>
      </w:r>
    </w:p>
  </w:endnote>
  <w:endnote w:type="continuationSeparator" w:id="0">
    <w:p w:rsidR="007D6EC3" w:rsidRDefault="007D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5000E6">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5000E6">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7D6EC3">
            <w:pPr>
              <w:pStyle w:val="Piedepgina"/>
              <w:jc w:val="right"/>
              <w:rPr>
                <w:rFonts w:ascii="Palatino Linotype" w:hAnsi="Palatino Linotype"/>
                <w:sz w:val="20"/>
                <w:szCs w:val="20"/>
              </w:rPr>
            </w:pPr>
          </w:p>
        </w:sdtContent>
      </w:sdt>
    </w:sdtContent>
  </w:sdt>
  <w:p w:rsidR="005D2467" w:rsidRPr="008479FB" w:rsidRDefault="007D6EC3">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C3" w:rsidRDefault="007D6EC3">
      <w:r>
        <w:separator/>
      </w:r>
    </w:p>
  </w:footnote>
  <w:footnote w:type="continuationSeparator" w:id="0">
    <w:p w:rsidR="007D6EC3" w:rsidRDefault="007D6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7D6EC3"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7D6EC3"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7D6E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2910"/>
    <w:rsid w:val="00005760"/>
    <w:rsid w:val="00006A5E"/>
    <w:rsid w:val="000077F9"/>
    <w:rsid w:val="000251CF"/>
    <w:rsid w:val="000264CB"/>
    <w:rsid w:val="00027D50"/>
    <w:rsid w:val="00030386"/>
    <w:rsid w:val="00035E6C"/>
    <w:rsid w:val="0004203F"/>
    <w:rsid w:val="00063D30"/>
    <w:rsid w:val="00067AEE"/>
    <w:rsid w:val="0008033C"/>
    <w:rsid w:val="0008254A"/>
    <w:rsid w:val="00090E26"/>
    <w:rsid w:val="000944D7"/>
    <w:rsid w:val="00097C9B"/>
    <w:rsid w:val="000A17A7"/>
    <w:rsid w:val="000A6FF4"/>
    <w:rsid w:val="000A70A0"/>
    <w:rsid w:val="000B4CF2"/>
    <w:rsid w:val="000D77BB"/>
    <w:rsid w:val="000E121C"/>
    <w:rsid w:val="000E205E"/>
    <w:rsid w:val="000E4614"/>
    <w:rsid w:val="000F6E07"/>
    <w:rsid w:val="00115787"/>
    <w:rsid w:val="00124959"/>
    <w:rsid w:val="0013405F"/>
    <w:rsid w:val="0013624A"/>
    <w:rsid w:val="001439C8"/>
    <w:rsid w:val="00144F8A"/>
    <w:rsid w:val="0017481B"/>
    <w:rsid w:val="001A01E2"/>
    <w:rsid w:val="001A17A7"/>
    <w:rsid w:val="001A2E60"/>
    <w:rsid w:val="001A5724"/>
    <w:rsid w:val="001B2FFD"/>
    <w:rsid w:val="001C1FC7"/>
    <w:rsid w:val="001C7456"/>
    <w:rsid w:val="001D702D"/>
    <w:rsid w:val="001E2F60"/>
    <w:rsid w:val="001F679D"/>
    <w:rsid w:val="001F733D"/>
    <w:rsid w:val="00224DF1"/>
    <w:rsid w:val="00236DB4"/>
    <w:rsid w:val="0024026A"/>
    <w:rsid w:val="0024403E"/>
    <w:rsid w:val="00245D20"/>
    <w:rsid w:val="00246430"/>
    <w:rsid w:val="00252078"/>
    <w:rsid w:val="00253AA5"/>
    <w:rsid w:val="00256FB3"/>
    <w:rsid w:val="002612AA"/>
    <w:rsid w:val="0026215F"/>
    <w:rsid w:val="00264155"/>
    <w:rsid w:val="00290050"/>
    <w:rsid w:val="00296140"/>
    <w:rsid w:val="00296D2E"/>
    <w:rsid w:val="00297B92"/>
    <w:rsid w:val="002C44A1"/>
    <w:rsid w:val="002D4C5C"/>
    <w:rsid w:val="002E4C52"/>
    <w:rsid w:val="002F2CCA"/>
    <w:rsid w:val="002F7AF5"/>
    <w:rsid w:val="00306191"/>
    <w:rsid w:val="00313677"/>
    <w:rsid w:val="003210C2"/>
    <w:rsid w:val="00336073"/>
    <w:rsid w:val="00341B45"/>
    <w:rsid w:val="00343222"/>
    <w:rsid w:val="00345885"/>
    <w:rsid w:val="00360B0F"/>
    <w:rsid w:val="003A3AD1"/>
    <w:rsid w:val="003C25F1"/>
    <w:rsid w:val="003E3BAD"/>
    <w:rsid w:val="004014CA"/>
    <w:rsid w:val="00401F50"/>
    <w:rsid w:val="00406F51"/>
    <w:rsid w:val="0042799B"/>
    <w:rsid w:val="004306D0"/>
    <w:rsid w:val="004336C0"/>
    <w:rsid w:val="00445381"/>
    <w:rsid w:val="004553DB"/>
    <w:rsid w:val="00470AD9"/>
    <w:rsid w:val="00481F59"/>
    <w:rsid w:val="00495B8D"/>
    <w:rsid w:val="004A0006"/>
    <w:rsid w:val="004A628F"/>
    <w:rsid w:val="004B008D"/>
    <w:rsid w:val="004B2063"/>
    <w:rsid w:val="004C50EC"/>
    <w:rsid w:val="004E2C3F"/>
    <w:rsid w:val="004E76E0"/>
    <w:rsid w:val="004F26DD"/>
    <w:rsid w:val="004F2E6F"/>
    <w:rsid w:val="004F5036"/>
    <w:rsid w:val="005000E6"/>
    <w:rsid w:val="0050170E"/>
    <w:rsid w:val="00511047"/>
    <w:rsid w:val="00525A48"/>
    <w:rsid w:val="00532857"/>
    <w:rsid w:val="00552CDD"/>
    <w:rsid w:val="0056686B"/>
    <w:rsid w:val="005720AF"/>
    <w:rsid w:val="005A0BB9"/>
    <w:rsid w:val="005A6B15"/>
    <w:rsid w:val="005B6971"/>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6664"/>
    <w:rsid w:val="0065640B"/>
    <w:rsid w:val="00662D01"/>
    <w:rsid w:val="00673059"/>
    <w:rsid w:val="00677109"/>
    <w:rsid w:val="00681133"/>
    <w:rsid w:val="006861DE"/>
    <w:rsid w:val="00687C0C"/>
    <w:rsid w:val="0069369A"/>
    <w:rsid w:val="00694141"/>
    <w:rsid w:val="006A6DA4"/>
    <w:rsid w:val="006B3C18"/>
    <w:rsid w:val="006B4E67"/>
    <w:rsid w:val="006C4379"/>
    <w:rsid w:val="006C76D0"/>
    <w:rsid w:val="006E179D"/>
    <w:rsid w:val="006E34DC"/>
    <w:rsid w:val="00707BCF"/>
    <w:rsid w:val="007115CA"/>
    <w:rsid w:val="0071609F"/>
    <w:rsid w:val="00726973"/>
    <w:rsid w:val="007315B0"/>
    <w:rsid w:val="007401E1"/>
    <w:rsid w:val="00740EE8"/>
    <w:rsid w:val="00745751"/>
    <w:rsid w:val="007500BA"/>
    <w:rsid w:val="00751D1C"/>
    <w:rsid w:val="00755448"/>
    <w:rsid w:val="00757091"/>
    <w:rsid w:val="00782943"/>
    <w:rsid w:val="00785C49"/>
    <w:rsid w:val="007B4D6C"/>
    <w:rsid w:val="007C0EA1"/>
    <w:rsid w:val="007C3147"/>
    <w:rsid w:val="007D2680"/>
    <w:rsid w:val="007D2D4F"/>
    <w:rsid w:val="007D5644"/>
    <w:rsid w:val="007D6EC3"/>
    <w:rsid w:val="007E496C"/>
    <w:rsid w:val="007E60E9"/>
    <w:rsid w:val="007E720F"/>
    <w:rsid w:val="007F4625"/>
    <w:rsid w:val="008044F7"/>
    <w:rsid w:val="00805221"/>
    <w:rsid w:val="00810FC2"/>
    <w:rsid w:val="0081380B"/>
    <w:rsid w:val="00814371"/>
    <w:rsid w:val="00822C12"/>
    <w:rsid w:val="0082482D"/>
    <w:rsid w:val="00826061"/>
    <w:rsid w:val="00832D35"/>
    <w:rsid w:val="0083339A"/>
    <w:rsid w:val="00846624"/>
    <w:rsid w:val="00854CBC"/>
    <w:rsid w:val="00855B0B"/>
    <w:rsid w:val="00862F11"/>
    <w:rsid w:val="0087756E"/>
    <w:rsid w:val="008824CB"/>
    <w:rsid w:val="008834D1"/>
    <w:rsid w:val="008835E2"/>
    <w:rsid w:val="00884949"/>
    <w:rsid w:val="00893065"/>
    <w:rsid w:val="00893126"/>
    <w:rsid w:val="00893F13"/>
    <w:rsid w:val="008A3F72"/>
    <w:rsid w:val="008B4153"/>
    <w:rsid w:val="008D3480"/>
    <w:rsid w:val="008D6AA3"/>
    <w:rsid w:val="008E05AA"/>
    <w:rsid w:val="008E4950"/>
    <w:rsid w:val="008F1D7C"/>
    <w:rsid w:val="00904949"/>
    <w:rsid w:val="00907185"/>
    <w:rsid w:val="0093701E"/>
    <w:rsid w:val="009401D2"/>
    <w:rsid w:val="00942032"/>
    <w:rsid w:val="009522EC"/>
    <w:rsid w:val="00953717"/>
    <w:rsid w:val="0096109F"/>
    <w:rsid w:val="00962351"/>
    <w:rsid w:val="0097359A"/>
    <w:rsid w:val="00983736"/>
    <w:rsid w:val="0098647F"/>
    <w:rsid w:val="00993181"/>
    <w:rsid w:val="0099372E"/>
    <w:rsid w:val="0099702E"/>
    <w:rsid w:val="009A0658"/>
    <w:rsid w:val="009A51C9"/>
    <w:rsid w:val="009A5815"/>
    <w:rsid w:val="009B0D34"/>
    <w:rsid w:val="009C157E"/>
    <w:rsid w:val="009D76A5"/>
    <w:rsid w:val="009E1D0C"/>
    <w:rsid w:val="009E7CCA"/>
    <w:rsid w:val="009F1F87"/>
    <w:rsid w:val="009F6F24"/>
    <w:rsid w:val="00A23206"/>
    <w:rsid w:val="00A35D24"/>
    <w:rsid w:val="00A42FBD"/>
    <w:rsid w:val="00A45C33"/>
    <w:rsid w:val="00A47D5C"/>
    <w:rsid w:val="00A52378"/>
    <w:rsid w:val="00A53B09"/>
    <w:rsid w:val="00A55032"/>
    <w:rsid w:val="00A56888"/>
    <w:rsid w:val="00A60EBB"/>
    <w:rsid w:val="00A654D7"/>
    <w:rsid w:val="00A66C89"/>
    <w:rsid w:val="00A73E1F"/>
    <w:rsid w:val="00A76A16"/>
    <w:rsid w:val="00A83FCC"/>
    <w:rsid w:val="00A873C9"/>
    <w:rsid w:val="00AA23EE"/>
    <w:rsid w:val="00AA2620"/>
    <w:rsid w:val="00AA61B2"/>
    <w:rsid w:val="00AC0982"/>
    <w:rsid w:val="00AC2A12"/>
    <w:rsid w:val="00AC4B2C"/>
    <w:rsid w:val="00AD0CAC"/>
    <w:rsid w:val="00AD1557"/>
    <w:rsid w:val="00AD767B"/>
    <w:rsid w:val="00AE18B4"/>
    <w:rsid w:val="00AE1F80"/>
    <w:rsid w:val="00AE320F"/>
    <w:rsid w:val="00AE5A20"/>
    <w:rsid w:val="00AE5F25"/>
    <w:rsid w:val="00B007F0"/>
    <w:rsid w:val="00B0169E"/>
    <w:rsid w:val="00B27543"/>
    <w:rsid w:val="00B35D39"/>
    <w:rsid w:val="00B418BF"/>
    <w:rsid w:val="00B46254"/>
    <w:rsid w:val="00B47FDC"/>
    <w:rsid w:val="00B5446C"/>
    <w:rsid w:val="00B706B2"/>
    <w:rsid w:val="00B748ED"/>
    <w:rsid w:val="00B84C96"/>
    <w:rsid w:val="00B9672E"/>
    <w:rsid w:val="00BA3CE3"/>
    <w:rsid w:val="00BA63E5"/>
    <w:rsid w:val="00BD292F"/>
    <w:rsid w:val="00BD7EFF"/>
    <w:rsid w:val="00BF4249"/>
    <w:rsid w:val="00C2568C"/>
    <w:rsid w:val="00C261A8"/>
    <w:rsid w:val="00C2794C"/>
    <w:rsid w:val="00C31C0C"/>
    <w:rsid w:val="00C469C4"/>
    <w:rsid w:val="00C4735F"/>
    <w:rsid w:val="00C600A8"/>
    <w:rsid w:val="00C62E1F"/>
    <w:rsid w:val="00C7771D"/>
    <w:rsid w:val="00C77EE7"/>
    <w:rsid w:val="00C82C59"/>
    <w:rsid w:val="00C926A0"/>
    <w:rsid w:val="00C9395C"/>
    <w:rsid w:val="00CB1FAE"/>
    <w:rsid w:val="00CB5779"/>
    <w:rsid w:val="00CF05C8"/>
    <w:rsid w:val="00CF748D"/>
    <w:rsid w:val="00D1552F"/>
    <w:rsid w:val="00D23C29"/>
    <w:rsid w:val="00D32754"/>
    <w:rsid w:val="00D4445E"/>
    <w:rsid w:val="00D46415"/>
    <w:rsid w:val="00D5311D"/>
    <w:rsid w:val="00D57722"/>
    <w:rsid w:val="00D64A4C"/>
    <w:rsid w:val="00D71F2E"/>
    <w:rsid w:val="00D85433"/>
    <w:rsid w:val="00D86EE7"/>
    <w:rsid w:val="00DA4995"/>
    <w:rsid w:val="00DB0141"/>
    <w:rsid w:val="00DB392E"/>
    <w:rsid w:val="00DB552C"/>
    <w:rsid w:val="00DC5625"/>
    <w:rsid w:val="00DD0991"/>
    <w:rsid w:val="00DD5FF2"/>
    <w:rsid w:val="00DE0B90"/>
    <w:rsid w:val="00DE3119"/>
    <w:rsid w:val="00DE326F"/>
    <w:rsid w:val="00DE7374"/>
    <w:rsid w:val="00DE7961"/>
    <w:rsid w:val="00DF0B4F"/>
    <w:rsid w:val="00DF244E"/>
    <w:rsid w:val="00E02AE3"/>
    <w:rsid w:val="00E167CD"/>
    <w:rsid w:val="00E22628"/>
    <w:rsid w:val="00E2458D"/>
    <w:rsid w:val="00E332EA"/>
    <w:rsid w:val="00E37644"/>
    <w:rsid w:val="00E41B4B"/>
    <w:rsid w:val="00E46A96"/>
    <w:rsid w:val="00E5406F"/>
    <w:rsid w:val="00E64E46"/>
    <w:rsid w:val="00E65833"/>
    <w:rsid w:val="00E81779"/>
    <w:rsid w:val="00E81F93"/>
    <w:rsid w:val="00E84326"/>
    <w:rsid w:val="00E97A2B"/>
    <w:rsid w:val="00EA20CF"/>
    <w:rsid w:val="00EA337F"/>
    <w:rsid w:val="00EA5D12"/>
    <w:rsid w:val="00EB7956"/>
    <w:rsid w:val="00EC6091"/>
    <w:rsid w:val="00EE4C7B"/>
    <w:rsid w:val="00EF6F62"/>
    <w:rsid w:val="00F073C7"/>
    <w:rsid w:val="00F27EBD"/>
    <w:rsid w:val="00F33C5B"/>
    <w:rsid w:val="00F5205A"/>
    <w:rsid w:val="00F61795"/>
    <w:rsid w:val="00F6236F"/>
    <w:rsid w:val="00F64624"/>
    <w:rsid w:val="00F950D9"/>
    <w:rsid w:val="00FA7F92"/>
    <w:rsid w:val="00FB2C86"/>
    <w:rsid w:val="00FC3E6E"/>
    <w:rsid w:val="00FC7EEC"/>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008E"/>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2359</Words>
  <Characters>12980</Characters>
  <Application>Microsoft Office Word</Application>
  <DocSecurity>0</DocSecurity>
  <Lines>763</Lines>
  <Paragraphs>639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524</cp:revision>
  <dcterms:created xsi:type="dcterms:W3CDTF">2021-03-30T15:44:00Z</dcterms:created>
  <dcterms:modified xsi:type="dcterms:W3CDTF">2023-05-25T18:04:00Z</dcterms:modified>
</cp:coreProperties>
</file>