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EL CONCEJO METROPOLITANO DE QUITO</w:t>
      </w: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CONSIDERANDO:</w:t>
      </w:r>
    </w:p>
    <w:p w:rsidR="00C926A0" w:rsidRPr="00EA337F" w:rsidRDefault="00C926A0" w:rsidP="00C926A0">
      <w:pPr>
        <w:autoSpaceDE w:val="0"/>
        <w:autoSpaceDN w:val="0"/>
        <w:adjustRightInd w:val="0"/>
        <w:ind w:left="705" w:hanging="705"/>
        <w:jc w:val="both"/>
        <w:rPr>
          <w:rFonts w:ascii="Palatino Linotype" w:eastAsiaTheme="minorHAnsi" w:hAnsi="Palatino Linotype"/>
          <w:i/>
          <w:iCs/>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 el artículo 240 de la Constitución de República del Ecuador, en adelante Constitución, establece: “</w:t>
      </w:r>
      <w:r w:rsidRPr="00EA337F">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la Constitución de la República del Ecuador en su artículo 266, determina: </w:t>
      </w:r>
      <w:r w:rsidRPr="00EA337F">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EA337F">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conforme establece el artículo 87, literal v) del COOTAD, al Concejo Metropolitano le corresponde: </w:t>
      </w:r>
      <w:r w:rsidRPr="00EA337F">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EA337F">
        <w:rPr>
          <w:rFonts w:ascii="Palatino Linotype" w:eastAsiaTheme="minorHAnsi" w:hAnsi="Palatino Linotype"/>
          <w:sz w:val="22"/>
          <w:szCs w:val="22"/>
          <w:lang w:eastAsia="en-US"/>
        </w:rPr>
        <w:t xml:space="preserv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iCs/>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artículo 323 del COOTAD establece: “</w:t>
      </w:r>
      <w:r w:rsidRPr="00EA337F">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w:t>
      </w:r>
      <w:r w:rsidRPr="00EA337F">
        <w:rPr>
          <w:rFonts w:ascii="Palatino Linotype" w:eastAsiaTheme="minorHAnsi" w:hAnsi="Palatino Linotype"/>
          <w:i/>
          <w:iCs/>
          <w:sz w:val="22"/>
          <w:szCs w:val="22"/>
          <w:lang w:eastAsia="en-US"/>
        </w:rPr>
        <w:lastRenderedPageBreak/>
        <w:t>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424 del COOTAD señala: </w:t>
      </w:r>
      <w:r w:rsidRPr="00EA337F">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el artículo 472 del COOTAD señala que: </w:t>
      </w:r>
      <w:r w:rsidRPr="00EA337F">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2410 del el Código Civil Ecuatoriano determina que: </w:t>
      </w:r>
      <w:r w:rsidRPr="00EA337F">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jc w:val="both"/>
        <w:rPr>
          <w:rFonts w:ascii="Palatino Linotype" w:hAnsi="Palatino Linotype"/>
          <w:sz w:val="22"/>
          <w:szCs w:val="22"/>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Que,</w:t>
      </w:r>
      <w:r w:rsidRPr="00EA337F">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EA337F">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EA337F">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EA337F">
        <w:rPr>
          <w:rFonts w:ascii="Palatino Linotype" w:hAnsi="Palatino Linotype"/>
          <w:i/>
          <w:sz w:val="22"/>
          <w:szCs w:val="22"/>
        </w:rPr>
        <w:t>”</w:t>
      </w:r>
      <w:r w:rsidRPr="00EA337F">
        <w:rPr>
          <w:rFonts w:ascii="Palatino Linotype" w:hAnsi="Palatino Linotype"/>
          <w:sz w:val="22"/>
          <w:szCs w:val="22"/>
        </w:rPr>
        <w:t xml:space="preserve">; </w:t>
      </w: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p>
    <w:p w:rsidR="00532857" w:rsidRPr="00EA337F" w:rsidRDefault="00532857" w:rsidP="00532857">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en su artículo 2171, establece: </w:t>
      </w:r>
      <w:r w:rsidRPr="00EA337F">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027D50" w:rsidRPr="00EA337F" w:rsidRDefault="00027D50" w:rsidP="00027D50">
      <w:pPr>
        <w:autoSpaceDE w:val="0"/>
        <w:autoSpaceDN w:val="0"/>
        <w:adjustRightInd w:val="0"/>
        <w:ind w:left="708" w:hanging="708"/>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mediante oficio Nro.</w:t>
      </w:r>
      <w:r w:rsidRPr="00EA337F">
        <w:rPr>
          <w:rFonts w:ascii="Palatino Linotype" w:hAnsi="Palatino Linotype"/>
          <w:sz w:val="22"/>
          <w:szCs w:val="22"/>
        </w:rPr>
        <w:t xml:space="preserve"> 2950-2010 de 31 de octubre de 2011</w:t>
      </w:r>
      <w:r w:rsidRPr="00EA337F">
        <w:rPr>
          <w:rFonts w:ascii="Palatino Linotype" w:eastAsiaTheme="minorHAnsi" w:hAnsi="Palatino Linotype"/>
          <w:sz w:val="22"/>
          <w:szCs w:val="22"/>
          <w:lang w:eastAsia="en-US"/>
        </w:rPr>
        <w:t xml:space="preserve"> la Procuraduría Metropolitana emitió un </w:t>
      </w:r>
      <w:r w:rsidRPr="00EA337F">
        <w:rPr>
          <w:rFonts w:ascii="Palatino Linotype" w:hAnsi="Palatino Linotype"/>
          <w:sz w:val="22"/>
          <w:szCs w:val="22"/>
        </w:rPr>
        <w:t xml:space="preserve">pronunciamiento en forma general, respecto al marco legal y operativo para todos los casos de </w:t>
      </w:r>
      <w:r w:rsidRPr="00EA337F">
        <w:rPr>
          <w:rFonts w:ascii="Palatino Linotype" w:eastAsiaTheme="minorHAnsi" w:hAnsi="Palatino Linotype"/>
          <w:sz w:val="22"/>
          <w:szCs w:val="22"/>
          <w:lang w:eastAsia="en-US"/>
        </w:rPr>
        <w:t>prescripción extraordinaria adquisitiva de dominio;</w:t>
      </w:r>
    </w:p>
    <w:p w:rsidR="00027D50" w:rsidRPr="00EA337F" w:rsidRDefault="00027D50" w:rsidP="002F7AF5">
      <w:pPr>
        <w:autoSpaceDE w:val="0"/>
        <w:autoSpaceDN w:val="0"/>
        <w:adjustRightInd w:val="0"/>
        <w:ind w:left="708" w:hanging="708"/>
        <w:jc w:val="both"/>
        <w:rPr>
          <w:rFonts w:ascii="Palatino Linotype" w:eastAsiaTheme="minorHAnsi" w:hAnsi="Palatino Linotype"/>
          <w:b/>
          <w:sz w:val="22"/>
          <w:szCs w:val="22"/>
          <w:lang w:eastAsia="en-US"/>
        </w:rPr>
      </w:pPr>
    </w:p>
    <w:p w:rsidR="001F733D" w:rsidRPr="00EA337F" w:rsidRDefault="0013405F" w:rsidP="0013405F">
      <w:pPr>
        <w:pStyle w:val="Default"/>
        <w:ind w:left="708" w:hanging="708"/>
        <w:jc w:val="both"/>
        <w:rPr>
          <w:sz w:val="22"/>
          <w:szCs w:val="22"/>
        </w:rPr>
      </w:pPr>
      <w:r w:rsidRPr="00EA337F">
        <w:rPr>
          <w:b/>
          <w:sz w:val="22"/>
          <w:szCs w:val="22"/>
        </w:rPr>
        <w:t>Que,</w:t>
      </w:r>
      <w:r w:rsidRPr="00EA337F">
        <w:rPr>
          <w:sz w:val="22"/>
          <w:szCs w:val="22"/>
        </w:rPr>
        <w:t xml:space="preserve"> m</w:t>
      </w:r>
      <w:r w:rsidR="001F733D" w:rsidRPr="00EA337F">
        <w:rPr>
          <w:sz w:val="22"/>
          <w:szCs w:val="22"/>
        </w:rPr>
        <w:t>ediante oficio GADDMQ-PM-2021-03</w:t>
      </w:r>
      <w:r w:rsidR="00AC0982" w:rsidRPr="00EA337F">
        <w:rPr>
          <w:sz w:val="22"/>
          <w:szCs w:val="22"/>
        </w:rPr>
        <w:t>96-O de 29 de enero de 2021, el</w:t>
      </w:r>
      <w:r w:rsidR="001F733D" w:rsidRPr="00EA337F">
        <w:rPr>
          <w:sz w:val="22"/>
          <w:szCs w:val="22"/>
        </w:rPr>
        <w:t xml:space="preserve"> Dr. Edison Yépez Vinueza, Subp</w:t>
      </w:r>
      <w:r w:rsidR="00E2458D">
        <w:rPr>
          <w:sz w:val="22"/>
          <w:szCs w:val="22"/>
        </w:rPr>
        <w:t xml:space="preserve">rocurador Metropolitano, señala: </w:t>
      </w:r>
      <w:r w:rsidR="001F733D" w:rsidRPr="00EA337F">
        <w:rPr>
          <w:sz w:val="22"/>
          <w:szCs w:val="22"/>
        </w:rPr>
        <w:t xml:space="preserve"> </w:t>
      </w:r>
    </w:p>
    <w:p w:rsidR="001F733D" w:rsidRPr="00EA337F" w:rsidRDefault="001F733D" w:rsidP="001F733D">
      <w:pPr>
        <w:tabs>
          <w:tab w:val="left" w:pos="426"/>
        </w:tabs>
        <w:ind w:left="1416" w:right="566"/>
        <w:jc w:val="both"/>
        <w:rPr>
          <w:rFonts w:ascii="Palatino Linotype" w:hAnsi="Palatino Linotype"/>
          <w:i/>
          <w:sz w:val="22"/>
          <w:szCs w:val="22"/>
        </w:rPr>
      </w:pP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Ciudadana, para los casos de fraccionamiento producidos a causa de las </w:t>
      </w:r>
      <w:r w:rsidRPr="00EA337F">
        <w:rPr>
          <w:rFonts w:ascii="Palatino Linotype" w:hAnsi="Palatino Linotype"/>
          <w:i/>
          <w:sz w:val="22"/>
          <w:szCs w:val="22"/>
        </w:rPr>
        <w:lastRenderedPageBreak/>
        <w:t>sentencias dictadas en juicios de prescripción adquisitiva de dominio y se pronunció respecto del procedimiento a seguir para el cumplimiento y ejecución de dichas sentencias.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F733D" w:rsidRDefault="001F733D" w:rsidP="001F733D">
      <w:pPr>
        <w:tabs>
          <w:tab w:val="left" w:pos="284"/>
        </w:tabs>
        <w:jc w:val="both"/>
        <w:rPr>
          <w:rFonts w:ascii="Palatino Linotype" w:hAnsi="Palatino Linotype"/>
          <w:i/>
          <w:sz w:val="22"/>
          <w:szCs w:val="22"/>
        </w:rPr>
      </w:pPr>
    </w:p>
    <w:p w:rsidR="008E05AA" w:rsidRPr="00375B4C" w:rsidRDefault="006C4379" w:rsidP="008E05AA">
      <w:pPr>
        <w:autoSpaceDE w:val="0"/>
        <w:autoSpaceDN w:val="0"/>
        <w:adjustRightInd w:val="0"/>
        <w:ind w:left="708" w:hanging="708"/>
        <w:jc w:val="both"/>
        <w:rPr>
          <w:rFonts w:ascii="Palatino Linotype" w:hAnsi="Palatino Linotype"/>
          <w:i/>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r>
      <w:r w:rsidR="008E05AA">
        <w:rPr>
          <w:rFonts w:ascii="Palatino Linotype" w:hAnsi="Palatino Linotype"/>
          <w:sz w:val="22"/>
          <w:szCs w:val="22"/>
        </w:rPr>
        <w:t>c</w:t>
      </w:r>
      <w:r w:rsidR="008E05AA" w:rsidRPr="00375B4C">
        <w:rPr>
          <w:rFonts w:ascii="Palatino Linotype" w:hAnsi="Palatino Linotype"/>
          <w:sz w:val="22"/>
          <w:szCs w:val="22"/>
        </w:rPr>
        <w:t xml:space="preserve">onforme se desprende del informe técnico No. </w:t>
      </w:r>
      <w:r w:rsidR="008E05AA" w:rsidRPr="00375B4C">
        <w:rPr>
          <w:rStyle w:val="markedcontent"/>
          <w:rFonts w:ascii="Palatino Linotype" w:hAnsi="Palatino Linotype" w:cs="Arial"/>
          <w:sz w:val="22"/>
          <w:szCs w:val="22"/>
        </w:rPr>
        <w:t xml:space="preserve">AZCA-DGT-2022-025, de 18 de mayo de 2022, de la Administración Zonal </w:t>
      </w:r>
      <w:r w:rsidR="008E05AA" w:rsidRPr="00375B4C">
        <w:rPr>
          <w:rFonts w:ascii="Palatino Linotype" w:hAnsi="Palatino Linotype"/>
          <w:sz w:val="22"/>
          <w:szCs w:val="22"/>
        </w:rPr>
        <w:t>Calderón</w:t>
      </w:r>
      <w:r w:rsidR="008E05AA" w:rsidRPr="00375B4C">
        <w:rPr>
          <w:rFonts w:ascii="Palatino Linotype" w:hAnsi="Palatino Linotype"/>
          <w:i/>
          <w:sz w:val="22"/>
          <w:szCs w:val="22"/>
        </w:rPr>
        <w:t xml:space="preserve">, “(…) </w:t>
      </w:r>
      <w:r w:rsidR="008E05AA" w:rsidRPr="00375B4C">
        <w:rPr>
          <w:rStyle w:val="markedcontent"/>
          <w:rFonts w:ascii="Palatino Linotype" w:hAnsi="Palatino Linotype" w:cs="Arial"/>
          <w:i/>
          <w:sz w:val="22"/>
          <w:szCs w:val="22"/>
        </w:rPr>
        <w:t xml:space="preserve">Con Proceso de Juicio No. 17230-2017-04130, la Unidad Judicial Civil con sede en la Parroquia de Iñaquito del Distrito Metropolitano de Quito, lunes 2 de octubre del 2017, a las 15h51, se emite sentencia a favor del Sr. Vinicio Gonzalo Herrera con cédula de ciudadanía No. 171953722-5, de la casa No. 068 del Conjunto Habitacional Paseos de Calderón, Etapa I, de la parroquia Calderón del Distrito Metropolitano de Quito. El inmueble tiene una superficie total de 105.24 metros cuadrados </w:t>
      </w:r>
      <w:r w:rsidR="008E05AA" w:rsidRPr="00375B4C">
        <w:rPr>
          <w:rFonts w:ascii="Palatino Linotype" w:hAnsi="Palatino Linotype"/>
          <w:i/>
          <w:sz w:val="22"/>
          <w:szCs w:val="22"/>
        </w:rPr>
        <w:t>(...)"</w:t>
      </w:r>
    </w:p>
    <w:p w:rsidR="006C4379" w:rsidRPr="00EA337F" w:rsidRDefault="006C4379" w:rsidP="001F733D">
      <w:pPr>
        <w:tabs>
          <w:tab w:val="left" w:pos="284"/>
        </w:tabs>
        <w:jc w:val="both"/>
        <w:rPr>
          <w:rFonts w:ascii="Palatino Linotype" w:hAnsi="Palatino Linotype"/>
          <w:i/>
          <w:sz w:val="22"/>
          <w:szCs w:val="22"/>
        </w:rPr>
      </w:pPr>
    </w:p>
    <w:p w:rsidR="004306D0" w:rsidRPr="00375B4C" w:rsidRDefault="000B4CF2" w:rsidP="0024026A">
      <w:pPr>
        <w:tabs>
          <w:tab w:val="left" w:pos="1080"/>
        </w:tabs>
        <w:ind w:left="1080" w:hanging="1080"/>
        <w:jc w:val="both"/>
        <w:rPr>
          <w:rFonts w:ascii="Palatino Linotype" w:hAnsi="Palatino Linotype"/>
          <w:sz w:val="22"/>
          <w:szCs w:val="22"/>
        </w:rPr>
      </w:pPr>
      <w:r w:rsidRPr="00EA337F">
        <w:rPr>
          <w:rFonts w:ascii="Palatino Linotype" w:hAnsi="Palatino Linotype"/>
          <w:sz w:val="22"/>
          <w:szCs w:val="22"/>
        </w:rPr>
        <w:t xml:space="preserve">Que, </w:t>
      </w:r>
      <w:r w:rsidR="004306D0">
        <w:rPr>
          <w:rFonts w:ascii="Palatino Linotype" w:hAnsi="Palatino Linotype"/>
          <w:sz w:val="22"/>
          <w:szCs w:val="22"/>
        </w:rPr>
        <w:t>m</w:t>
      </w:r>
      <w:r w:rsidR="004306D0" w:rsidRPr="00375B4C">
        <w:rPr>
          <w:rFonts w:ascii="Palatino Linotype" w:hAnsi="Palatino Linotype"/>
          <w:sz w:val="22"/>
          <w:szCs w:val="22"/>
        </w:rPr>
        <w:t xml:space="preserve">ediante informe técnico Nro. </w:t>
      </w:r>
      <w:r w:rsidR="004306D0" w:rsidRPr="00375B4C">
        <w:rPr>
          <w:rStyle w:val="markedcontent"/>
          <w:rFonts w:ascii="Palatino Linotype" w:hAnsi="Palatino Linotype" w:cs="Arial"/>
          <w:sz w:val="22"/>
          <w:szCs w:val="22"/>
        </w:rPr>
        <w:t>AZCA- DGT-2022-025</w:t>
      </w:r>
      <w:r w:rsidR="004306D0" w:rsidRPr="00375B4C">
        <w:rPr>
          <w:rFonts w:ascii="Palatino Linotype" w:hAnsi="Palatino Linotype"/>
          <w:sz w:val="22"/>
          <w:szCs w:val="22"/>
        </w:rPr>
        <w:t xml:space="preserve">, de 18 de mayo de 2022, el Ing. Israel Jiménez Veloz, funcionario de la Administración Zonal Calderón, señala: </w:t>
      </w:r>
    </w:p>
    <w:p w:rsidR="004306D0" w:rsidRPr="00375B4C" w:rsidRDefault="004306D0" w:rsidP="004306D0">
      <w:pPr>
        <w:tabs>
          <w:tab w:val="left" w:pos="1080"/>
        </w:tabs>
        <w:jc w:val="both"/>
        <w:rPr>
          <w:rFonts w:ascii="Palatino Linotype" w:hAnsi="Palatino Linotype"/>
          <w:b/>
          <w:sz w:val="22"/>
          <w:szCs w:val="22"/>
        </w:rPr>
      </w:pPr>
    </w:p>
    <w:p w:rsidR="004306D0" w:rsidRPr="00375B4C" w:rsidRDefault="004306D0" w:rsidP="004306D0">
      <w:pPr>
        <w:tabs>
          <w:tab w:val="left" w:pos="1080"/>
        </w:tabs>
        <w:ind w:left="708"/>
        <w:jc w:val="both"/>
        <w:rPr>
          <w:rStyle w:val="markedcontent"/>
          <w:rFonts w:ascii="Palatino Linotype" w:hAnsi="Palatino Linotype" w:cs="Arial"/>
          <w:i/>
          <w:sz w:val="22"/>
          <w:szCs w:val="22"/>
        </w:rPr>
      </w:pPr>
      <w:r w:rsidRPr="00375B4C">
        <w:rPr>
          <w:rFonts w:ascii="Palatino Linotype" w:hAnsi="Palatino Linotype"/>
          <w:i/>
          <w:sz w:val="22"/>
          <w:szCs w:val="22"/>
        </w:rPr>
        <w:t xml:space="preserve">“(…) </w:t>
      </w:r>
      <w:r w:rsidRPr="00375B4C">
        <w:rPr>
          <w:rStyle w:val="markedcontent"/>
          <w:rFonts w:ascii="Palatino Linotype" w:hAnsi="Palatino Linotype" w:cs="Arial"/>
          <w:i/>
          <w:sz w:val="22"/>
          <w:szCs w:val="22"/>
        </w:rPr>
        <w:t>Por tanto, el valor por compensación del 15 por ciento del área útil adjudicada mediante sentencia a la fecha de hoy es la que se detalla a continuación pudiendo esta cambiar si cambia el avaluó catastral.</w:t>
      </w:r>
    </w:p>
    <w:p w:rsidR="004306D0" w:rsidRPr="00375B4C" w:rsidRDefault="004306D0" w:rsidP="004306D0">
      <w:pPr>
        <w:tabs>
          <w:tab w:val="left" w:pos="1080"/>
        </w:tabs>
        <w:ind w:left="708"/>
        <w:jc w:val="both"/>
        <w:rPr>
          <w:rStyle w:val="markedcontent"/>
          <w:rFonts w:ascii="Palatino Linotype" w:hAnsi="Palatino Linotype" w:cs="Arial"/>
          <w:i/>
          <w:sz w:val="22"/>
          <w:szCs w:val="22"/>
        </w:rPr>
      </w:pPr>
      <w:r w:rsidRPr="00375B4C">
        <w:rPr>
          <w:rFonts w:ascii="Palatino Linotype" w:hAnsi="Palatino Linotype"/>
          <w:i/>
          <w:sz w:val="22"/>
          <w:szCs w:val="22"/>
        </w:rPr>
        <w:br/>
      </w:r>
      <w:r w:rsidRPr="00375B4C">
        <w:rPr>
          <w:rStyle w:val="markedcontent"/>
          <w:rFonts w:ascii="Palatino Linotype" w:hAnsi="Palatino Linotype" w:cs="Arial"/>
          <w:i/>
          <w:sz w:val="22"/>
          <w:szCs w:val="22"/>
        </w:rPr>
        <w:t>1.- El cálculo se realiza en función del Avalúo del Terreno y no al AIVA</w:t>
      </w:r>
    </w:p>
    <w:p w:rsidR="004306D0" w:rsidRPr="00375B4C" w:rsidRDefault="004306D0" w:rsidP="004306D0">
      <w:pPr>
        <w:tabs>
          <w:tab w:val="left" w:pos="1080"/>
        </w:tabs>
        <w:ind w:left="708"/>
        <w:jc w:val="both"/>
        <w:rPr>
          <w:rStyle w:val="markedcontent"/>
          <w:rFonts w:ascii="Palatino Linotype" w:hAnsi="Palatino Linotype" w:cs="Arial"/>
          <w:i/>
          <w:sz w:val="22"/>
          <w:szCs w:val="22"/>
        </w:rPr>
      </w:pPr>
      <w:r w:rsidRPr="00375B4C">
        <w:rPr>
          <w:rFonts w:ascii="Palatino Linotype" w:hAnsi="Palatino Linotype"/>
          <w:i/>
          <w:sz w:val="22"/>
          <w:szCs w:val="22"/>
        </w:rPr>
        <w:br/>
      </w:r>
      <w:r w:rsidRPr="00375B4C">
        <w:rPr>
          <w:rStyle w:val="markedcontent"/>
          <w:rFonts w:ascii="Palatino Linotype" w:hAnsi="Palatino Linotype" w:cs="Arial"/>
          <w:i/>
          <w:sz w:val="22"/>
          <w:szCs w:val="22"/>
        </w:rPr>
        <w:t>Se utiliza el Avalúo del terreno ya que el sistema SLUM en el cual se ingresa las Subdivisiones por prescripción utiliza los valores de: el Avalúo del Terreno, Área del Terreno y Área Prescrita</w:t>
      </w:r>
    </w:p>
    <w:p w:rsidR="004306D0" w:rsidRPr="00375B4C" w:rsidRDefault="004306D0" w:rsidP="004306D0">
      <w:pPr>
        <w:tabs>
          <w:tab w:val="left" w:pos="1080"/>
        </w:tabs>
        <w:ind w:left="708"/>
        <w:jc w:val="both"/>
        <w:rPr>
          <w:rStyle w:val="markedcontent"/>
          <w:rFonts w:ascii="Palatino Linotype" w:hAnsi="Palatino Linotype" w:cs="Arial"/>
          <w:i/>
          <w:sz w:val="22"/>
          <w:szCs w:val="22"/>
        </w:rPr>
      </w:pPr>
      <w:r w:rsidRPr="00375B4C">
        <w:rPr>
          <w:rFonts w:ascii="Palatino Linotype" w:hAnsi="Palatino Linotype"/>
          <w:i/>
          <w:sz w:val="22"/>
          <w:szCs w:val="22"/>
        </w:rPr>
        <w:br/>
      </w:r>
      <w:r w:rsidRPr="00375B4C">
        <w:rPr>
          <w:rStyle w:val="markedcontent"/>
          <w:rFonts w:ascii="Palatino Linotype" w:hAnsi="Palatino Linotype" w:cs="Arial"/>
          <w:i/>
          <w:sz w:val="22"/>
          <w:szCs w:val="22"/>
        </w:rPr>
        <w:t>2.- La fórmula con la cual se calcula la compensación es la siguiente.</w:t>
      </w:r>
    </w:p>
    <w:p w:rsidR="004306D0" w:rsidRPr="00375B4C" w:rsidRDefault="004306D0" w:rsidP="004306D0">
      <w:pPr>
        <w:tabs>
          <w:tab w:val="left" w:pos="1080"/>
        </w:tabs>
        <w:ind w:left="708"/>
        <w:jc w:val="both"/>
        <w:rPr>
          <w:rStyle w:val="markedcontent"/>
          <w:rFonts w:ascii="Palatino Linotype" w:hAnsi="Palatino Linotype" w:cs="Arial"/>
          <w:i/>
          <w:sz w:val="22"/>
          <w:szCs w:val="22"/>
        </w:rPr>
      </w:pPr>
      <w:r w:rsidRPr="00375B4C">
        <w:rPr>
          <w:rFonts w:ascii="Palatino Linotype" w:hAnsi="Palatino Linotype"/>
          <w:i/>
          <w:sz w:val="22"/>
          <w:szCs w:val="22"/>
        </w:rPr>
        <w:br/>
      </w:r>
      <w:r w:rsidRPr="00375B4C">
        <w:rPr>
          <w:rStyle w:val="markedcontent"/>
          <w:rFonts w:ascii="Palatino Linotype" w:hAnsi="Palatino Linotype" w:cs="Arial"/>
          <w:i/>
          <w:sz w:val="22"/>
          <w:szCs w:val="22"/>
        </w:rPr>
        <w:t>(Avalúo del Terreno / Área del Terreno) * (Área de prescripción) * (15% Contribución)</w:t>
      </w:r>
    </w:p>
    <w:p w:rsidR="004306D0" w:rsidRPr="00375B4C" w:rsidRDefault="004306D0" w:rsidP="004306D0">
      <w:pPr>
        <w:tabs>
          <w:tab w:val="left" w:pos="1080"/>
        </w:tabs>
        <w:ind w:left="708"/>
        <w:jc w:val="both"/>
        <w:rPr>
          <w:rStyle w:val="markedcontent"/>
          <w:rFonts w:ascii="Palatino Linotype" w:hAnsi="Palatino Linotype" w:cs="Arial"/>
          <w:i/>
          <w:sz w:val="22"/>
          <w:szCs w:val="22"/>
        </w:rPr>
      </w:pPr>
      <w:r w:rsidRPr="00375B4C">
        <w:rPr>
          <w:rFonts w:ascii="Palatino Linotype" w:hAnsi="Palatino Linotype"/>
          <w:i/>
          <w:sz w:val="22"/>
          <w:szCs w:val="22"/>
        </w:rPr>
        <w:lastRenderedPageBreak/>
        <w:br/>
      </w:r>
      <w:r w:rsidRPr="00375B4C">
        <w:rPr>
          <w:rStyle w:val="markedcontent"/>
          <w:rFonts w:ascii="Palatino Linotype" w:hAnsi="Palatino Linotype" w:cs="Arial"/>
          <w:i/>
          <w:sz w:val="22"/>
          <w:szCs w:val="22"/>
        </w:rPr>
        <w:t>Por tanto, el valor por compensación del 15 por ciento del área útil adjudicada mediante sentencia a la fecha de hoy es la que se detalla a continuación pudiendo esta cambiar si cambia el avaluó catastral.</w:t>
      </w:r>
    </w:p>
    <w:p w:rsidR="004306D0" w:rsidRPr="00375B4C" w:rsidRDefault="004306D0" w:rsidP="004306D0">
      <w:pPr>
        <w:tabs>
          <w:tab w:val="left" w:pos="1080"/>
        </w:tabs>
        <w:ind w:left="708"/>
        <w:jc w:val="both"/>
        <w:rPr>
          <w:rStyle w:val="markedcontent"/>
          <w:rFonts w:ascii="Palatino Linotype" w:hAnsi="Palatino Linotype" w:cs="Arial"/>
          <w:i/>
          <w:sz w:val="22"/>
          <w:szCs w:val="22"/>
        </w:rPr>
      </w:pPr>
      <w:r w:rsidRPr="00375B4C">
        <w:rPr>
          <w:rFonts w:ascii="Palatino Linotype" w:hAnsi="Palatino Linotype"/>
          <w:i/>
          <w:sz w:val="22"/>
          <w:szCs w:val="22"/>
        </w:rPr>
        <w:br/>
      </w:r>
      <w:r w:rsidRPr="00375B4C">
        <w:rPr>
          <w:rStyle w:val="markedcontent"/>
          <w:rFonts w:ascii="Palatino Linotype" w:hAnsi="Palatino Linotype" w:cs="Arial"/>
          <w:i/>
          <w:sz w:val="22"/>
          <w:szCs w:val="22"/>
        </w:rPr>
        <w:t xml:space="preserve">3.- Con la fórmula mencionada, el área prescrita y los valores emitidos por catastros se realizó el cálculo: </w:t>
      </w:r>
    </w:p>
    <w:p w:rsidR="004306D0" w:rsidRPr="00375B4C" w:rsidRDefault="004306D0" w:rsidP="004306D0">
      <w:pPr>
        <w:tabs>
          <w:tab w:val="left" w:pos="1080"/>
        </w:tabs>
        <w:ind w:left="708"/>
        <w:jc w:val="both"/>
        <w:rPr>
          <w:rStyle w:val="markedcontent"/>
          <w:rFonts w:ascii="Palatino Linotype" w:hAnsi="Palatino Linotype" w:cs="Arial"/>
          <w:i/>
          <w:sz w:val="22"/>
          <w:szCs w:val="22"/>
        </w:rPr>
      </w:pPr>
    </w:p>
    <w:p w:rsidR="004306D0" w:rsidRPr="00375B4C" w:rsidRDefault="004306D0" w:rsidP="004306D0">
      <w:pPr>
        <w:tabs>
          <w:tab w:val="left" w:pos="1080"/>
        </w:tabs>
        <w:ind w:left="708"/>
        <w:jc w:val="both"/>
        <w:rPr>
          <w:rStyle w:val="markedcontent"/>
          <w:rFonts w:ascii="Palatino Linotype" w:hAnsi="Palatino Linotype" w:cs="Arial"/>
          <w:i/>
          <w:sz w:val="22"/>
          <w:szCs w:val="22"/>
        </w:rPr>
      </w:pPr>
      <w:r w:rsidRPr="00375B4C">
        <w:rPr>
          <w:rStyle w:val="markedcontent"/>
          <w:rFonts w:ascii="Palatino Linotype" w:hAnsi="Palatino Linotype" w:cs="Arial"/>
          <w:i/>
          <w:sz w:val="22"/>
          <w:szCs w:val="22"/>
        </w:rPr>
        <w:t>(623.563,81 usd / 25.706,24 m2 ) * (105.24 m2) * (0,15) = 382.93 usd”</w:t>
      </w:r>
    </w:p>
    <w:p w:rsidR="004306D0" w:rsidRPr="00375B4C" w:rsidRDefault="004306D0" w:rsidP="004306D0">
      <w:pPr>
        <w:tabs>
          <w:tab w:val="left" w:pos="1080"/>
        </w:tabs>
        <w:ind w:left="708"/>
        <w:jc w:val="both"/>
        <w:rPr>
          <w:rStyle w:val="markedcontent"/>
          <w:rFonts w:ascii="Palatino Linotype" w:hAnsi="Palatino Linotype" w:cs="Arial"/>
          <w:i/>
          <w:sz w:val="22"/>
          <w:szCs w:val="22"/>
        </w:rPr>
      </w:pPr>
    </w:p>
    <w:p w:rsidR="004306D0" w:rsidRPr="00375B4C" w:rsidRDefault="004306D0" w:rsidP="004306D0">
      <w:pPr>
        <w:tabs>
          <w:tab w:val="left" w:pos="1080"/>
        </w:tabs>
        <w:ind w:left="708"/>
        <w:jc w:val="both"/>
        <w:rPr>
          <w:rStyle w:val="markedcontent"/>
          <w:rFonts w:ascii="Palatino Linotype" w:hAnsi="Palatino Linotype" w:cs="Arial"/>
          <w:b/>
          <w:i/>
          <w:sz w:val="22"/>
          <w:szCs w:val="22"/>
        </w:rPr>
      </w:pPr>
      <w:r w:rsidRPr="00375B4C">
        <w:rPr>
          <w:rStyle w:val="markedcontent"/>
          <w:rFonts w:ascii="Palatino Linotype" w:hAnsi="Palatino Linotype" w:cs="Arial"/>
          <w:b/>
          <w:i/>
          <w:sz w:val="22"/>
          <w:szCs w:val="22"/>
        </w:rPr>
        <w:t>“5. CONCLUSIONES</w:t>
      </w:r>
    </w:p>
    <w:p w:rsidR="004306D0" w:rsidRPr="00375B4C" w:rsidRDefault="004306D0" w:rsidP="004306D0">
      <w:pPr>
        <w:tabs>
          <w:tab w:val="left" w:pos="1080"/>
        </w:tabs>
        <w:ind w:left="708"/>
        <w:jc w:val="both"/>
        <w:rPr>
          <w:rStyle w:val="markedcontent"/>
          <w:rFonts w:ascii="Palatino Linotype" w:hAnsi="Palatino Linotype" w:cs="Arial"/>
          <w:i/>
          <w:sz w:val="22"/>
          <w:szCs w:val="22"/>
        </w:rPr>
      </w:pPr>
    </w:p>
    <w:p w:rsidR="004306D0" w:rsidRPr="00375B4C" w:rsidRDefault="004306D0" w:rsidP="004306D0">
      <w:pPr>
        <w:tabs>
          <w:tab w:val="left" w:pos="1080"/>
        </w:tabs>
        <w:ind w:left="708"/>
        <w:jc w:val="both"/>
        <w:rPr>
          <w:rStyle w:val="markedcontent"/>
          <w:rFonts w:ascii="Palatino Linotype" w:hAnsi="Palatino Linotype" w:cs="Arial"/>
          <w:i/>
          <w:sz w:val="22"/>
          <w:szCs w:val="22"/>
        </w:rPr>
      </w:pPr>
      <w:r w:rsidRPr="00375B4C">
        <w:rPr>
          <w:rStyle w:val="markedcontent"/>
          <w:rFonts w:ascii="Palatino Linotype" w:hAnsi="Palatino Linotype" w:cs="Arial"/>
          <w:i/>
          <w:sz w:val="22"/>
          <w:szCs w:val="22"/>
        </w:rPr>
        <w:t xml:space="preserve">Del análisis técnico se desprende que, la prescripción adquisitiva de dominio de una parte del inmueble del predio No. 1296658, No Cumple con los datos establecidos en la zonificación vigente, tales como, “lote mínimo” y “frente mínimo”, el área prescrita corresponde a 105.24 m2 menor a 600m2 zonificación vigente; además no tiene frente hacia una vía aprobada razón por la que se emite </w:t>
      </w:r>
      <w:r w:rsidRPr="00375B4C">
        <w:rPr>
          <w:rStyle w:val="markedcontent"/>
          <w:rFonts w:ascii="Palatino Linotype" w:hAnsi="Palatino Linotype" w:cs="Arial"/>
          <w:b/>
          <w:i/>
          <w:sz w:val="22"/>
          <w:szCs w:val="22"/>
        </w:rPr>
        <w:t>Informe Técnico desfavorable”.</w:t>
      </w:r>
      <w:r w:rsidRPr="00375B4C">
        <w:rPr>
          <w:rStyle w:val="markedcontent"/>
          <w:rFonts w:ascii="Palatino Linotype" w:hAnsi="Palatino Linotype" w:cs="Arial"/>
          <w:i/>
          <w:sz w:val="22"/>
          <w:szCs w:val="22"/>
        </w:rPr>
        <w:t xml:space="preserve"> </w:t>
      </w:r>
    </w:p>
    <w:p w:rsidR="00CF748D" w:rsidRPr="00EA337F" w:rsidRDefault="00CF748D" w:rsidP="00A76A16">
      <w:pPr>
        <w:tabs>
          <w:tab w:val="left" w:pos="1080"/>
        </w:tabs>
        <w:jc w:val="both"/>
        <w:rPr>
          <w:rFonts w:ascii="Palatino Linotype" w:hAnsi="Palatino Linotype"/>
          <w:sz w:val="22"/>
          <w:szCs w:val="22"/>
        </w:rPr>
      </w:pPr>
    </w:p>
    <w:p w:rsidR="001E2F60" w:rsidRPr="00375B4C" w:rsidRDefault="00E41B4B" w:rsidP="00726973">
      <w:pPr>
        <w:pStyle w:val="Default"/>
        <w:ind w:left="708" w:hanging="708"/>
        <w:jc w:val="both"/>
        <w:rPr>
          <w:sz w:val="22"/>
          <w:szCs w:val="22"/>
        </w:rPr>
      </w:pPr>
      <w:r w:rsidRPr="00EA337F">
        <w:rPr>
          <w:sz w:val="22"/>
          <w:szCs w:val="22"/>
        </w:rPr>
        <w:t xml:space="preserve">Que, </w:t>
      </w:r>
      <w:r w:rsidR="00726973">
        <w:rPr>
          <w:sz w:val="22"/>
          <w:szCs w:val="22"/>
        </w:rPr>
        <w:t>m</w:t>
      </w:r>
      <w:r w:rsidR="001E2F60" w:rsidRPr="00375B4C">
        <w:rPr>
          <w:sz w:val="22"/>
          <w:szCs w:val="22"/>
        </w:rPr>
        <w:t xml:space="preserve">ediante </w:t>
      </w:r>
      <w:r w:rsidR="001E2F60" w:rsidRPr="00375B4C">
        <w:rPr>
          <w:sz w:val="22"/>
          <w:szCs w:val="22"/>
          <w:lang w:val="es-EC"/>
        </w:rPr>
        <w:t xml:space="preserve">memorando Nro. </w:t>
      </w:r>
      <w:r w:rsidR="001E2F60" w:rsidRPr="00375B4C">
        <w:rPr>
          <w:sz w:val="22"/>
          <w:szCs w:val="22"/>
        </w:rPr>
        <w:t>GADDMQ-AZLD-DJ-2022-0767-M,</w:t>
      </w:r>
      <w:r w:rsidR="001E2F60" w:rsidRPr="00375B4C">
        <w:rPr>
          <w:sz w:val="22"/>
          <w:szCs w:val="22"/>
          <w:lang w:val="es-EC"/>
        </w:rPr>
        <w:t xml:space="preserve"> </w:t>
      </w:r>
      <w:r w:rsidR="001E2F60" w:rsidRPr="00375B4C">
        <w:rPr>
          <w:sz w:val="22"/>
          <w:szCs w:val="22"/>
        </w:rPr>
        <w:t>de 14 de noviembre de 2022,</w:t>
      </w:r>
      <w:r w:rsidR="00C62E1F">
        <w:rPr>
          <w:sz w:val="22"/>
          <w:szCs w:val="22"/>
        </w:rPr>
        <w:t xml:space="preserve"> la Mgs. Augusta del Pilar Garcí</w:t>
      </w:r>
      <w:bookmarkStart w:id="0" w:name="_GoBack"/>
      <w:bookmarkEnd w:id="0"/>
      <w:r w:rsidR="001E2F60" w:rsidRPr="00375B4C">
        <w:rPr>
          <w:sz w:val="22"/>
          <w:szCs w:val="22"/>
        </w:rPr>
        <w:t xml:space="preserve">a Ayala, Directora Jurídica de la Administración Zonal La Delicia, señala: </w:t>
      </w:r>
    </w:p>
    <w:p w:rsidR="001E2F60" w:rsidRPr="00375B4C" w:rsidRDefault="001E2F60" w:rsidP="001E2F60">
      <w:pPr>
        <w:pStyle w:val="Default"/>
        <w:jc w:val="center"/>
        <w:rPr>
          <w:i/>
          <w:sz w:val="22"/>
          <w:szCs w:val="22"/>
        </w:rPr>
      </w:pPr>
    </w:p>
    <w:p w:rsidR="001E2F60" w:rsidRPr="00375B4C" w:rsidRDefault="001E2F60" w:rsidP="001E2F60">
      <w:pPr>
        <w:tabs>
          <w:tab w:val="left" w:pos="284"/>
        </w:tabs>
        <w:ind w:left="708"/>
        <w:jc w:val="both"/>
        <w:rPr>
          <w:rFonts w:ascii="Palatino Linotype" w:hAnsi="Palatino Linotype"/>
          <w:b/>
          <w:i/>
          <w:sz w:val="22"/>
          <w:szCs w:val="22"/>
        </w:rPr>
      </w:pPr>
      <w:r w:rsidRPr="00375B4C">
        <w:rPr>
          <w:rFonts w:ascii="Palatino Linotype" w:eastAsiaTheme="minorHAnsi" w:hAnsi="Palatino Linotype" w:cs="Palatino Linotype"/>
          <w:b/>
          <w:i/>
          <w:color w:val="000000"/>
          <w:sz w:val="22"/>
          <w:szCs w:val="22"/>
          <w:lang w:eastAsia="en-US"/>
        </w:rPr>
        <w:t xml:space="preserve">“(…) </w:t>
      </w:r>
      <w:r w:rsidRPr="00375B4C">
        <w:rPr>
          <w:rFonts w:ascii="Palatino Linotype" w:hAnsi="Palatino Linotype"/>
          <w:b/>
          <w:i/>
          <w:sz w:val="22"/>
          <w:szCs w:val="22"/>
        </w:rPr>
        <w:t xml:space="preserve">CRITERIO JURÍDICO:  </w:t>
      </w:r>
    </w:p>
    <w:p w:rsidR="001E2F60" w:rsidRPr="00375B4C" w:rsidRDefault="001E2F60" w:rsidP="001E2F60">
      <w:pPr>
        <w:tabs>
          <w:tab w:val="left" w:pos="284"/>
        </w:tabs>
        <w:jc w:val="both"/>
        <w:rPr>
          <w:rFonts w:ascii="Palatino Linotype" w:hAnsi="Palatino Linotype"/>
          <w:i/>
          <w:sz w:val="22"/>
          <w:szCs w:val="22"/>
        </w:rPr>
      </w:pPr>
    </w:p>
    <w:p w:rsidR="001E2F60" w:rsidRPr="00375B4C" w:rsidRDefault="001E2F60" w:rsidP="001E2F60">
      <w:pPr>
        <w:pStyle w:val="Prrafodelista"/>
        <w:tabs>
          <w:tab w:val="left" w:pos="1080"/>
        </w:tabs>
        <w:jc w:val="both"/>
        <w:rPr>
          <w:rFonts w:ascii="Palatino Linotype" w:hAnsi="Palatino Linotype"/>
          <w:b/>
          <w:i/>
          <w:sz w:val="22"/>
          <w:szCs w:val="22"/>
        </w:rPr>
      </w:pPr>
      <w:r w:rsidRPr="00375B4C">
        <w:rPr>
          <w:rFonts w:ascii="Palatino Linotype" w:hAnsi="Palatino Linotype"/>
          <w:i/>
          <w:sz w:val="22"/>
          <w:szCs w:val="22"/>
        </w:rPr>
        <w:t>De acuerdo a los antecedentes expuestos la sentencia de prescripción adquisitiva extraordinaria de dominio, en el presente caso se enmarca en el escenario B y escenario B.2.1, descrito en el Pronunciamiento de Procuraduría Metropolitana; bajo ese contexto al ser el fraccionamiento inferior a 3000.00 m2, de conformidad a lo estipulado en el artículo 424 reformado del Código Orgánico de Organización Territorial, Autonomía y Descentralización, se debe considerar la compensación en valor monetario, según el avalúo catastral actualizado, en el presente caso de conformidad con el informe técnico No. 067-UZGT-2022 la contribución del 15% del área útil adquirida mediante sentencia corresponde a USD 6.744,46; y, por tratarse de una prescripción parcial que no cumple con los parámetros de habilitación vigentes, el expediente debe ser remitido al Concejo Metropolitano.”</w:t>
      </w:r>
      <w:r w:rsidRPr="00375B4C">
        <w:rPr>
          <w:rFonts w:ascii="Palatino Linotype" w:hAnsi="Palatino Linotype"/>
          <w:b/>
          <w:i/>
          <w:sz w:val="22"/>
          <w:szCs w:val="22"/>
        </w:rPr>
        <w:t xml:space="preserve"> </w:t>
      </w:r>
    </w:p>
    <w:p w:rsidR="00726973" w:rsidRPr="00EA337F" w:rsidRDefault="00726973" w:rsidP="000E4614">
      <w:pPr>
        <w:pStyle w:val="Default"/>
        <w:jc w:val="both"/>
        <w:rPr>
          <w:i/>
          <w:sz w:val="22"/>
          <w:szCs w:val="22"/>
        </w:rPr>
      </w:pPr>
    </w:p>
    <w:p w:rsidR="00FE1203" w:rsidRPr="00EA337F" w:rsidRDefault="00FE1203" w:rsidP="00FE1203">
      <w:pPr>
        <w:pStyle w:val="Default"/>
        <w:ind w:left="708" w:hanging="708"/>
        <w:jc w:val="both"/>
        <w:rPr>
          <w:sz w:val="22"/>
          <w:szCs w:val="22"/>
        </w:rPr>
      </w:pPr>
      <w:r w:rsidRPr="00EA337F">
        <w:rPr>
          <w:sz w:val="22"/>
          <w:szCs w:val="22"/>
        </w:rPr>
        <w:t xml:space="preserve">Que, </w:t>
      </w:r>
      <w:r w:rsidRPr="00EA337F">
        <w:rPr>
          <w:sz w:val="22"/>
          <w:szCs w:val="22"/>
        </w:rPr>
        <w:tab/>
        <w:t>la Comisión de Uso de Su</w:t>
      </w:r>
      <w:r w:rsidR="005C1D48">
        <w:rPr>
          <w:sz w:val="22"/>
          <w:szCs w:val="22"/>
        </w:rPr>
        <w:t>elo en sesión ordinaria Nro. 180</w:t>
      </w:r>
      <w:r w:rsidRPr="00EA337F">
        <w:rPr>
          <w:sz w:val="22"/>
          <w:szCs w:val="22"/>
        </w:rPr>
        <w:t xml:space="preserve">, de </w:t>
      </w:r>
      <w:r w:rsidR="005C1D48">
        <w:rPr>
          <w:sz w:val="22"/>
          <w:szCs w:val="22"/>
        </w:rPr>
        <w:t xml:space="preserve">12 </w:t>
      </w:r>
      <w:r w:rsidRPr="00EA337F">
        <w:rPr>
          <w:sz w:val="22"/>
          <w:szCs w:val="22"/>
        </w:rPr>
        <w:t xml:space="preserve">de </w:t>
      </w:r>
      <w:r w:rsidR="005C1D48">
        <w:rPr>
          <w:sz w:val="22"/>
          <w:szCs w:val="22"/>
        </w:rPr>
        <w:t xml:space="preserve">diciembre </w:t>
      </w:r>
      <w:r w:rsidRPr="00EA337F">
        <w:rPr>
          <w:sz w:val="22"/>
          <w:szCs w:val="22"/>
        </w:rPr>
        <w:t>de 2022, analizó los informes técnicos y legale</w:t>
      </w:r>
      <w:r w:rsidR="004553DB">
        <w:rPr>
          <w:sz w:val="22"/>
          <w:szCs w:val="22"/>
        </w:rPr>
        <w:t>s, que reposan en el expediente</w:t>
      </w:r>
      <w:r w:rsidRPr="00EA337F">
        <w:rPr>
          <w:sz w:val="22"/>
          <w:szCs w:val="22"/>
        </w:rPr>
        <w:t xml:space="preserve">, y emitió dictamen favorable para que el Concejo Metropolitano conozca la sentencia de prescripción extraordinaria adquisitiva de dominio y como efecto de dicha sentencia, y para su efectiva ejecución, autorice la subdivisión del bien en mención, </w:t>
      </w:r>
      <w:r w:rsidRPr="00EA337F">
        <w:rPr>
          <w:sz w:val="22"/>
          <w:szCs w:val="22"/>
        </w:rPr>
        <w:lastRenderedPageBreak/>
        <w:t xml:space="preserve">cambiando las condiciones de ese inmueble en particular y generando una excepción a las condiciones generales. </w:t>
      </w:r>
    </w:p>
    <w:p w:rsidR="00035E6C" w:rsidRPr="00EA337F" w:rsidRDefault="00035E6C" w:rsidP="00035E6C">
      <w:pPr>
        <w:autoSpaceDE w:val="0"/>
        <w:autoSpaceDN w:val="0"/>
        <w:adjustRightInd w:val="0"/>
        <w:ind w:left="1416" w:hanging="1416"/>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Concejo Metropolitano de Quito, en sesión pública ordinaria r</w:t>
      </w:r>
      <w:r w:rsidR="00AC4B2C" w:rsidRPr="00EA337F">
        <w:rPr>
          <w:rFonts w:ascii="Palatino Linotype" w:eastAsiaTheme="minorHAnsi" w:hAnsi="Palatino Linotype"/>
          <w:sz w:val="22"/>
          <w:szCs w:val="22"/>
          <w:lang w:eastAsia="en-US"/>
        </w:rPr>
        <w:t>ealizada el … de … de 2022</w:t>
      </w:r>
      <w:r w:rsidRPr="00EA337F">
        <w:rPr>
          <w:rFonts w:ascii="Palatino Linotype" w:eastAsiaTheme="minorHAnsi" w:hAnsi="Palatino Linotype"/>
          <w:sz w:val="22"/>
          <w:szCs w:val="22"/>
          <w:lang w:eastAsia="en-US"/>
        </w:rPr>
        <w:t>, ana</w:t>
      </w:r>
      <w:r w:rsidR="00144F8A" w:rsidRPr="00EA337F">
        <w:rPr>
          <w:rFonts w:ascii="Palatino Linotype" w:eastAsiaTheme="minorHAnsi" w:hAnsi="Palatino Linotype"/>
          <w:sz w:val="22"/>
          <w:szCs w:val="22"/>
          <w:lang w:eastAsia="en-US"/>
        </w:rPr>
        <w:t>lizó el informe Nro. IC-CUS-202</w:t>
      </w:r>
      <w:r w:rsidR="00A55032" w:rsidRPr="00EA337F">
        <w:rPr>
          <w:rFonts w:ascii="Palatino Linotype" w:eastAsiaTheme="minorHAnsi" w:hAnsi="Palatino Linotype"/>
          <w:sz w:val="22"/>
          <w:szCs w:val="22"/>
          <w:lang w:eastAsia="en-US"/>
        </w:rPr>
        <w:t>2</w:t>
      </w:r>
      <w:r w:rsidR="00745751" w:rsidRPr="00EA337F">
        <w:rPr>
          <w:rFonts w:ascii="Palatino Linotype" w:eastAsiaTheme="minorHAnsi" w:hAnsi="Palatino Linotype"/>
          <w:sz w:val="22"/>
          <w:szCs w:val="22"/>
          <w:lang w:eastAsia="en-US"/>
        </w:rPr>
        <w:t>-</w:t>
      </w:r>
      <w:r w:rsidR="00DE3119">
        <w:rPr>
          <w:rFonts w:ascii="Palatino Linotype" w:eastAsiaTheme="minorHAnsi" w:hAnsi="Palatino Linotype"/>
          <w:sz w:val="22"/>
          <w:szCs w:val="22"/>
          <w:lang w:eastAsia="en-US"/>
        </w:rPr>
        <w:t>116</w:t>
      </w:r>
      <w:r w:rsidR="00DB552C" w:rsidRPr="00EA337F">
        <w:rPr>
          <w:rFonts w:ascii="Palatino Linotype" w:eastAsiaTheme="minorHAnsi" w:hAnsi="Palatino Linotype"/>
          <w:sz w:val="22"/>
          <w:szCs w:val="22"/>
          <w:lang w:eastAsia="en-US"/>
        </w:rPr>
        <w:t>,</w:t>
      </w:r>
      <w:r w:rsidRPr="00EA337F">
        <w:rPr>
          <w:rFonts w:ascii="Palatino Linotype" w:eastAsiaTheme="minorHAnsi" w:hAnsi="Palatino Linotype"/>
          <w:sz w:val="22"/>
          <w:szCs w:val="22"/>
          <w:lang w:eastAsia="en-US"/>
        </w:rPr>
        <w:t xml:space="preserve"> emitido por la Comisión de Uso de Suelo; </w:t>
      </w:r>
    </w:p>
    <w:p w:rsidR="00C926A0" w:rsidRPr="00EA337F" w:rsidRDefault="00C926A0" w:rsidP="00C926A0">
      <w:pPr>
        <w:autoSpaceDE w:val="0"/>
        <w:autoSpaceDN w:val="0"/>
        <w:adjustRightInd w:val="0"/>
        <w:spacing w:line="276" w:lineRule="auto"/>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RESUELVE:</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5F36E3" w:rsidRPr="00AA61B2" w:rsidRDefault="005F36E3" w:rsidP="00E81F93">
      <w:pPr>
        <w:autoSpaceDE w:val="0"/>
        <w:autoSpaceDN w:val="0"/>
        <w:adjustRightInd w:val="0"/>
        <w:spacing w:line="276" w:lineRule="auto"/>
        <w:jc w:val="both"/>
        <w:rPr>
          <w:rFonts w:ascii="Palatino Linotype" w:hAnsi="Palatino Linotype" w:cs="Arial"/>
          <w:sz w:val="22"/>
          <w:szCs w:val="22"/>
        </w:rPr>
      </w:pPr>
      <w:r w:rsidRPr="00EA337F">
        <w:rPr>
          <w:rFonts w:ascii="Palatino Linotype" w:hAnsi="Palatino Linotype" w:cs="Arial"/>
          <w:b/>
          <w:sz w:val="22"/>
          <w:szCs w:val="22"/>
        </w:rPr>
        <w:t>Artí</w:t>
      </w:r>
      <w:r w:rsidRPr="00AA61B2">
        <w:rPr>
          <w:rFonts w:ascii="Palatino Linotype" w:hAnsi="Palatino Linotype" w:cs="Arial"/>
          <w:b/>
          <w:sz w:val="22"/>
          <w:szCs w:val="22"/>
        </w:rPr>
        <w:t>culo 1.-</w:t>
      </w:r>
      <w:r w:rsidRPr="00AA61B2">
        <w:rPr>
          <w:rFonts w:ascii="Palatino Linotype" w:hAnsi="Palatino Linotype" w:cs="Arial"/>
          <w:sz w:val="22"/>
          <w:szCs w:val="22"/>
        </w:rPr>
        <w:t xml:space="preserve"> Autorizar la subdivisión del predio </w:t>
      </w:r>
      <w:r w:rsidR="00C261A8">
        <w:rPr>
          <w:rFonts w:ascii="Palatino Linotype" w:hAnsi="Palatino Linotype" w:cs="Arial"/>
          <w:sz w:val="22"/>
          <w:szCs w:val="22"/>
        </w:rPr>
        <w:t xml:space="preserve">No. </w:t>
      </w:r>
      <w:r w:rsidR="00DB392E" w:rsidRPr="00375B4C">
        <w:rPr>
          <w:rFonts w:ascii="Palatino Linotype" w:hAnsi="Palatino Linotype"/>
          <w:sz w:val="22"/>
          <w:szCs w:val="22"/>
        </w:rPr>
        <w:t>1296658, clave catastral Nro. 12713 02 003 000 000 000</w:t>
      </w:r>
      <w:r w:rsidRPr="00AA61B2">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DB392E" w:rsidRPr="00DB392E">
        <w:rPr>
          <w:rStyle w:val="markedcontent"/>
          <w:rFonts w:ascii="Palatino Linotype" w:hAnsi="Palatino Linotype" w:cs="Arial"/>
          <w:sz w:val="22"/>
          <w:szCs w:val="22"/>
        </w:rPr>
        <w:t>17230-2017-04130</w:t>
      </w:r>
      <w:r w:rsidRPr="00AA61B2">
        <w:rPr>
          <w:rFonts w:ascii="Palatino Linotype" w:hAnsi="Palatino Linotype" w:cs="Arial"/>
          <w:sz w:val="22"/>
          <w:szCs w:val="22"/>
        </w:rPr>
        <w:t>, mediante la cual la Jueza de la Unidad Judicial Civil con sede en la parroquia de Iñaquito del Distrito Metropolitano de Quito, acepta la demanda y declara la Prescripción Extraordinaria Adquisitiva de Do</w:t>
      </w:r>
      <w:r w:rsidR="00633AF6" w:rsidRPr="00AA61B2">
        <w:rPr>
          <w:rFonts w:ascii="Palatino Linotype" w:hAnsi="Palatino Linotype" w:cs="Arial"/>
          <w:sz w:val="22"/>
          <w:szCs w:val="22"/>
        </w:rPr>
        <w:t xml:space="preserve">minio que ha operado a favor </w:t>
      </w:r>
      <w:r w:rsidR="009E7CCA" w:rsidRPr="00375B4C">
        <w:rPr>
          <w:rFonts w:ascii="Palatino Linotype" w:hAnsi="Palatino Linotype"/>
          <w:sz w:val="22"/>
          <w:szCs w:val="22"/>
        </w:rPr>
        <w:t>del señor Vinicio Gonzalo Herrera</w:t>
      </w:r>
      <w:r w:rsidR="00782943" w:rsidRPr="001439C8">
        <w:rPr>
          <w:rFonts w:ascii="Palatino Linotype" w:hAnsi="Palatino Linotype"/>
          <w:sz w:val="22"/>
          <w:szCs w:val="22"/>
        </w:rPr>
        <w:t xml:space="preserve">, </w:t>
      </w:r>
      <w:r w:rsidRPr="00AA61B2">
        <w:rPr>
          <w:rFonts w:ascii="Palatino Linotype" w:hAnsi="Palatino Linotype" w:cs="Arial"/>
          <w:sz w:val="22"/>
          <w:szCs w:val="22"/>
        </w:rPr>
        <w:t xml:space="preserve">por una superficie de </w:t>
      </w:r>
      <w:r w:rsidR="009F1F87" w:rsidRPr="009F1F87">
        <w:rPr>
          <w:rStyle w:val="markedcontent"/>
          <w:rFonts w:ascii="Palatino Linotype" w:hAnsi="Palatino Linotype" w:cs="Arial"/>
          <w:sz w:val="22"/>
          <w:szCs w:val="22"/>
        </w:rPr>
        <w:t>105.24 m2</w:t>
      </w:r>
      <w:r w:rsidRPr="009F1F87">
        <w:rPr>
          <w:rFonts w:ascii="Palatino Linotype" w:hAnsi="Palatino Linotype" w:cs="Arial"/>
          <w:sz w:val="22"/>
          <w:szCs w:val="22"/>
        </w:rPr>
        <w:t>.</w:t>
      </w:r>
      <w:r w:rsidRPr="00AA61B2">
        <w:rPr>
          <w:rFonts w:ascii="Palatino Linotype" w:hAnsi="Palatino Linotype" w:cs="Arial"/>
          <w:sz w:val="22"/>
          <w:szCs w:val="22"/>
        </w:rPr>
        <w:t xml:space="preserve"> </w:t>
      </w:r>
    </w:p>
    <w:p w:rsidR="005F36E3" w:rsidRPr="00AA61B2" w:rsidRDefault="005F36E3" w:rsidP="00755448">
      <w:pPr>
        <w:autoSpaceDE w:val="0"/>
        <w:autoSpaceDN w:val="0"/>
        <w:adjustRightInd w:val="0"/>
        <w:spacing w:line="276" w:lineRule="auto"/>
        <w:jc w:val="both"/>
        <w:rPr>
          <w:rFonts w:ascii="Palatino Linotype" w:hAnsi="Palatino Linotype" w:cs="Arial"/>
          <w:sz w:val="22"/>
          <w:szCs w:val="22"/>
        </w:rPr>
      </w:pPr>
    </w:p>
    <w:p w:rsidR="005F36E3" w:rsidRPr="00AA61B2" w:rsidRDefault="005F36E3" w:rsidP="00755448">
      <w:pPr>
        <w:autoSpaceDE w:val="0"/>
        <w:autoSpaceDN w:val="0"/>
        <w:adjustRightInd w:val="0"/>
        <w:spacing w:line="276" w:lineRule="auto"/>
        <w:jc w:val="both"/>
        <w:rPr>
          <w:rFonts w:ascii="Palatino Linotype" w:hAnsi="Palatino Linotype" w:cs="Arial"/>
          <w:sz w:val="22"/>
          <w:szCs w:val="22"/>
        </w:rPr>
      </w:pPr>
      <w:r w:rsidRPr="00AA61B2">
        <w:rPr>
          <w:rFonts w:ascii="Palatino Linotype" w:hAnsi="Palatino Linotype" w:cs="Arial"/>
          <w:sz w:val="22"/>
          <w:szCs w:val="22"/>
        </w:rPr>
        <w:t xml:space="preserve">De conformidad con lo dispuesto en el artículo 2266.160 del Código Municipal para el Distrito Metropolitano de Quito, </w:t>
      </w:r>
      <w:r w:rsidR="00F27EBD">
        <w:rPr>
          <w:rFonts w:ascii="Palatino Linotype" w:hAnsi="Palatino Linotype"/>
          <w:sz w:val="22"/>
          <w:szCs w:val="22"/>
        </w:rPr>
        <w:t xml:space="preserve">el </w:t>
      </w:r>
      <w:r w:rsidR="00F27EBD" w:rsidRPr="00375B4C">
        <w:rPr>
          <w:rFonts w:ascii="Palatino Linotype" w:hAnsi="Palatino Linotype"/>
          <w:sz w:val="22"/>
          <w:szCs w:val="22"/>
        </w:rPr>
        <w:t>señor Vinicio Gonzalo Herrera</w:t>
      </w:r>
      <w:r w:rsidRPr="00AA61B2">
        <w:rPr>
          <w:rFonts w:ascii="Palatino Linotype" w:hAnsi="Palatino Linotype" w:cs="Arial"/>
          <w:sz w:val="22"/>
          <w:szCs w:val="22"/>
        </w:rPr>
        <w:t>, deberá compensar en valor monetario, la contribución del 15% del área útil adjudicada, de acuerdo con el cálculo que realice la Administración Zonal competente.</w:t>
      </w:r>
    </w:p>
    <w:p w:rsidR="005F36E3" w:rsidRPr="00EA337F" w:rsidRDefault="005F36E3"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296140" w:rsidP="00755448">
      <w:pPr>
        <w:autoSpaceDE w:val="0"/>
        <w:autoSpaceDN w:val="0"/>
        <w:adjustRightInd w:val="0"/>
        <w:spacing w:line="276" w:lineRule="auto"/>
        <w:jc w:val="both"/>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Disposiciones generales:</w:t>
      </w:r>
    </w:p>
    <w:p w:rsidR="00755448" w:rsidRPr="00EA337F" w:rsidRDefault="00755448" w:rsidP="00755448">
      <w:pPr>
        <w:autoSpaceDE w:val="0"/>
        <w:autoSpaceDN w:val="0"/>
        <w:adjustRightInd w:val="0"/>
        <w:spacing w:line="276" w:lineRule="auto"/>
        <w:jc w:val="both"/>
        <w:rPr>
          <w:rFonts w:ascii="Palatino Linotype" w:eastAsiaTheme="minorHAnsi" w:hAnsi="Palatino Linotype"/>
          <w:b/>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 xml:space="preserve">Primera.- </w:t>
      </w:r>
      <w:r w:rsidRPr="00EA337F">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Segunda.-</w:t>
      </w:r>
      <w:r w:rsidRPr="00EA337F">
        <w:rPr>
          <w:rFonts w:ascii="Palatino Linotype" w:eastAsiaTheme="minorHAnsi" w:hAnsi="Palatino Linotype"/>
          <w:sz w:val="22"/>
          <w:szCs w:val="22"/>
          <w:lang w:eastAsia="en-US"/>
        </w:rPr>
        <w:t xml:space="preserve"> La presente resolución se aprueba en base a los informes que son de exclusiva responsabilidad de los funcionarios que lo suscriben y realizan.</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lastRenderedPageBreak/>
        <w:t>Disposición Final.-</w:t>
      </w:r>
      <w:r w:rsidRPr="00EA337F">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sz w:val="22"/>
          <w:szCs w:val="22"/>
        </w:rPr>
        <w:t xml:space="preserve">Dada en la sesión del Concejo Metropolitano de Quito, el ……….. </w:t>
      </w:r>
    </w:p>
    <w:p w:rsidR="00755448" w:rsidRPr="00EA337F" w:rsidRDefault="00755448" w:rsidP="00755448">
      <w:pPr>
        <w:spacing w:line="276" w:lineRule="auto"/>
        <w:ind w:left="-5"/>
        <w:jc w:val="both"/>
        <w:rPr>
          <w:rFonts w:ascii="Palatino Linotype" w:hAnsi="Palatino Linotype"/>
          <w:sz w:val="22"/>
          <w:szCs w:val="22"/>
        </w:rPr>
      </w:pPr>
    </w:p>
    <w:p w:rsidR="00755448" w:rsidRPr="00EA337F" w:rsidRDefault="00755448" w:rsidP="00755448">
      <w:pPr>
        <w:spacing w:line="276" w:lineRule="auto"/>
        <w:ind w:left="-5" w:right="-143"/>
        <w:jc w:val="both"/>
        <w:rPr>
          <w:rFonts w:ascii="Palatino Linotype" w:hAnsi="Palatino Linotype"/>
          <w:sz w:val="22"/>
          <w:szCs w:val="22"/>
        </w:rPr>
      </w:pPr>
      <w:r w:rsidRPr="00EA337F">
        <w:rPr>
          <w:rFonts w:ascii="Palatino Linotype" w:hAnsi="Palatino Linotype"/>
          <w:b/>
          <w:sz w:val="22"/>
          <w:szCs w:val="22"/>
        </w:rPr>
        <w:t xml:space="preserve">Alcaldía del Distrito Metropolitano. - </w:t>
      </w:r>
      <w:r w:rsidRPr="00EA337F">
        <w:rPr>
          <w:rFonts w:ascii="Palatino Linotype" w:hAnsi="Palatino Linotype"/>
          <w:sz w:val="22"/>
          <w:szCs w:val="22"/>
        </w:rPr>
        <w:t>Distrito Metropolitano de Quito, ………..</w:t>
      </w:r>
    </w:p>
    <w:p w:rsidR="00755448" w:rsidRPr="00EA337F" w:rsidRDefault="00755448" w:rsidP="00755448">
      <w:pPr>
        <w:spacing w:line="276" w:lineRule="auto"/>
        <w:jc w:val="both"/>
        <w:rPr>
          <w:rFonts w:ascii="Palatino Linotype" w:hAnsi="Palatino Linotype"/>
          <w:sz w:val="22"/>
          <w:szCs w:val="22"/>
        </w:rPr>
      </w:pP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b/>
          <w:sz w:val="22"/>
          <w:szCs w:val="22"/>
        </w:rPr>
        <w:t>EJECÚTESE:</w:t>
      </w: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r w:rsidRPr="00EA337F">
        <w:rPr>
          <w:rFonts w:ascii="Palatino Linotype" w:hAnsi="Palatino Linotype"/>
          <w:sz w:val="22"/>
          <w:szCs w:val="22"/>
        </w:rPr>
        <w:t>Dr. Santiago Guarderas Izquierdo</w:t>
      </w:r>
    </w:p>
    <w:p w:rsidR="00755448" w:rsidRPr="00EA337F" w:rsidRDefault="00755448" w:rsidP="00755448">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EA337F">
        <w:rPr>
          <w:rFonts w:ascii="Palatino Linotype" w:eastAsia="Palatino Linotype" w:hAnsi="Palatino Linotype" w:cs="Palatino Linotype"/>
          <w:b/>
          <w:color w:val="000000"/>
          <w:sz w:val="22"/>
          <w:szCs w:val="22"/>
          <w:lang w:eastAsia="es-EC"/>
        </w:rPr>
        <w:t>ALCALDE DEL DISTRITO METROPOLITANO DE QUITO</w:t>
      </w:r>
    </w:p>
    <w:p w:rsidR="00755448" w:rsidRPr="00EA337F" w:rsidRDefault="00755448" w:rsidP="00755448">
      <w:pPr>
        <w:spacing w:line="276" w:lineRule="auto"/>
        <w:jc w:val="center"/>
        <w:rPr>
          <w:rFonts w:ascii="Palatino Linotype" w:hAnsi="Palatino Linotype"/>
          <w:sz w:val="22"/>
          <w:szCs w:val="22"/>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b/>
          <w:sz w:val="22"/>
          <w:szCs w:val="22"/>
        </w:rPr>
        <w:t>CERTIFICO,</w:t>
      </w:r>
      <w:r w:rsidRPr="00EA337F">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755448" w:rsidRPr="00EA337F" w:rsidRDefault="00755448" w:rsidP="00755448">
      <w:pPr>
        <w:spacing w:line="276" w:lineRule="auto"/>
        <w:jc w:val="both"/>
        <w:rPr>
          <w:rFonts w:ascii="Palatino Linotype" w:hAnsi="Palatino Linotype"/>
          <w:sz w:val="22"/>
          <w:szCs w:val="22"/>
        </w:rPr>
      </w:pPr>
      <w:r w:rsidRPr="00EA337F">
        <w:rPr>
          <w:rFonts w:ascii="Palatino Linotype" w:hAnsi="Palatino Linotype"/>
          <w:b/>
          <w:sz w:val="22"/>
          <w:szCs w:val="22"/>
        </w:rPr>
        <w:t xml:space="preserve"> </w:t>
      </w:r>
    </w:p>
    <w:p w:rsidR="00755448" w:rsidRPr="00EA337F" w:rsidRDefault="00755448" w:rsidP="00755448">
      <w:pPr>
        <w:spacing w:line="276" w:lineRule="auto"/>
        <w:ind w:left="-5"/>
        <w:jc w:val="both"/>
        <w:rPr>
          <w:rFonts w:ascii="Palatino Linotype" w:hAnsi="Palatino Linotype"/>
          <w:sz w:val="22"/>
          <w:szCs w:val="22"/>
          <w:highlight w:val="yellow"/>
        </w:rPr>
      </w:pPr>
      <w:r w:rsidRPr="00EA337F">
        <w:rPr>
          <w:rFonts w:ascii="Palatino Linotype" w:hAnsi="Palatino Linotype"/>
          <w:b/>
          <w:sz w:val="22"/>
          <w:szCs w:val="22"/>
        </w:rPr>
        <w:t xml:space="preserve">Lo certifico. - </w:t>
      </w:r>
      <w:r w:rsidRPr="00EA337F">
        <w:rPr>
          <w:rFonts w:ascii="Palatino Linotype" w:hAnsi="Palatino Linotype"/>
          <w:sz w:val="22"/>
          <w:szCs w:val="22"/>
        </w:rPr>
        <w:t xml:space="preserve">Distrito Metropolitano de Quito.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sz w:val="22"/>
          <w:szCs w:val="22"/>
        </w:rPr>
        <w:t>Abg. Pablo Santillán Paredes</w:t>
      </w:r>
    </w:p>
    <w:p w:rsidR="00751D1C" w:rsidRPr="00DF0B4F" w:rsidRDefault="00755448" w:rsidP="00DF0B4F">
      <w:pPr>
        <w:spacing w:line="276" w:lineRule="auto"/>
        <w:jc w:val="center"/>
        <w:rPr>
          <w:rFonts w:ascii="Palatino Linotype" w:eastAsia="Calibri" w:hAnsi="Palatino Linotype"/>
          <w:b/>
          <w:sz w:val="22"/>
          <w:szCs w:val="22"/>
          <w:lang w:eastAsia="en-US"/>
        </w:rPr>
      </w:pPr>
      <w:r w:rsidRPr="00EA337F">
        <w:rPr>
          <w:rFonts w:ascii="Palatino Linotype" w:eastAsia="Calibri" w:hAnsi="Palatino Linotype"/>
          <w:b/>
          <w:sz w:val="22"/>
          <w:szCs w:val="22"/>
          <w:lang w:eastAsia="en-US"/>
        </w:rPr>
        <w:t>SECRETARIO GENERAL DE</w:t>
      </w:r>
      <w:r w:rsidR="00DF0B4F">
        <w:rPr>
          <w:rFonts w:ascii="Palatino Linotype" w:eastAsia="Calibri" w:hAnsi="Palatino Linotype"/>
          <w:b/>
          <w:sz w:val="22"/>
          <w:szCs w:val="22"/>
          <w:lang w:eastAsia="en-US"/>
        </w:rPr>
        <w:t xml:space="preserve">L CONCEJO METROPOLITANO DE QUITO </w:t>
      </w:r>
    </w:p>
    <w:sectPr w:rsidR="00751D1C" w:rsidRPr="00DF0B4F"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141" w:rsidRDefault="00DB0141">
      <w:r>
        <w:separator/>
      </w:r>
    </w:p>
  </w:endnote>
  <w:endnote w:type="continuationSeparator" w:id="0">
    <w:p w:rsidR="00DB0141" w:rsidRDefault="00DB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C62E1F">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C62E1F">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DB0141">
            <w:pPr>
              <w:pStyle w:val="Piedepgina"/>
              <w:jc w:val="right"/>
              <w:rPr>
                <w:rFonts w:ascii="Palatino Linotype" w:hAnsi="Palatino Linotype"/>
                <w:sz w:val="20"/>
                <w:szCs w:val="20"/>
              </w:rPr>
            </w:pPr>
          </w:p>
        </w:sdtContent>
      </w:sdt>
    </w:sdtContent>
  </w:sdt>
  <w:p w:rsidR="005D2467" w:rsidRPr="008479FB" w:rsidRDefault="00DB0141">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141" w:rsidRDefault="00DB0141">
      <w:r>
        <w:separator/>
      </w:r>
    </w:p>
  </w:footnote>
  <w:footnote w:type="continuationSeparator" w:id="0">
    <w:p w:rsidR="00DB0141" w:rsidRDefault="00DB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DB0141"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DB0141"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DB01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0"/>
    <w:rsid w:val="00002910"/>
    <w:rsid w:val="00006A5E"/>
    <w:rsid w:val="000077F9"/>
    <w:rsid w:val="000251CF"/>
    <w:rsid w:val="000264CB"/>
    <w:rsid w:val="00027D50"/>
    <w:rsid w:val="00030386"/>
    <w:rsid w:val="00035E6C"/>
    <w:rsid w:val="0004203F"/>
    <w:rsid w:val="00063D30"/>
    <w:rsid w:val="00067AEE"/>
    <w:rsid w:val="0008033C"/>
    <w:rsid w:val="0008254A"/>
    <w:rsid w:val="00090E26"/>
    <w:rsid w:val="000944D7"/>
    <w:rsid w:val="00097C9B"/>
    <w:rsid w:val="000A17A7"/>
    <w:rsid w:val="000A6FF4"/>
    <w:rsid w:val="000A70A0"/>
    <w:rsid w:val="000B4CF2"/>
    <w:rsid w:val="000D77BB"/>
    <w:rsid w:val="000E121C"/>
    <w:rsid w:val="000E205E"/>
    <w:rsid w:val="000E4614"/>
    <w:rsid w:val="000F6E07"/>
    <w:rsid w:val="00115787"/>
    <w:rsid w:val="0013405F"/>
    <w:rsid w:val="0013624A"/>
    <w:rsid w:val="001439C8"/>
    <w:rsid w:val="00144F8A"/>
    <w:rsid w:val="0017481B"/>
    <w:rsid w:val="001A01E2"/>
    <w:rsid w:val="001A17A7"/>
    <w:rsid w:val="001A2E60"/>
    <w:rsid w:val="001A5724"/>
    <w:rsid w:val="001B2FFD"/>
    <w:rsid w:val="001C1FC7"/>
    <w:rsid w:val="001C7456"/>
    <w:rsid w:val="001E2F60"/>
    <w:rsid w:val="001F679D"/>
    <w:rsid w:val="001F733D"/>
    <w:rsid w:val="00224DF1"/>
    <w:rsid w:val="00236DB4"/>
    <w:rsid w:val="0024026A"/>
    <w:rsid w:val="0024403E"/>
    <w:rsid w:val="00245D20"/>
    <w:rsid w:val="00252078"/>
    <w:rsid w:val="00253AA5"/>
    <w:rsid w:val="002612AA"/>
    <w:rsid w:val="0026215F"/>
    <w:rsid w:val="00264155"/>
    <w:rsid w:val="00290050"/>
    <w:rsid w:val="00296140"/>
    <w:rsid w:val="00296D2E"/>
    <w:rsid w:val="00297B92"/>
    <w:rsid w:val="002C44A1"/>
    <w:rsid w:val="002D4C5C"/>
    <w:rsid w:val="002E4C52"/>
    <w:rsid w:val="002F2CCA"/>
    <w:rsid w:val="002F7AF5"/>
    <w:rsid w:val="00306191"/>
    <w:rsid w:val="00313677"/>
    <w:rsid w:val="003210C2"/>
    <w:rsid w:val="00336073"/>
    <w:rsid w:val="00343222"/>
    <w:rsid w:val="00345885"/>
    <w:rsid w:val="00360B0F"/>
    <w:rsid w:val="003A3AD1"/>
    <w:rsid w:val="003E3BAD"/>
    <w:rsid w:val="004014CA"/>
    <w:rsid w:val="00401F50"/>
    <w:rsid w:val="00406F51"/>
    <w:rsid w:val="0042799B"/>
    <w:rsid w:val="004306D0"/>
    <w:rsid w:val="004336C0"/>
    <w:rsid w:val="00445381"/>
    <w:rsid w:val="004553DB"/>
    <w:rsid w:val="00470AD9"/>
    <w:rsid w:val="00481F59"/>
    <w:rsid w:val="00495B8D"/>
    <w:rsid w:val="004A628F"/>
    <w:rsid w:val="004B008D"/>
    <w:rsid w:val="004B2063"/>
    <w:rsid w:val="004C50EC"/>
    <w:rsid w:val="004E2C3F"/>
    <w:rsid w:val="004E76E0"/>
    <w:rsid w:val="004F5036"/>
    <w:rsid w:val="00511047"/>
    <w:rsid w:val="00525A48"/>
    <w:rsid w:val="00532857"/>
    <w:rsid w:val="00552CDD"/>
    <w:rsid w:val="0056686B"/>
    <w:rsid w:val="005720AF"/>
    <w:rsid w:val="005A0BB9"/>
    <w:rsid w:val="005A6B15"/>
    <w:rsid w:val="005B6971"/>
    <w:rsid w:val="005B7C5B"/>
    <w:rsid w:val="005C1D48"/>
    <w:rsid w:val="005C419B"/>
    <w:rsid w:val="005C6371"/>
    <w:rsid w:val="005C733B"/>
    <w:rsid w:val="005D1661"/>
    <w:rsid w:val="005D3837"/>
    <w:rsid w:val="005D5471"/>
    <w:rsid w:val="005E4F19"/>
    <w:rsid w:val="005E6A39"/>
    <w:rsid w:val="005F36E3"/>
    <w:rsid w:val="00606C06"/>
    <w:rsid w:val="00617C1E"/>
    <w:rsid w:val="00633AF6"/>
    <w:rsid w:val="00636664"/>
    <w:rsid w:val="00662D01"/>
    <w:rsid w:val="00673059"/>
    <w:rsid w:val="00677109"/>
    <w:rsid w:val="00681133"/>
    <w:rsid w:val="006861DE"/>
    <w:rsid w:val="00687C0C"/>
    <w:rsid w:val="0069369A"/>
    <w:rsid w:val="00694141"/>
    <w:rsid w:val="006A6DA4"/>
    <w:rsid w:val="006B3C18"/>
    <w:rsid w:val="006C4379"/>
    <w:rsid w:val="006C76D0"/>
    <w:rsid w:val="006E179D"/>
    <w:rsid w:val="006E34DC"/>
    <w:rsid w:val="00707BCF"/>
    <w:rsid w:val="007115CA"/>
    <w:rsid w:val="0071609F"/>
    <w:rsid w:val="00726973"/>
    <w:rsid w:val="007315B0"/>
    <w:rsid w:val="007401E1"/>
    <w:rsid w:val="00740EE8"/>
    <w:rsid w:val="00745751"/>
    <w:rsid w:val="007500BA"/>
    <w:rsid w:val="00751D1C"/>
    <w:rsid w:val="00755448"/>
    <w:rsid w:val="00757091"/>
    <w:rsid w:val="00782943"/>
    <w:rsid w:val="00785C49"/>
    <w:rsid w:val="007B4D6C"/>
    <w:rsid w:val="007C3147"/>
    <w:rsid w:val="007D2680"/>
    <w:rsid w:val="007D2D4F"/>
    <w:rsid w:val="007E60E9"/>
    <w:rsid w:val="007F4625"/>
    <w:rsid w:val="008044F7"/>
    <w:rsid w:val="00805221"/>
    <w:rsid w:val="0081380B"/>
    <w:rsid w:val="0082482D"/>
    <w:rsid w:val="00826061"/>
    <w:rsid w:val="00832D35"/>
    <w:rsid w:val="00846624"/>
    <w:rsid w:val="00854CBC"/>
    <w:rsid w:val="00855B0B"/>
    <w:rsid w:val="00862F11"/>
    <w:rsid w:val="0087756E"/>
    <w:rsid w:val="008824CB"/>
    <w:rsid w:val="008834D1"/>
    <w:rsid w:val="008835E2"/>
    <w:rsid w:val="00893065"/>
    <w:rsid w:val="00893F13"/>
    <w:rsid w:val="008A3F72"/>
    <w:rsid w:val="008B4153"/>
    <w:rsid w:val="008D6AA3"/>
    <w:rsid w:val="008E05AA"/>
    <w:rsid w:val="00904949"/>
    <w:rsid w:val="00907185"/>
    <w:rsid w:val="0093701E"/>
    <w:rsid w:val="009401D2"/>
    <w:rsid w:val="00942032"/>
    <w:rsid w:val="00953717"/>
    <w:rsid w:val="0096109F"/>
    <w:rsid w:val="00962351"/>
    <w:rsid w:val="0097359A"/>
    <w:rsid w:val="00983736"/>
    <w:rsid w:val="0098647F"/>
    <w:rsid w:val="00993181"/>
    <w:rsid w:val="0099372E"/>
    <w:rsid w:val="0099702E"/>
    <w:rsid w:val="009A0658"/>
    <w:rsid w:val="009C157E"/>
    <w:rsid w:val="009D76A5"/>
    <w:rsid w:val="009E1D0C"/>
    <w:rsid w:val="009E7CCA"/>
    <w:rsid w:val="009F1F87"/>
    <w:rsid w:val="009F6F24"/>
    <w:rsid w:val="00A23206"/>
    <w:rsid w:val="00A35D24"/>
    <w:rsid w:val="00A42FBD"/>
    <w:rsid w:val="00A45C33"/>
    <w:rsid w:val="00A47D5C"/>
    <w:rsid w:val="00A53B09"/>
    <w:rsid w:val="00A55032"/>
    <w:rsid w:val="00A56888"/>
    <w:rsid w:val="00A60EBB"/>
    <w:rsid w:val="00A654D7"/>
    <w:rsid w:val="00A66C89"/>
    <w:rsid w:val="00A76A16"/>
    <w:rsid w:val="00A873C9"/>
    <w:rsid w:val="00AA23EE"/>
    <w:rsid w:val="00AA2620"/>
    <w:rsid w:val="00AA61B2"/>
    <w:rsid w:val="00AC0982"/>
    <w:rsid w:val="00AC4B2C"/>
    <w:rsid w:val="00AD0CAC"/>
    <w:rsid w:val="00AD1557"/>
    <w:rsid w:val="00AD767B"/>
    <w:rsid w:val="00AE18B4"/>
    <w:rsid w:val="00AE1F80"/>
    <w:rsid w:val="00AE320F"/>
    <w:rsid w:val="00AE5A20"/>
    <w:rsid w:val="00AE5F25"/>
    <w:rsid w:val="00B007F0"/>
    <w:rsid w:val="00B0169E"/>
    <w:rsid w:val="00B27543"/>
    <w:rsid w:val="00B35D39"/>
    <w:rsid w:val="00B418BF"/>
    <w:rsid w:val="00B46254"/>
    <w:rsid w:val="00B5446C"/>
    <w:rsid w:val="00B706B2"/>
    <w:rsid w:val="00B748ED"/>
    <w:rsid w:val="00B84C96"/>
    <w:rsid w:val="00B9672E"/>
    <w:rsid w:val="00BA3CE3"/>
    <w:rsid w:val="00BA63E5"/>
    <w:rsid w:val="00BD292F"/>
    <w:rsid w:val="00BD7EFF"/>
    <w:rsid w:val="00BF4249"/>
    <w:rsid w:val="00C2568C"/>
    <w:rsid w:val="00C261A8"/>
    <w:rsid w:val="00C2794C"/>
    <w:rsid w:val="00C31C0C"/>
    <w:rsid w:val="00C469C4"/>
    <w:rsid w:val="00C4735F"/>
    <w:rsid w:val="00C600A8"/>
    <w:rsid w:val="00C62E1F"/>
    <w:rsid w:val="00C7771D"/>
    <w:rsid w:val="00C77EE7"/>
    <w:rsid w:val="00C82C59"/>
    <w:rsid w:val="00C926A0"/>
    <w:rsid w:val="00C9395C"/>
    <w:rsid w:val="00CB1FAE"/>
    <w:rsid w:val="00CB5779"/>
    <w:rsid w:val="00CF05C8"/>
    <w:rsid w:val="00CF748D"/>
    <w:rsid w:val="00D1552F"/>
    <w:rsid w:val="00D23C29"/>
    <w:rsid w:val="00D4445E"/>
    <w:rsid w:val="00D46415"/>
    <w:rsid w:val="00D5311D"/>
    <w:rsid w:val="00D57722"/>
    <w:rsid w:val="00D64A4C"/>
    <w:rsid w:val="00D85433"/>
    <w:rsid w:val="00D86EE7"/>
    <w:rsid w:val="00DA4995"/>
    <w:rsid w:val="00DB0141"/>
    <w:rsid w:val="00DB392E"/>
    <w:rsid w:val="00DB552C"/>
    <w:rsid w:val="00DC5625"/>
    <w:rsid w:val="00DD0991"/>
    <w:rsid w:val="00DD5FF2"/>
    <w:rsid w:val="00DE0B90"/>
    <w:rsid w:val="00DE3119"/>
    <w:rsid w:val="00DF0B4F"/>
    <w:rsid w:val="00E02AE3"/>
    <w:rsid w:val="00E22628"/>
    <w:rsid w:val="00E2458D"/>
    <w:rsid w:val="00E332EA"/>
    <w:rsid w:val="00E41B4B"/>
    <w:rsid w:val="00E46A96"/>
    <w:rsid w:val="00E5406F"/>
    <w:rsid w:val="00E64E46"/>
    <w:rsid w:val="00E65833"/>
    <w:rsid w:val="00E81779"/>
    <w:rsid w:val="00E81F93"/>
    <w:rsid w:val="00E84326"/>
    <w:rsid w:val="00E97A2B"/>
    <w:rsid w:val="00EA20CF"/>
    <w:rsid w:val="00EA337F"/>
    <w:rsid w:val="00EA5D12"/>
    <w:rsid w:val="00EB7956"/>
    <w:rsid w:val="00EC6091"/>
    <w:rsid w:val="00EE4C7B"/>
    <w:rsid w:val="00EF6F62"/>
    <w:rsid w:val="00F073C7"/>
    <w:rsid w:val="00F27EBD"/>
    <w:rsid w:val="00F33C5B"/>
    <w:rsid w:val="00F5205A"/>
    <w:rsid w:val="00F6236F"/>
    <w:rsid w:val="00F64624"/>
    <w:rsid w:val="00F950D9"/>
    <w:rsid w:val="00FA7F92"/>
    <w:rsid w:val="00FB2C86"/>
    <w:rsid w:val="00FC3E6E"/>
    <w:rsid w:val="00FD6ECF"/>
    <w:rsid w:val="00FE1203"/>
    <w:rsid w:val="00FE3412"/>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B317"/>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2272</Words>
  <Characters>12497</Characters>
  <Application>Microsoft Office Word</Application>
  <DocSecurity>0</DocSecurity>
  <Lines>735</Lines>
  <Paragraphs>615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447</cp:revision>
  <dcterms:created xsi:type="dcterms:W3CDTF">2021-03-30T15:44:00Z</dcterms:created>
  <dcterms:modified xsi:type="dcterms:W3CDTF">2023-05-25T17:49:00Z</dcterms:modified>
</cp:coreProperties>
</file>