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ACA6C" w14:textId="7687140B" w:rsidR="00C926A0" w:rsidRPr="0052401C" w:rsidRDefault="00C926A0" w:rsidP="00327A8D">
      <w:pPr>
        <w:autoSpaceDE w:val="0"/>
        <w:autoSpaceDN w:val="0"/>
        <w:adjustRightInd w:val="0"/>
        <w:jc w:val="center"/>
        <w:rPr>
          <w:rFonts w:ascii="Palatino Linotype" w:eastAsiaTheme="minorHAnsi" w:hAnsi="Palatino Linotype"/>
          <w:b/>
          <w:sz w:val="22"/>
          <w:szCs w:val="22"/>
          <w:lang w:eastAsia="en-US"/>
        </w:rPr>
      </w:pPr>
      <w:r w:rsidRPr="0052401C">
        <w:rPr>
          <w:rFonts w:ascii="Palatino Linotype" w:eastAsiaTheme="minorHAnsi" w:hAnsi="Palatino Linotype"/>
          <w:b/>
          <w:sz w:val="22"/>
          <w:szCs w:val="22"/>
          <w:lang w:eastAsia="en-US"/>
        </w:rPr>
        <w:t>EL CONCEJO METROPOLITANO DE QUITO</w:t>
      </w:r>
    </w:p>
    <w:p w14:paraId="21148F6A" w14:textId="77777777" w:rsidR="00C926A0" w:rsidRPr="0052401C" w:rsidRDefault="00C926A0" w:rsidP="00327A8D">
      <w:pPr>
        <w:autoSpaceDE w:val="0"/>
        <w:autoSpaceDN w:val="0"/>
        <w:adjustRightInd w:val="0"/>
        <w:jc w:val="center"/>
        <w:rPr>
          <w:rFonts w:ascii="Palatino Linotype" w:eastAsiaTheme="minorHAnsi" w:hAnsi="Palatino Linotype"/>
          <w:b/>
          <w:sz w:val="22"/>
          <w:szCs w:val="22"/>
          <w:lang w:eastAsia="en-US"/>
        </w:rPr>
      </w:pPr>
    </w:p>
    <w:p w14:paraId="2CCEAADA" w14:textId="77777777" w:rsidR="00C926A0" w:rsidRPr="0052401C" w:rsidRDefault="00C926A0" w:rsidP="00327A8D">
      <w:pPr>
        <w:autoSpaceDE w:val="0"/>
        <w:autoSpaceDN w:val="0"/>
        <w:adjustRightInd w:val="0"/>
        <w:jc w:val="center"/>
        <w:rPr>
          <w:rFonts w:ascii="Palatino Linotype" w:eastAsiaTheme="minorHAnsi" w:hAnsi="Palatino Linotype"/>
          <w:b/>
          <w:sz w:val="22"/>
          <w:szCs w:val="22"/>
          <w:lang w:eastAsia="en-US"/>
        </w:rPr>
      </w:pPr>
      <w:r w:rsidRPr="0052401C">
        <w:rPr>
          <w:rFonts w:ascii="Palatino Linotype" w:eastAsiaTheme="minorHAnsi" w:hAnsi="Palatino Linotype"/>
          <w:b/>
          <w:sz w:val="22"/>
          <w:szCs w:val="22"/>
          <w:lang w:eastAsia="en-US"/>
        </w:rPr>
        <w:t>CONSIDERANDO:</w:t>
      </w:r>
    </w:p>
    <w:p w14:paraId="0F7D42C4" w14:textId="77777777" w:rsidR="00327A8D" w:rsidRPr="0052401C" w:rsidRDefault="00327A8D" w:rsidP="00327A8D">
      <w:pPr>
        <w:autoSpaceDE w:val="0"/>
        <w:autoSpaceDN w:val="0"/>
        <w:adjustRightInd w:val="0"/>
        <w:jc w:val="center"/>
        <w:rPr>
          <w:rFonts w:ascii="Palatino Linotype" w:eastAsiaTheme="minorHAnsi" w:hAnsi="Palatino Linotype"/>
          <w:b/>
          <w:sz w:val="22"/>
          <w:szCs w:val="22"/>
          <w:lang w:eastAsia="en-US"/>
        </w:rPr>
      </w:pPr>
    </w:p>
    <w:p w14:paraId="53771D50" w14:textId="24206A0A" w:rsidR="00C926A0" w:rsidRPr="0052401C" w:rsidRDefault="00C926A0" w:rsidP="00327A8D">
      <w:pPr>
        <w:autoSpaceDE w:val="0"/>
        <w:autoSpaceDN w:val="0"/>
        <w:adjustRightInd w:val="0"/>
        <w:ind w:left="705" w:hanging="705"/>
        <w:jc w:val="both"/>
        <w:rPr>
          <w:rFonts w:ascii="Palatino Linotype" w:eastAsiaTheme="minorHAnsi" w:hAnsi="Palatino Linotype"/>
          <w:i/>
          <w:iCs/>
          <w:sz w:val="22"/>
          <w:szCs w:val="22"/>
          <w:lang w:eastAsia="en-US"/>
        </w:rPr>
      </w:pPr>
      <w:r w:rsidRPr="0052401C">
        <w:rPr>
          <w:rFonts w:ascii="Palatino Linotype" w:eastAsiaTheme="minorHAnsi" w:hAnsi="Palatino Linotype"/>
          <w:b/>
          <w:bCs/>
          <w:sz w:val="22"/>
          <w:szCs w:val="22"/>
          <w:lang w:eastAsia="en-US"/>
        </w:rPr>
        <w:t>Que</w:t>
      </w:r>
      <w:r w:rsidRPr="0052401C">
        <w:rPr>
          <w:rFonts w:ascii="Palatino Linotype" w:eastAsiaTheme="minorHAnsi" w:hAnsi="Palatino Linotype"/>
          <w:sz w:val="22"/>
          <w:szCs w:val="22"/>
          <w:lang w:eastAsia="en-US"/>
        </w:rPr>
        <w:t xml:space="preserve"> </w:t>
      </w:r>
      <w:r w:rsidRPr="0052401C">
        <w:rPr>
          <w:rFonts w:ascii="Palatino Linotype" w:eastAsiaTheme="minorHAnsi" w:hAnsi="Palatino Linotype"/>
          <w:sz w:val="22"/>
          <w:szCs w:val="22"/>
          <w:lang w:eastAsia="en-US"/>
        </w:rPr>
        <w:tab/>
        <w:t xml:space="preserve"> el artículo 240 de la Constitución de República del Ecuador, en adelante Constitución, establece: “</w:t>
      </w:r>
      <w:r w:rsidRPr="0052401C">
        <w:rPr>
          <w:rFonts w:ascii="Palatino Linotype" w:eastAsiaTheme="minorHAnsi" w:hAnsi="Palatino Linotype"/>
          <w:i/>
          <w:iCs/>
          <w:sz w:val="22"/>
          <w:szCs w:val="22"/>
          <w:lang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00327A8D" w:rsidRPr="0052401C">
        <w:rPr>
          <w:rFonts w:ascii="Palatino Linotype" w:eastAsiaTheme="minorHAnsi" w:hAnsi="Palatino Linotype"/>
          <w:i/>
          <w:iCs/>
          <w:sz w:val="22"/>
          <w:szCs w:val="22"/>
          <w:lang w:eastAsia="en-US"/>
        </w:rPr>
        <w:t>;</w:t>
      </w:r>
    </w:p>
    <w:p w14:paraId="1BAC642D" w14:textId="77777777" w:rsidR="00C926A0" w:rsidRPr="0052401C"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3F8BCB38" w14:textId="0A90C7D8" w:rsidR="00C926A0" w:rsidRPr="0052401C"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52401C">
        <w:rPr>
          <w:rFonts w:ascii="Palatino Linotype" w:eastAsiaTheme="minorHAnsi" w:hAnsi="Palatino Linotype"/>
          <w:b/>
          <w:sz w:val="22"/>
          <w:szCs w:val="22"/>
          <w:lang w:eastAsia="en-US"/>
        </w:rPr>
        <w:t>Que</w:t>
      </w:r>
      <w:r w:rsidRPr="0052401C">
        <w:rPr>
          <w:rFonts w:ascii="Palatino Linotype" w:eastAsiaTheme="minorHAnsi" w:hAnsi="Palatino Linotype"/>
          <w:sz w:val="22"/>
          <w:szCs w:val="22"/>
          <w:lang w:eastAsia="en-US"/>
        </w:rPr>
        <w:t xml:space="preserve"> </w:t>
      </w:r>
      <w:r w:rsidRPr="0052401C">
        <w:rPr>
          <w:rFonts w:ascii="Palatino Linotype" w:eastAsiaTheme="minorHAnsi" w:hAnsi="Palatino Linotype"/>
          <w:sz w:val="22"/>
          <w:szCs w:val="22"/>
          <w:lang w:eastAsia="en-US"/>
        </w:rPr>
        <w:tab/>
        <w:t xml:space="preserve">la Constitución de la República del Ecuador en su artículo 266, determina: </w:t>
      </w:r>
      <w:r w:rsidRPr="0052401C">
        <w:rPr>
          <w:rFonts w:ascii="Palatino Linotype" w:eastAsiaTheme="minorHAnsi" w:hAnsi="Palatino Linotype"/>
          <w:i/>
          <w:sz w:val="22"/>
          <w:szCs w:val="22"/>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52401C">
        <w:rPr>
          <w:rFonts w:ascii="Palatino Linotype" w:eastAsiaTheme="minorHAnsi" w:hAnsi="Palatino Linotype"/>
          <w:sz w:val="22"/>
          <w:szCs w:val="22"/>
          <w:lang w:eastAsia="en-US"/>
        </w:rPr>
        <w:t>;</w:t>
      </w:r>
    </w:p>
    <w:p w14:paraId="42768682" w14:textId="77777777" w:rsidR="00693708" w:rsidRPr="0052401C" w:rsidRDefault="00693708" w:rsidP="00327A8D">
      <w:pPr>
        <w:autoSpaceDE w:val="0"/>
        <w:autoSpaceDN w:val="0"/>
        <w:adjustRightInd w:val="0"/>
        <w:ind w:left="709" w:hanging="709"/>
        <w:jc w:val="both"/>
        <w:rPr>
          <w:rFonts w:ascii="Palatino Linotype" w:eastAsiaTheme="minorHAnsi" w:hAnsi="Palatino Linotype"/>
          <w:sz w:val="22"/>
          <w:szCs w:val="22"/>
          <w:lang w:eastAsia="en-US"/>
        </w:rPr>
      </w:pPr>
    </w:p>
    <w:p w14:paraId="26DA6EAC" w14:textId="6F4F6482" w:rsidR="00C926A0" w:rsidRPr="0052401C" w:rsidRDefault="00C926A0" w:rsidP="00327A8D">
      <w:pPr>
        <w:autoSpaceDE w:val="0"/>
        <w:autoSpaceDN w:val="0"/>
        <w:adjustRightInd w:val="0"/>
        <w:ind w:left="709" w:hanging="709"/>
        <w:jc w:val="both"/>
        <w:rPr>
          <w:rFonts w:ascii="Palatino Linotype" w:eastAsiaTheme="minorHAnsi" w:hAnsi="Palatino Linotype"/>
          <w:i/>
          <w:sz w:val="22"/>
          <w:szCs w:val="22"/>
          <w:lang w:eastAsia="en-US"/>
        </w:rPr>
      </w:pPr>
      <w:r w:rsidRPr="0052401C">
        <w:rPr>
          <w:rFonts w:ascii="Palatino Linotype" w:eastAsiaTheme="minorHAnsi" w:hAnsi="Palatino Linotype"/>
          <w:b/>
          <w:bCs/>
          <w:sz w:val="22"/>
          <w:szCs w:val="22"/>
          <w:lang w:eastAsia="en-US"/>
        </w:rPr>
        <w:t>Que</w:t>
      </w:r>
      <w:r w:rsidR="00327A8D" w:rsidRPr="0052401C">
        <w:rPr>
          <w:rFonts w:ascii="Palatino Linotype" w:eastAsiaTheme="minorHAnsi" w:hAnsi="Palatino Linotype"/>
          <w:sz w:val="22"/>
          <w:szCs w:val="22"/>
          <w:lang w:eastAsia="en-US"/>
        </w:rPr>
        <w:tab/>
      </w:r>
      <w:r w:rsidRPr="0052401C">
        <w:rPr>
          <w:rFonts w:ascii="Palatino Linotype" w:eastAsiaTheme="minorHAnsi" w:hAnsi="Palatino Linotype"/>
          <w:sz w:val="22"/>
          <w:szCs w:val="22"/>
          <w:lang w:eastAsia="en-US"/>
        </w:rPr>
        <w:t xml:space="preserve">el literal c) del artículo 84, del Código Orgánico de Organización Territorial, Autonomía y Descentralización, en adelante COOTAD, manifiesta: </w:t>
      </w:r>
      <w:r w:rsidRPr="0052401C">
        <w:rPr>
          <w:rFonts w:ascii="Palatino Linotype" w:eastAsiaTheme="minorHAnsi" w:hAnsi="Palatino Linotype"/>
          <w:i/>
          <w:sz w:val="22"/>
          <w:szCs w:val="22"/>
          <w:lang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24D47F66" w14:textId="77777777" w:rsidR="00C926A0" w:rsidRPr="0052401C"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07282767" w14:textId="53CFD486" w:rsidR="00C926A0" w:rsidRPr="0052401C"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52401C">
        <w:rPr>
          <w:rFonts w:ascii="Palatino Linotype" w:eastAsiaTheme="minorHAnsi" w:hAnsi="Palatino Linotype"/>
          <w:b/>
          <w:sz w:val="22"/>
          <w:szCs w:val="22"/>
          <w:lang w:eastAsia="en-US"/>
        </w:rPr>
        <w:t>Que</w:t>
      </w:r>
      <w:r w:rsidRPr="0052401C">
        <w:rPr>
          <w:rFonts w:ascii="Palatino Linotype" w:eastAsiaTheme="minorHAnsi" w:hAnsi="Palatino Linotype"/>
          <w:sz w:val="22"/>
          <w:szCs w:val="22"/>
          <w:lang w:eastAsia="en-US"/>
        </w:rPr>
        <w:t xml:space="preserve"> </w:t>
      </w:r>
      <w:r w:rsidRPr="0052401C">
        <w:rPr>
          <w:rFonts w:ascii="Palatino Linotype" w:eastAsiaTheme="minorHAnsi" w:hAnsi="Palatino Linotype"/>
          <w:sz w:val="22"/>
          <w:szCs w:val="22"/>
          <w:lang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14:paraId="2A7C4880" w14:textId="77777777" w:rsidR="00C926A0" w:rsidRPr="0052401C"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7CF6252C" w14:textId="6718F7E9" w:rsidR="00C926A0" w:rsidRPr="0052401C"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52401C">
        <w:rPr>
          <w:rFonts w:ascii="Palatino Linotype" w:eastAsiaTheme="minorHAnsi" w:hAnsi="Palatino Linotype"/>
          <w:b/>
          <w:sz w:val="22"/>
          <w:szCs w:val="22"/>
          <w:lang w:eastAsia="en-US"/>
        </w:rPr>
        <w:t>Que</w:t>
      </w:r>
      <w:r w:rsidRPr="0052401C">
        <w:rPr>
          <w:rFonts w:ascii="Palatino Linotype" w:eastAsiaTheme="minorHAnsi" w:hAnsi="Palatino Linotype"/>
          <w:sz w:val="22"/>
          <w:szCs w:val="22"/>
          <w:lang w:eastAsia="en-US"/>
        </w:rPr>
        <w:t xml:space="preserve"> </w:t>
      </w:r>
      <w:r w:rsidRPr="0052401C">
        <w:rPr>
          <w:rFonts w:ascii="Palatino Linotype" w:eastAsiaTheme="minorHAnsi" w:hAnsi="Palatino Linotype"/>
          <w:sz w:val="22"/>
          <w:szCs w:val="22"/>
          <w:lang w:eastAsia="en-US"/>
        </w:rPr>
        <w:tab/>
        <w:t xml:space="preserve">conforme establece el artículo 87, literal v) del COOTAD, al Concejo Metropolitano le corresponde: </w:t>
      </w:r>
      <w:r w:rsidRPr="0052401C">
        <w:rPr>
          <w:rFonts w:ascii="Palatino Linotype" w:eastAsiaTheme="minorHAnsi" w:hAnsi="Palatino Linotype"/>
          <w:i/>
          <w:sz w:val="22"/>
          <w:szCs w:val="22"/>
          <w:lang w:eastAsia="en-US"/>
        </w:rPr>
        <w:t>“… v) Regular y controlar el uso del suelo en el territorio del distrito metropolitano, de conformidad con las leyes sobre la materia, y establecer el régimen urbanístico de la tierra”;</w:t>
      </w:r>
      <w:r w:rsidRPr="0052401C">
        <w:rPr>
          <w:rFonts w:ascii="Palatino Linotype" w:eastAsiaTheme="minorHAnsi" w:hAnsi="Palatino Linotype"/>
          <w:sz w:val="22"/>
          <w:szCs w:val="22"/>
          <w:lang w:eastAsia="en-US"/>
        </w:rPr>
        <w:t xml:space="preserve"> </w:t>
      </w:r>
    </w:p>
    <w:p w14:paraId="09FCFE8D" w14:textId="77777777" w:rsidR="00C926A0" w:rsidRPr="0052401C"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49BE1A8C" w14:textId="43EBA0AD" w:rsidR="00C926A0" w:rsidRPr="0052401C" w:rsidRDefault="00C926A0" w:rsidP="00327A8D">
      <w:pPr>
        <w:autoSpaceDE w:val="0"/>
        <w:autoSpaceDN w:val="0"/>
        <w:adjustRightInd w:val="0"/>
        <w:ind w:left="709" w:hanging="709"/>
        <w:jc w:val="both"/>
        <w:rPr>
          <w:rFonts w:ascii="Palatino Linotype" w:eastAsiaTheme="minorHAnsi" w:hAnsi="Palatino Linotype"/>
          <w:i/>
          <w:iCs/>
          <w:sz w:val="22"/>
          <w:szCs w:val="22"/>
          <w:lang w:eastAsia="en-US"/>
        </w:rPr>
      </w:pPr>
      <w:r w:rsidRPr="0052401C">
        <w:rPr>
          <w:rFonts w:ascii="Palatino Linotype" w:eastAsiaTheme="minorHAnsi" w:hAnsi="Palatino Linotype"/>
          <w:b/>
          <w:bCs/>
          <w:sz w:val="22"/>
          <w:szCs w:val="22"/>
          <w:lang w:eastAsia="en-US"/>
        </w:rPr>
        <w:t>Que</w:t>
      </w:r>
      <w:r w:rsidRPr="0052401C">
        <w:rPr>
          <w:rFonts w:ascii="Palatino Linotype" w:eastAsiaTheme="minorHAnsi" w:hAnsi="Palatino Linotype"/>
          <w:sz w:val="22"/>
          <w:szCs w:val="22"/>
          <w:lang w:eastAsia="en-US"/>
        </w:rPr>
        <w:t xml:space="preserve"> </w:t>
      </w:r>
      <w:r w:rsidRPr="0052401C">
        <w:rPr>
          <w:rFonts w:ascii="Palatino Linotype" w:eastAsiaTheme="minorHAnsi" w:hAnsi="Palatino Linotype"/>
          <w:sz w:val="22"/>
          <w:szCs w:val="22"/>
          <w:lang w:eastAsia="en-US"/>
        </w:rPr>
        <w:tab/>
        <w:t>el artículo 323 del COOTAD establece: “</w:t>
      </w:r>
      <w:r w:rsidRPr="0052401C">
        <w:rPr>
          <w:rFonts w:ascii="Palatino Linotype" w:eastAsiaTheme="minorHAnsi" w:hAnsi="Palatino Linotype"/>
          <w:i/>
          <w:iCs/>
          <w:sz w:val="22"/>
          <w:szCs w:val="22"/>
          <w:lang w:eastAsia="en-US"/>
        </w:rPr>
        <w:t xml:space="preserve">Aprobación de otros actos normativos.- El órgano normativo del respectivo gobierno autónomo descentralizado podrá expedir además, acuerdos y resoluciones sobre temas que tengan carácter especial o específico, los que serán aprobados </w:t>
      </w:r>
      <w:r w:rsidRPr="0052401C">
        <w:rPr>
          <w:rFonts w:ascii="Palatino Linotype" w:eastAsiaTheme="minorHAnsi" w:hAnsi="Palatino Linotype"/>
          <w:i/>
          <w:iCs/>
          <w:sz w:val="22"/>
          <w:szCs w:val="22"/>
          <w:lang w:eastAsia="en-US"/>
        </w:rPr>
        <w:lastRenderedPageBreak/>
        <w:t>por el órgano legislativo del gobierno autónomo, por simple mayoría, en un solo debate y serán notificados a los interesados, sin perjuicio de disponer su publicación en cualquiera de los medios determinados en el artículo precedente, de existir mérito para ello. (…)”</w:t>
      </w:r>
      <w:r w:rsidR="00327A8D" w:rsidRPr="0052401C">
        <w:rPr>
          <w:rFonts w:ascii="Palatino Linotype" w:eastAsiaTheme="minorHAnsi" w:hAnsi="Palatino Linotype"/>
          <w:i/>
          <w:iCs/>
          <w:sz w:val="22"/>
          <w:szCs w:val="22"/>
          <w:lang w:eastAsia="en-US"/>
        </w:rPr>
        <w:t>;</w:t>
      </w:r>
    </w:p>
    <w:p w14:paraId="1D0D56F6" w14:textId="77777777" w:rsidR="00C926A0" w:rsidRPr="0052401C"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23CDD6A3" w14:textId="3C5A741B" w:rsidR="00C926A0" w:rsidRPr="0052401C"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52401C">
        <w:rPr>
          <w:rFonts w:ascii="Palatino Linotype" w:eastAsiaTheme="minorHAnsi" w:hAnsi="Palatino Linotype"/>
          <w:b/>
          <w:sz w:val="22"/>
          <w:szCs w:val="22"/>
          <w:lang w:eastAsia="en-US"/>
        </w:rPr>
        <w:t>Que</w:t>
      </w:r>
      <w:r w:rsidR="00327A8D" w:rsidRPr="0052401C">
        <w:rPr>
          <w:rFonts w:ascii="Palatino Linotype" w:eastAsiaTheme="minorHAnsi" w:hAnsi="Palatino Linotype"/>
          <w:sz w:val="22"/>
          <w:szCs w:val="22"/>
          <w:lang w:eastAsia="en-US"/>
        </w:rPr>
        <w:tab/>
      </w:r>
      <w:r w:rsidRPr="0052401C">
        <w:rPr>
          <w:rFonts w:ascii="Palatino Linotype" w:eastAsiaTheme="minorHAnsi" w:hAnsi="Palatino Linotype"/>
          <w:sz w:val="22"/>
          <w:szCs w:val="22"/>
          <w:lang w:eastAsia="en-US"/>
        </w:rPr>
        <w:t xml:space="preserve">el artículo 326 del COOTAD determina que los órganos legislativos de los gobiernos autónomos </w:t>
      </w:r>
      <w:r w:rsidR="00FB22AA" w:rsidRPr="0052401C">
        <w:rPr>
          <w:rFonts w:ascii="Palatino Linotype" w:eastAsiaTheme="minorHAnsi" w:hAnsi="Palatino Linotype"/>
          <w:sz w:val="22"/>
          <w:szCs w:val="22"/>
          <w:lang w:eastAsia="en-US"/>
        </w:rPr>
        <w:t>descentralizados</w:t>
      </w:r>
      <w:r w:rsidRPr="0052401C">
        <w:rPr>
          <w:rFonts w:ascii="Palatino Linotype" w:eastAsiaTheme="minorHAnsi" w:hAnsi="Palatino Linotype"/>
          <w:sz w:val="22"/>
          <w:szCs w:val="22"/>
          <w:lang w:eastAsia="en-US"/>
        </w:rPr>
        <w:t xml:space="preserve"> conformarán comisiones de trabajo las que emitirán conclusiones y recomendaciones que serán consideradas como base para la discusión y aprobación de sus decisiones; </w:t>
      </w:r>
    </w:p>
    <w:p w14:paraId="2AAFF8B1" w14:textId="77777777" w:rsidR="00C926A0" w:rsidRPr="0052401C"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3BE47119" w14:textId="567C80A1" w:rsidR="00C926A0" w:rsidRPr="0052401C" w:rsidRDefault="00C926A0" w:rsidP="00327A8D">
      <w:pPr>
        <w:autoSpaceDE w:val="0"/>
        <w:autoSpaceDN w:val="0"/>
        <w:adjustRightInd w:val="0"/>
        <w:ind w:left="709" w:hanging="709"/>
        <w:jc w:val="both"/>
        <w:rPr>
          <w:rFonts w:ascii="Palatino Linotype" w:eastAsiaTheme="minorHAnsi" w:hAnsi="Palatino Linotype"/>
          <w:i/>
          <w:sz w:val="22"/>
          <w:szCs w:val="22"/>
          <w:lang w:eastAsia="en-US"/>
        </w:rPr>
      </w:pPr>
      <w:r w:rsidRPr="0052401C">
        <w:rPr>
          <w:rFonts w:ascii="Palatino Linotype" w:eastAsiaTheme="minorHAnsi" w:hAnsi="Palatino Linotype"/>
          <w:b/>
          <w:sz w:val="22"/>
          <w:szCs w:val="22"/>
          <w:lang w:eastAsia="en-US"/>
        </w:rPr>
        <w:t>Que</w:t>
      </w:r>
      <w:r w:rsidR="00327A8D" w:rsidRPr="0052401C">
        <w:rPr>
          <w:rFonts w:ascii="Palatino Linotype" w:eastAsiaTheme="minorHAnsi" w:hAnsi="Palatino Linotype"/>
          <w:sz w:val="22"/>
          <w:szCs w:val="22"/>
          <w:lang w:eastAsia="en-US"/>
        </w:rPr>
        <w:tab/>
      </w:r>
      <w:r w:rsidRPr="0052401C">
        <w:rPr>
          <w:rFonts w:ascii="Palatino Linotype" w:eastAsiaTheme="minorHAnsi" w:hAnsi="Palatino Linotype"/>
          <w:sz w:val="22"/>
          <w:szCs w:val="22"/>
          <w:lang w:eastAsia="en-US"/>
        </w:rPr>
        <w:t xml:space="preserve">el artículo 424 del COOTAD señala: </w:t>
      </w:r>
      <w:r w:rsidRPr="0052401C">
        <w:rPr>
          <w:rFonts w:ascii="Palatino Linotype" w:eastAsiaTheme="minorHAnsi" w:hAnsi="Palatino Linotype"/>
          <w:i/>
          <w:sz w:val="22"/>
          <w:szCs w:val="22"/>
          <w:lang w:eastAsia="en-US"/>
        </w:rPr>
        <w:t>“Área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w:t>
      </w:r>
      <w:r w:rsidR="00464216">
        <w:rPr>
          <w:rFonts w:ascii="Palatino Linotype" w:eastAsiaTheme="minorHAnsi" w:hAnsi="Palatino Linotype"/>
          <w:i/>
          <w:sz w:val="22"/>
          <w:szCs w:val="22"/>
          <w:lang w:eastAsia="en-US"/>
        </w:rPr>
        <w:t xml:space="preserve">banización y lotización (...)”; </w:t>
      </w:r>
    </w:p>
    <w:p w14:paraId="45D39AE8" w14:textId="77777777" w:rsidR="00C926A0" w:rsidRPr="0052401C" w:rsidRDefault="00C926A0" w:rsidP="00327A8D">
      <w:pPr>
        <w:autoSpaceDE w:val="0"/>
        <w:autoSpaceDN w:val="0"/>
        <w:adjustRightInd w:val="0"/>
        <w:ind w:left="709" w:hanging="709"/>
        <w:jc w:val="both"/>
        <w:rPr>
          <w:rFonts w:ascii="Palatino Linotype" w:eastAsiaTheme="minorHAnsi" w:hAnsi="Palatino Linotype"/>
          <w:i/>
          <w:sz w:val="22"/>
          <w:szCs w:val="22"/>
          <w:lang w:eastAsia="en-US"/>
        </w:rPr>
      </w:pPr>
    </w:p>
    <w:p w14:paraId="61EA936A" w14:textId="3DA262D9" w:rsidR="00C926A0" w:rsidRPr="0052401C"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52401C">
        <w:rPr>
          <w:rFonts w:ascii="Palatino Linotype" w:eastAsiaTheme="minorHAnsi" w:hAnsi="Palatino Linotype"/>
          <w:b/>
          <w:sz w:val="22"/>
          <w:szCs w:val="22"/>
          <w:lang w:eastAsia="en-US"/>
        </w:rPr>
        <w:t>Que</w:t>
      </w:r>
      <w:r w:rsidR="00327A8D" w:rsidRPr="0052401C">
        <w:rPr>
          <w:rFonts w:ascii="Palatino Linotype" w:eastAsiaTheme="minorHAnsi" w:hAnsi="Palatino Linotype"/>
          <w:sz w:val="22"/>
          <w:szCs w:val="22"/>
          <w:lang w:eastAsia="en-US"/>
        </w:rPr>
        <w:tab/>
      </w:r>
      <w:r w:rsidRPr="0052401C">
        <w:rPr>
          <w:rFonts w:ascii="Palatino Linotype" w:eastAsiaTheme="minorHAnsi" w:hAnsi="Palatino Linotype"/>
          <w:sz w:val="22"/>
          <w:szCs w:val="22"/>
          <w:lang w:eastAsia="en-US"/>
        </w:rPr>
        <w:t xml:space="preserve">el artículo 472 del COOTAD señala que: </w:t>
      </w:r>
      <w:r w:rsidRPr="0052401C">
        <w:rPr>
          <w:rFonts w:ascii="Palatino Linotype" w:eastAsiaTheme="minorHAnsi" w:hAnsi="Palatino Linotype"/>
          <w:i/>
          <w:sz w:val="22"/>
          <w:szCs w:val="22"/>
          <w:lang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52401C">
        <w:rPr>
          <w:rFonts w:ascii="Palatino Linotype" w:eastAsiaTheme="minorHAnsi" w:hAnsi="Palatino Linotype"/>
          <w:sz w:val="22"/>
          <w:szCs w:val="22"/>
          <w:lang w:eastAsia="en-US"/>
        </w:rPr>
        <w:t>;</w:t>
      </w:r>
    </w:p>
    <w:p w14:paraId="56DD8537" w14:textId="77777777" w:rsidR="00B10E7C" w:rsidRPr="0052401C" w:rsidRDefault="00B10E7C" w:rsidP="00327A8D">
      <w:pPr>
        <w:autoSpaceDE w:val="0"/>
        <w:autoSpaceDN w:val="0"/>
        <w:adjustRightInd w:val="0"/>
        <w:ind w:left="709" w:hanging="709"/>
        <w:jc w:val="both"/>
        <w:rPr>
          <w:rFonts w:ascii="Palatino Linotype" w:eastAsiaTheme="minorHAnsi" w:hAnsi="Palatino Linotype"/>
          <w:sz w:val="22"/>
          <w:szCs w:val="22"/>
          <w:lang w:eastAsia="en-US"/>
        </w:rPr>
      </w:pPr>
    </w:p>
    <w:p w14:paraId="3630C45A" w14:textId="215D9CEE" w:rsidR="00B10E7C" w:rsidRPr="0052401C" w:rsidRDefault="00B10E7C" w:rsidP="00B10E7C">
      <w:pPr>
        <w:autoSpaceDE w:val="0"/>
        <w:autoSpaceDN w:val="0"/>
        <w:adjustRightInd w:val="0"/>
        <w:ind w:left="709" w:hanging="709"/>
        <w:jc w:val="both"/>
        <w:rPr>
          <w:rFonts w:ascii="Palatino Linotype" w:eastAsiaTheme="minorHAnsi" w:hAnsi="Palatino Linotype"/>
          <w:sz w:val="22"/>
          <w:szCs w:val="22"/>
          <w:lang w:eastAsia="en-US"/>
        </w:rPr>
      </w:pPr>
      <w:r w:rsidRPr="0052401C">
        <w:rPr>
          <w:rFonts w:ascii="Palatino Linotype" w:eastAsiaTheme="minorHAnsi" w:hAnsi="Palatino Linotype"/>
          <w:b/>
          <w:sz w:val="22"/>
          <w:szCs w:val="22"/>
          <w:lang w:eastAsia="en-US"/>
        </w:rPr>
        <w:t>Que</w:t>
      </w:r>
      <w:r w:rsidRPr="0052401C">
        <w:rPr>
          <w:rFonts w:ascii="Palatino Linotype" w:eastAsiaTheme="minorHAnsi" w:hAnsi="Palatino Linotype"/>
          <w:sz w:val="22"/>
          <w:szCs w:val="22"/>
          <w:lang w:eastAsia="en-US"/>
        </w:rPr>
        <w:tab/>
        <w:t xml:space="preserve">el artículo 473 del COOTAD señala que: </w:t>
      </w:r>
      <w:r w:rsidRPr="0052401C">
        <w:rPr>
          <w:rFonts w:ascii="Palatino Linotype" w:eastAsiaTheme="minorHAnsi" w:hAnsi="Palatino Linotype"/>
          <w:i/>
          <w:sz w:val="22"/>
          <w:szCs w:val="22"/>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52401C">
        <w:rPr>
          <w:rFonts w:ascii="Palatino Linotype" w:eastAsiaTheme="minorHAnsi" w:hAnsi="Palatino Linotype"/>
          <w:sz w:val="22"/>
          <w:szCs w:val="22"/>
          <w:lang w:eastAsia="en-US"/>
        </w:rPr>
        <w:t>;</w:t>
      </w:r>
    </w:p>
    <w:p w14:paraId="7F26413D" w14:textId="437FF906" w:rsidR="00C926A0"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3811CACA" w14:textId="77777777" w:rsidR="00A076A1" w:rsidRPr="0052401C" w:rsidRDefault="00A076A1" w:rsidP="00A076A1">
      <w:pPr>
        <w:autoSpaceDE w:val="0"/>
        <w:autoSpaceDN w:val="0"/>
        <w:adjustRightInd w:val="0"/>
        <w:ind w:left="709" w:hanging="709"/>
        <w:jc w:val="both"/>
        <w:rPr>
          <w:rFonts w:ascii="Palatino Linotype" w:eastAsiaTheme="minorHAnsi" w:hAnsi="Palatino Linotype"/>
          <w:sz w:val="22"/>
          <w:szCs w:val="22"/>
          <w:lang w:eastAsia="en-US"/>
        </w:rPr>
      </w:pPr>
      <w:r w:rsidRPr="0052401C">
        <w:rPr>
          <w:rFonts w:ascii="Palatino Linotype" w:eastAsiaTheme="minorHAnsi" w:hAnsi="Palatino Linotype"/>
          <w:b/>
          <w:sz w:val="22"/>
          <w:szCs w:val="22"/>
          <w:lang w:eastAsia="en-US"/>
        </w:rPr>
        <w:t>Que</w:t>
      </w:r>
      <w:r w:rsidRPr="0052401C">
        <w:rPr>
          <w:rFonts w:ascii="Palatino Linotype" w:eastAsiaTheme="minorHAnsi" w:hAnsi="Palatino Linotype"/>
          <w:b/>
          <w:sz w:val="22"/>
          <w:szCs w:val="22"/>
          <w:lang w:eastAsia="en-US"/>
        </w:rPr>
        <w:tab/>
      </w:r>
      <w:r w:rsidRPr="0052401C">
        <w:rPr>
          <w:rFonts w:ascii="Palatino Linotype" w:eastAsiaTheme="minorHAnsi" w:hAnsi="Palatino Linotype"/>
          <w:sz w:val="22"/>
          <w:szCs w:val="22"/>
          <w:lang w:eastAsia="en-US"/>
        </w:rPr>
        <w:t>el numeral 1, del artículo 2 de la Ley de Régimen para el Distrito Metropolitano de Quito, determina, como finalidad, que el Municipio del Distrito Metropolitano de Quito: “</w:t>
      </w:r>
      <w:r w:rsidRPr="0052401C">
        <w:rPr>
          <w:rFonts w:ascii="Palatino Linotype" w:eastAsiaTheme="minorHAnsi" w:hAnsi="Palatino Linotype"/>
          <w:i/>
          <w:iCs/>
          <w:sz w:val="22"/>
          <w:szCs w:val="22"/>
          <w:lang w:eastAsia="en-US"/>
        </w:rPr>
        <w:t xml:space="preserve">regulará el uso y la adecuada ocupación del suelo y ejercerá control sobre el mismo </w:t>
      </w:r>
      <w:r w:rsidRPr="0052401C">
        <w:rPr>
          <w:rFonts w:ascii="Palatino Linotype" w:eastAsiaTheme="minorHAnsi" w:hAnsi="Palatino Linotype"/>
          <w:i/>
          <w:iCs/>
          <w:sz w:val="22"/>
          <w:szCs w:val="22"/>
          <w:lang w:eastAsia="en-US"/>
        </w:rPr>
        <w:lastRenderedPageBreak/>
        <w:t>con competencia exclusiva y privativa. De igual manera regulará y controlará, con competencia exclusiva y privativa las construcciones o edificaciones, su estado, utilización y condiciones”</w:t>
      </w:r>
      <w:r w:rsidRPr="0052401C">
        <w:rPr>
          <w:rFonts w:ascii="Palatino Linotype" w:eastAsiaTheme="minorHAnsi" w:hAnsi="Palatino Linotype"/>
          <w:sz w:val="22"/>
          <w:szCs w:val="22"/>
          <w:lang w:eastAsia="en-US"/>
        </w:rPr>
        <w:t>;</w:t>
      </w:r>
    </w:p>
    <w:p w14:paraId="1F812E47" w14:textId="77777777" w:rsidR="00A076A1" w:rsidRPr="0052401C" w:rsidRDefault="00A076A1" w:rsidP="00327A8D">
      <w:pPr>
        <w:autoSpaceDE w:val="0"/>
        <w:autoSpaceDN w:val="0"/>
        <w:adjustRightInd w:val="0"/>
        <w:ind w:left="709" w:hanging="709"/>
        <w:jc w:val="both"/>
        <w:rPr>
          <w:rFonts w:ascii="Palatino Linotype" w:eastAsiaTheme="minorHAnsi" w:hAnsi="Palatino Linotype"/>
          <w:sz w:val="22"/>
          <w:szCs w:val="22"/>
          <w:lang w:eastAsia="en-US"/>
        </w:rPr>
      </w:pPr>
    </w:p>
    <w:p w14:paraId="79A1CB66" w14:textId="19B6F766" w:rsidR="00FE4F27" w:rsidRPr="0052401C" w:rsidRDefault="00FE4F27" w:rsidP="00FE4F27">
      <w:pPr>
        <w:autoSpaceDE w:val="0"/>
        <w:autoSpaceDN w:val="0"/>
        <w:adjustRightInd w:val="0"/>
        <w:ind w:left="709" w:hanging="709"/>
        <w:jc w:val="both"/>
        <w:rPr>
          <w:rFonts w:ascii="Palatino Linotype" w:eastAsiaTheme="minorHAnsi" w:hAnsi="Palatino Linotype"/>
          <w:i/>
          <w:sz w:val="22"/>
          <w:szCs w:val="22"/>
          <w:lang w:eastAsia="en-US"/>
        </w:rPr>
      </w:pPr>
      <w:r w:rsidRPr="0052401C">
        <w:rPr>
          <w:rFonts w:ascii="Palatino Linotype" w:eastAsiaTheme="minorHAnsi" w:hAnsi="Palatino Linotype"/>
          <w:b/>
          <w:sz w:val="22"/>
          <w:szCs w:val="22"/>
          <w:lang w:eastAsia="en-US"/>
        </w:rPr>
        <w:t>Que</w:t>
      </w:r>
      <w:r w:rsidRPr="0052401C">
        <w:rPr>
          <w:rFonts w:ascii="Palatino Linotype" w:eastAsiaTheme="minorHAnsi" w:hAnsi="Palatino Linotype"/>
          <w:sz w:val="22"/>
          <w:szCs w:val="22"/>
          <w:lang w:eastAsia="en-US"/>
        </w:rPr>
        <w:tab/>
        <w:t xml:space="preserve">el artículo 2410 del Código Civil Ecuatoriano determina que: </w:t>
      </w:r>
      <w:r w:rsidRPr="0052401C">
        <w:rPr>
          <w:rFonts w:ascii="Palatino Linotype" w:eastAsiaTheme="minorHAnsi" w:hAnsi="Palatino Linotype"/>
          <w:i/>
          <w:sz w:val="22"/>
          <w:szCs w:val="22"/>
          <w:lang w:eastAsia="en-US"/>
        </w:rPr>
        <w:t xml:space="preserve">“dominio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basta la posesión material en los términos del Art. 715; 3. Se presume en ella de derecho la buena fe, sin embargo de la falta de un título adquisitivo de dominio…”; </w:t>
      </w:r>
    </w:p>
    <w:p w14:paraId="4F050D34" w14:textId="77777777" w:rsidR="00FE4F27" w:rsidRPr="0052401C" w:rsidRDefault="00FE4F27" w:rsidP="00FE4F27">
      <w:pPr>
        <w:autoSpaceDE w:val="0"/>
        <w:autoSpaceDN w:val="0"/>
        <w:adjustRightInd w:val="0"/>
        <w:jc w:val="both"/>
        <w:rPr>
          <w:rFonts w:ascii="Palatino Linotype" w:hAnsi="Palatino Linotype"/>
          <w:sz w:val="22"/>
          <w:szCs w:val="22"/>
        </w:rPr>
      </w:pPr>
    </w:p>
    <w:p w14:paraId="7E130C29" w14:textId="2DBBBFC8" w:rsidR="00FE4F27" w:rsidRPr="0052401C" w:rsidRDefault="00FE4F27" w:rsidP="00FE4F27">
      <w:pPr>
        <w:autoSpaceDE w:val="0"/>
        <w:autoSpaceDN w:val="0"/>
        <w:adjustRightInd w:val="0"/>
        <w:ind w:left="709" w:hanging="709"/>
        <w:jc w:val="both"/>
        <w:rPr>
          <w:rFonts w:ascii="Palatino Linotype" w:hAnsi="Palatino Linotype"/>
          <w:sz w:val="22"/>
          <w:szCs w:val="22"/>
        </w:rPr>
      </w:pPr>
      <w:r w:rsidRPr="0052401C">
        <w:rPr>
          <w:rFonts w:ascii="Palatino Linotype" w:eastAsiaTheme="minorHAnsi" w:hAnsi="Palatino Linotype"/>
          <w:b/>
          <w:sz w:val="22"/>
          <w:szCs w:val="22"/>
          <w:lang w:eastAsia="en-US"/>
        </w:rPr>
        <w:t>Que</w:t>
      </w:r>
      <w:r w:rsidRPr="0052401C">
        <w:rPr>
          <w:rFonts w:ascii="Palatino Linotype" w:eastAsiaTheme="minorHAnsi" w:hAnsi="Palatino Linotype"/>
          <w:sz w:val="22"/>
          <w:szCs w:val="22"/>
          <w:lang w:eastAsia="en-US"/>
        </w:rPr>
        <w:t xml:space="preserve"> </w:t>
      </w:r>
      <w:r w:rsidRPr="0052401C">
        <w:rPr>
          <w:rFonts w:ascii="Palatino Linotype" w:eastAsiaTheme="minorHAnsi" w:hAnsi="Palatino Linotype"/>
          <w:sz w:val="22"/>
          <w:szCs w:val="22"/>
          <w:lang w:eastAsia="en-US"/>
        </w:rPr>
        <w:tab/>
        <w:t xml:space="preserve">el Código Municipal para el Distrito Metropolitano de Quito, en adelante Código Municipal, en su artículo 2556, establece que: </w:t>
      </w:r>
      <w:r w:rsidRPr="0052401C">
        <w:rPr>
          <w:rFonts w:ascii="Palatino Linotype" w:eastAsiaTheme="minorHAnsi" w:hAnsi="Palatino Linotype"/>
          <w:i/>
          <w:sz w:val="22"/>
          <w:szCs w:val="22"/>
          <w:lang w:eastAsia="en-US"/>
        </w:rPr>
        <w:t>“Los proyectos de subdivisión tienen por finalidad dividir y habilitar lotes, conforme el aprovechamiento urbanístico establecido en el Plan de Uso y Gestión del Suelo y planes urbanísticos complementarios. En todos los casos deberá observarse el lote mínimo establecido en la normativa vigente.”;</w:t>
      </w:r>
    </w:p>
    <w:p w14:paraId="3BC67136" w14:textId="77777777" w:rsidR="00FE4F27" w:rsidRPr="0052401C" w:rsidRDefault="00FE4F27" w:rsidP="00FE4F27">
      <w:pPr>
        <w:autoSpaceDE w:val="0"/>
        <w:autoSpaceDN w:val="0"/>
        <w:adjustRightInd w:val="0"/>
        <w:ind w:left="709" w:hanging="709"/>
        <w:jc w:val="both"/>
        <w:rPr>
          <w:rFonts w:ascii="Palatino Linotype" w:hAnsi="Palatino Linotype"/>
          <w:sz w:val="22"/>
          <w:szCs w:val="22"/>
        </w:rPr>
      </w:pPr>
    </w:p>
    <w:p w14:paraId="46F2093F" w14:textId="16B92384" w:rsidR="00FE4F27" w:rsidRPr="0052401C" w:rsidRDefault="00FE4F27" w:rsidP="00FE4F27">
      <w:pPr>
        <w:autoSpaceDE w:val="0"/>
        <w:autoSpaceDN w:val="0"/>
        <w:adjustRightInd w:val="0"/>
        <w:ind w:left="709" w:hanging="709"/>
        <w:jc w:val="both"/>
        <w:rPr>
          <w:rFonts w:ascii="Palatino Linotype" w:eastAsiaTheme="minorHAnsi" w:hAnsi="Palatino Linotype"/>
          <w:i/>
          <w:sz w:val="22"/>
          <w:szCs w:val="22"/>
          <w:lang w:eastAsia="en-US"/>
        </w:rPr>
      </w:pPr>
      <w:r w:rsidRPr="0052401C">
        <w:rPr>
          <w:rFonts w:ascii="Palatino Linotype" w:eastAsiaTheme="minorHAnsi" w:hAnsi="Palatino Linotype"/>
          <w:b/>
          <w:sz w:val="22"/>
          <w:szCs w:val="22"/>
          <w:lang w:eastAsia="en-US"/>
        </w:rPr>
        <w:t>Que</w:t>
      </w:r>
      <w:r w:rsidRPr="0052401C">
        <w:rPr>
          <w:rFonts w:ascii="Palatino Linotype" w:eastAsiaTheme="minorHAnsi" w:hAnsi="Palatino Linotype"/>
          <w:sz w:val="22"/>
          <w:szCs w:val="22"/>
          <w:lang w:eastAsia="en-US"/>
        </w:rPr>
        <w:t xml:space="preserve"> </w:t>
      </w:r>
      <w:r w:rsidRPr="0052401C">
        <w:rPr>
          <w:rFonts w:ascii="Palatino Linotype" w:eastAsiaTheme="minorHAnsi" w:hAnsi="Palatino Linotype"/>
          <w:sz w:val="22"/>
          <w:szCs w:val="22"/>
          <w:lang w:eastAsia="en-US"/>
        </w:rPr>
        <w:tab/>
        <w:t xml:space="preserve">el Código Municipal en su artículo 2567 establece: </w:t>
      </w:r>
      <w:r w:rsidRPr="0052401C">
        <w:rPr>
          <w:rFonts w:ascii="Palatino Linotype" w:eastAsiaTheme="minorHAnsi" w:hAnsi="Palatino Linotype"/>
          <w:i/>
          <w:sz w:val="22"/>
          <w:szCs w:val="22"/>
          <w:lang w:eastAsia="en-US"/>
        </w:rPr>
        <w:t>“En Particiones judiciales de inmuebles con áreas inferiores a 3000.00 m2, si la contribución del 15% del área verde y área comunitaria en forma de cesión gratuita y obligatoria es menor al lote mínimo asignado en la edificabilidad vigente, el administrado compensará el equivalente al 15% en valor monetario según el avalúo catastral actualizado. En el caso de la sentencia ejecutoriada dictada dentro del juicio de prescripción extraordinaria adquisitiva de dominio, de una parte, de un lote que obliga a un fraccionamiento, se deberá calcular el aporte del 15% del área útil adquirida mediante sentencia. (…)”</w:t>
      </w:r>
      <w:r w:rsidRPr="0052401C">
        <w:rPr>
          <w:rFonts w:ascii="Palatino Linotype" w:eastAsiaTheme="minorHAnsi" w:hAnsi="Palatino Linotype"/>
          <w:sz w:val="22"/>
          <w:szCs w:val="22"/>
          <w:lang w:eastAsia="en-US"/>
        </w:rPr>
        <w:t>;</w:t>
      </w:r>
      <w:r w:rsidRPr="0052401C">
        <w:rPr>
          <w:rFonts w:ascii="Palatino Linotype" w:eastAsiaTheme="minorHAnsi" w:hAnsi="Palatino Linotype"/>
          <w:i/>
          <w:sz w:val="22"/>
          <w:szCs w:val="22"/>
          <w:lang w:eastAsia="en-US"/>
        </w:rPr>
        <w:t xml:space="preserve">  </w:t>
      </w:r>
    </w:p>
    <w:p w14:paraId="4E598D8D" w14:textId="77777777" w:rsidR="00C926A0" w:rsidRPr="0052401C" w:rsidRDefault="00C926A0" w:rsidP="00327A8D">
      <w:pPr>
        <w:autoSpaceDE w:val="0"/>
        <w:autoSpaceDN w:val="0"/>
        <w:adjustRightInd w:val="0"/>
        <w:ind w:left="709" w:hanging="709"/>
        <w:jc w:val="both"/>
        <w:rPr>
          <w:rFonts w:ascii="Palatino Linotype" w:eastAsiaTheme="minorHAnsi" w:hAnsi="Palatino Linotype"/>
          <w:sz w:val="22"/>
          <w:szCs w:val="22"/>
          <w:highlight w:val="yellow"/>
          <w:lang w:eastAsia="en-US"/>
        </w:rPr>
      </w:pPr>
    </w:p>
    <w:p w14:paraId="5C9847FE" w14:textId="7D824AAC" w:rsidR="00027D50" w:rsidRPr="0052401C" w:rsidRDefault="00027D50" w:rsidP="00327A8D">
      <w:pPr>
        <w:autoSpaceDE w:val="0"/>
        <w:autoSpaceDN w:val="0"/>
        <w:adjustRightInd w:val="0"/>
        <w:ind w:left="708" w:hanging="708"/>
        <w:jc w:val="both"/>
        <w:rPr>
          <w:rFonts w:ascii="Palatino Linotype" w:eastAsiaTheme="minorHAnsi" w:hAnsi="Palatino Linotype"/>
          <w:sz w:val="22"/>
          <w:szCs w:val="22"/>
          <w:lang w:eastAsia="en-US"/>
        </w:rPr>
      </w:pPr>
      <w:r w:rsidRPr="0052401C">
        <w:rPr>
          <w:rFonts w:ascii="Palatino Linotype" w:eastAsiaTheme="minorHAnsi" w:hAnsi="Palatino Linotype"/>
          <w:b/>
          <w:sz w:val="22"/>
          <w:szCs w:val="22"/>
          <w:lang w:eastAsia="en-US"/>
        </w:rPr>
        <w:t>Que</w:t>
      </w:r>
      <w:r w:rsidR="00327A8D" w:rsidRPr="0052401C">
        <w:rPr>
          <w:rFonts w:ascii="Palatino Linotype" w:eastAsiaTheme="minorHAnsi" w:hAnsi="Palatino Linotype"/>
          <w:sz w:val="22"/>
          <w:szCs w:val="22"/>
          <w:lang w:eastAsia="en-US"/>
        </w:rPr>
        <w:tab/>
      </w:r>
      <w:r w:rsidRPr="0052401C">
        <w:rPr>
          <w:rFonts w:ascii="Palatino Linotype" w:eastAsiaTheme="minorHAnsi" w:hAnsi="Palatino Linotype"/>
          <w:sz w:val="22"/>
          <w:szCs w:val="22"/>
          <w:lang w:eastAsia="en-US"/>
        </w:rPr>
        <w:t>mediante oficio Nro.</w:t>
      </w:r>
      <w:r w:rsidRPr="0052401C">
        <w:rPr>
          <w:rFonts w:ascii="Palatino Linotype" w:hAnsi="Palatino Linotype"/>
          <w:sz w:val="22"/>
          <w:szCs w:val="22"/>
        </w:rPr>
        <w:t xml:space="preserve"> 2950-2010 de 31 de octubre de 2011</w:t>
      </w:r>
      <w:r w:rsidRPr="0052401C">
        <w:rPr>
          <w:rFonts w:ascii="Palatino Linotype" w:eastAsiaTheme="minorHAnsi" w:hAnsi="Palatino Linotype"/>
          <w:sz w:val="22"/>
          <w:szCs w:val="22"/>
          <w:lang w:eastAsia="en-US"/>
        </w:rPr>
        <w:t xml:space="preserve"> la Procuraduría Metropolitana emitió un </w:t>
      </w:r>
      <w:r w:rsidRPr="0052401C">
        <w:rPr>
          <w:rFonts w:ascii="Palatino Linotype" w:hAnsi="Palatino Linotype"/>
          <w:sz w:val="22"/>
          <w:szCs w:val="22"/>
        </w:rPr>
        <w:t xml:space="preserve">pronunciamiento en forma general, respecto al marco legal y operativo para todos los casos de </w:t>
      </w:r>
      <w:r w:rsidRPr="0052401C">
        <w:rPr>
          <w:rFonts w:ascii="Palatino Linotype" w:eastAsiaTheme="minorHAnsi" w:hAnsi="Palatino Linotype"/>
          <w:sz w:val="22"/>
          <w:szCs w:val="22"/>
          <w:lang w:eastAsia="en-US"/>
        </w:rPr>
        <w:t>prescripción extraordinaria adquisitiva de dominio;</w:t>
      </w:r>
    </w:p>
    <w:p w14:paraId="0A77A64B" w14:textId="77777777" w:rsidR="009859A6" w:rsidRPr="0052401C" w:rsidRDefault="009859A6" w:rsidP="00327A8D">
      <w:pPr>
        <w:autoSpaceDE w:val="0"/>
        <w:autoSpaceDN w:val="0"/>
        <w:adjustRightInd w:val="0"/>
        <w:ind w:left="708" w:hanging="708"/>
        <w:jc w:val="both"/>
        <w:rPr>
          <w:rFonts w:ascii="Palatino Linotype" w:eastAsiaTheme="minorHAnsi" w:hAnsi="Palatino Linotype"/>
          <w:sz w:val="22"/>
          <w:szCs w:val="22"/>
          <w:lang w:eastAsia="en-US"/>
        </w:rPr>
      </w:pPr>
    </w:p>
    <w:p w14:paraId="4C5194E2" w14:textId="77777777" w:rsidR="000E40DE" w:rsidRDefault="00931583" w:rsidP="00865A81">
      <w:pPr>
        <w:spacing w:after="160" w:line="259" w:lineRule="auto"/>
        <w:ind w:left="708" w:hanging="708"/>
        <w:jc w:val="both"/>
        <w:rPr>
          <w:rFonts w:ascii="Palatino Linotype" w:hAnsi="Palatino Linotype"/>
          <w:i/>
          <w:sz w:val="22"/>
          <w:szCs w:val="22"/>
          <w:lang w:eastAsia="en-US"/>
        </w:rPr>
      </w:pPr>
      <w:r w:rsidRPr="00865A81">
        <w:rPr>
          <w:rFonts w:ascii="Palatino Linotype" w:eastAsiaTheme="minorHAnsi" w:hAnsi="Palatino Linotype"/>
          <w:b/>
          <w:sz w:val="22"/>
          <w:szCs w:val="22"/>
          <w:lang w:eastAsia="en-US"/>
        </w:rPr>
        <w:t>Que,</w:t>
      </w:r>
      <w:r w:rsidR="00CD51C7" w:rsidRPr="00865A81">
        <w:rPr>
          <w:rFonts w:ascii="Palatino Linotype" w:eastAsiaTheme="minorHAnsi" w:hAnsi="Palatino Linotype"/>
          <w:b/>
          <w:sz w:val="22"/>
          <w:szCs w:val="22"/>
          <w:lang w:eastAsia="en-US"/>
        </w:rPr>
        <w:t xml:space="preserve"> </w:t>
      </w:r>
      <w:r w:rsidR="00865A81">
        <w:rPr>
          <w:rFonts w:ascii="Palatino Linotype" w:hAnsi="Palatino Linotype"/>
          <w:sz w:val="22"/>
          <w:szCs w:val="22"/>
          <w:lang w:eastAsia="en-US"/>
        </w:rPr>
        <w:t>m</w:t>
      </w:r>
      <w:r w:rsidR="005B26F0" w:rsidRPr="00865A81">
        <w:rPr>
          <w:rFonts w:ascii="Palatino Linotype" w:hAnsi="Palatino Linotype"/>
          <w:sz w:val="22"/>
          <w:szCs w:val="22"/>
          <w:lang w:eastAsia="en-US"/>
        </w:rPr>
        <w:t>ediante Sentencia dictada el 15 de abril de 2013, el Juzgado Décimo Segundo de lo</w:t>
      </w:r>
      <w:r w:rsidR="005B26F0" w:rsidRPr="00865A81">
        <w:rPr>
          <w:rFonts w:ascii="Palatino Linotype" w:hAnsi="Palatino Linotype"/>
        </w:rPr>
        <w:t xml:space="preserve"> Civil de Pichincha </w:t>
      </w:r>
      <w:r w:rsidR="005B26F0" w:rsidRPr="00865A81">
        <w:rPr>
          <w:rFonts w:ascii="Palatino Linotype" w:hAnsi="Palatino Linotype"/>
          <w:i/>
        </w:rPr>
        <w:t xml:space="preserve">“(…) </w:t>
      </w:r>
      <w:r w:rsidR="005B26F0" w:rsidRPr="00865A81">
        <w:rPr>
          <w:rFonts w:ascii="Palatino Linotype" w:hAnsi="Palatino Linotype"/>
          <w:i/>
          <w:sz w:val="22"/>
          <w:szCs w:val="22"/>
          <w:lang w:eastAsia="en-US"/>
        </w:rPr>
        <w:t>se acepta la demanda, y en consecuencia, se declara que ha operado la prescripción extraordinaria adquisitiva de dominio a favor de los señores SEGUNDO ALBERTO ROMERO ROMERO y MARIA ROSA ELENA BONILLA CALERO, casados entre sí, del inmueble ubicado en la el Barrio Veracruz pasaje A, S 23-70 de la parroquia de Chillogallo, en el Cantón Quito en la provincia de Pichincha, cuyos linderos: SUR.- Con Miguel Sarango, en una extensión de 14.00m; ORIENTE: Con Pas</w:t>
      </w:r>
      <w:r w:rsidR="005B26F0" w:rsidRPr="00865A81">
        <w:rPr>
          <w:rFonts w:ascii="Palatino Linotype" w:hAnsi="Palatino Linotype"/>
          <w:i/>
        </w:rPr>
        <w:t>a</w:t>
      </w:r>
      <w:r w:rsidR="005B26F0" w:rsidRPr="00865A81">
        <w:rPr>
          <w:rFonts w:ascii="Palatino Linotype" w:hAnsi="Palatino Linotype"/>
          <w:i/>
          <w:sz w:val="22"/>
          <w:szCs w:val="22"/>
          <w:lang w:eastAsia="en-US"/>
        </w:rPr>
        <w:t xml:space="preserve">je </w:t>
      </w:r>
      <w:r w:rsidR="005B26F0" w:rsidRPr="00865A81">
        <w:rPr>
          <w:rFonts w:ascii="Palatino Linotype" w:hAnsi="Palatino Linotype"/>
          <w:i/>
          <w:sz w:val="22"/>
          <w:szCs w:val="22"/>
          <w:lang w:eastAsia="en-US"/>
        </w:rPr>
        <w:lastRenderedPageBreak/>
        <w:t>A, en una extensión de 13.00 m; OCCIDENTE.- Con Alberto</w:t>
      </w:r>
      <w:r w:rsidR="005B26F0" w:rsidRPr="00865A81">
        <w:rPr>
          <w:rFonts w:ascii="Palatino Linotype" w:hAnsi="Palatino Linotype"/>
          <w:i/>
        </w:rPr>
        <w:t xml:space="preserve"> Cajamarca, en una extensión de </w:t>
      </w:r>
      <w:r w:rsidR="005B26F0" w:rsidRPr="00865A81">
        <w:rPr>
          <w:rFonts w:ascii="Palatino Linotype" w:hAnsi="Palatino Linotype"/>
          <w:i/>
          <w:sz w:val="22"/>
          <w:szCs w:val="22"/>
          <w:lang w:eastAsia="en-US"/>
        </w:rPr>
        <w:t>13.00 m.; El área o superficie del inmueble singularizado es de 183,30 rn2.”</w:t>
      </w:r>
      <w:r w:rsidR="005B26F0" w:rsidRPr="00865A81">
        <w:rPr>
          <w:rFonts w:ascii="Palatino Linotype" w:hAnsi="Palatino Linotype"/>
          <w:i/>
          <w:sz w:val="22"/>
          <w:szCs w:val="22"/>
          <w:lang w:eastAsia="en-US"/>
        </w:rPr>
        <w:t xml:space="preserve">; </w:t>
      </w:r>
    </w:p>
    <w:p w14:paraId="0BF89403" w14:textId="1E584710" w:rsidR="00EB3560" w:rsidRPr="000202A1" w:rsidRDefault="000E40DE" w:rsidP="00EB3560">
      <w:pPr>
        <w:spacing w:after="160" w:line="259" w:lineRule="auto"/>
        <w:ind w:left="708" w:hanging="708"/>
        <w:jc w:val="both"/>
        <w:rPr>
          <w:rFonts w:ascii="Palatino Linotype" w:hAnsi="Palatino Linotype"/>
          <w:i/>
          <w:sz w:val="22"/>
          <w:szCs w:val="22"/>
          <w:lang w:val="es-ES_tradnl" w:eastAsia="en-US"/>
        </w:rPr>
      </w:pPr>
      <w:r w:rsidRPr="000202A1">
        <w:rPr>
          <w:rFonts w:ascii="Palatino Linotype" w:hAnsi="Palatino Linotype"/>
          <w:b/>
          <w:sz w:val="22"/>
          <w:szCs w:val="22"/>
          <w:lang w:eastAsia="en-US"/>
        </w:rPr>
        <w:t xml:space="preserve">Que, </w:t>
      </w:r>
      <w:r w:rsidR="00EB3560" w:rsidRPr="000202A1">
        <w:rPr>
          <w:rFonts w:ascii="Palatino Linotype" w:hAnsi="Palatino Linotype"/>
          <w:sz w:val="22"/>
          <w:szCs w:val="22"/>
          <w:lang w:eastAsia="en-US"/>
        </w:rPr>
        <w:t>m</w:t>
      </w:r>
      <w:r w:rsidR="00EB3560" w:rsidRPr="000202A1">
        <w:rPr>
          <w:rFonts w:ascii="Palatino Linotype" w:hAnsi="Palatino Linotype"/>
          <w:sz w:val="22"/>
          <w:szCs w:val="22"/>
          <w:lang w:val="es-ES_tradnl" w:eastAsia="en-US"/>
        </w:rPr>
        <w:t xml:space="preserve">ediante comunicación </w:t>
      </w:r>
      <w:r w:rsidR="00EB3560" w:rsidRPr="000202A1">
        <w:rPr>
          <w:rFonts w:ascii="Palatino Linotype" w:hAnsi="Palatino Linotype"/>
          <w:sz w:val="22"/>
          <w:szCs w:val="22"/>
          <w:lang w:val="es-ES_tradnl"/>
        </w:rPr>
        <w:t>de 18 de noviembre de 2022,</w:t>
      </w:r>
      <w:r w:rsidR="00EB3560" w:rsidRPr="000202A1">
        <w:rPr>
          <w:rFonts w:ascii="Palatino Linotype" w:hAnsi="Palatino Linotype"/>
          <w:sz w:val="22"/>
          <w:szCs w:val="22"/>
          <w:lang w:val="es-ES_tradnl" w:eastAsia="en-US"/>
        </w:rPr>
        <w:t xml:space="preserve"> los señores SEGUNDO ALBERTO ROMERO ROMERO y MARÍA ROSA </w:t>
      </w:r>
      <w:r w:rsidR="00EB3560" w:rsidRPr="000202A1">
        <w:rPr>
          <w:rFonts w:ascii="Palatino Linotype" w:hAnsi="Palatino Linotype"/>
          <w:sz w:val="22"/>
          <w:szCs w:val="22"/>
          <w:lang w:val="es-ES_tradnl"/>
        </w:rPr>
        <w:t>E</w:t>
      </w:r>
      <w:r w:rsidR="00EB3560" w:rsidRPr="000202A1">
        <w:rPr>
          <w:rFonts w:ascii="Palatino Linotype" w:hAnsi="Palatino Linotype"/>
          <w:sz w:val="22"/>
          <w:szCs w:val="22"/>
          <w:lang w:val="es-ES_tradnl" w:eastAsia="en-US"/>
        </w:rPr>
        <w:t xml:space="preserve">LENA BONILLA CALERO, </w:t>
      </w:r>
      <w:r w:rsidR="00EB3560" w:rsidRPr="000202A1">
        <w:rPr>
          <w:rFonts w:ascii="Palatino Linotype" w:hAnsi="Palatino Linotype"/>
          <w:sz w:val="22"/>
          <w:szCs w:val="22"/>
          <w:lang w:val="es-ES_tradnl"/>
        </w:rPr>
        <w:t xml:space="preserve">junto a su abogado patrocinador, Vicente Armando Piñan Mena, solicitan a la Administración Zonal Eloy Alfaro, </w:t>
      </w:r>
      <w:r w:rsidR="00EB3560" w:rsidRPr="000202A1">
        <w:rPr>
          <w:rFonts w:ascii="Palatino Linotype" w:hAnsi="Palatino Linotype"/>
          <w:i/>
          <w:sz w:val="22"/>
          <w:szCs w:val="22"/>
          <w:lang w:val="es-ES_tradnl" w:eastAsia="en-US"/>
        </w:rPr>
        <w:t>“(</w:t>
      </w:r>
      <w:r w:rsidR="00EB3560" w:rsidRPr="000202A1">
        <w:rPr>
          <w:rFonts w:ascii="Palatino Linotype" w:hAnsi="Palatino Linotype"/>
          <w:i/>
          <w:sz w:val="22"/>
          <w:szCs w:val="22"/>
          <w:lang w:val="es-ES_tradnl"/>
        </w:rPr>
        <w:t>…</w:t>
      </w:r>
      <w:r w:rsidR="00EB3560" w:rsidRPr="000202A1">
        <w:rPr>
          <w:rFonts w:ascii="Palatino Linotype" w:hAnsi="Palatino Linotype"/>
          <w:i/>
          <w:sz w:val="22"/>
          <w:szCs w:val="22"/>
          <w:lang w:val="es-ES_tradnl" w:eastAsia="en-US"/>
        </w:rPr>
        <w:t>)</w:t>
      </w:r>
      <w:r w:rsidR="00EB3560" w:rsidRPr="000202A1">
        <w:rPr>
          <w:rFonts w:ascii="Palatino Linotype" w:hAnsi="Palatino Linotype"/>
          <w:i/>
          <w:sz w:val="22"/>
          <w:szCs w:val="22"/>
          <w:lang w:val="es-ES_tradnl"/>
        </w:rPr>
        <w:t xml:space="preserve"> </w:t>
      </w:r>
      <w:r w:rsidR="00EB3560" w:rsidRPr="000202A1">
        <w:rPr>
          <w:rFonts w:ascii="Palatino Linotype" w:hAnsi="Palatino Linotype"/>
          <w:i/>
          <w:sz w:val="22"/>
          <w:szCs w:val="22"/>
          <w:lang w:val="es-ES_tradnl" w:eastAsia="en-US"/>
        </w:rPr>
        <w:t>se sirva emitir el ACTO DE AUTORIZACIÓN DE FRACIONAMIENTO del lote de mayor extensión signado como número dos conforme al área establecida en la sentencia, como podrá observar lo hemos catastrado y ya existe número de predio el mismo que es 3551185 clave catastral 1701022220388085111con</w:t>
      </w:r>
      <w:r w:rsidR="00EB3560" w:rsidRPr="000202A1">
        <w:rPr>
          <w:rFonts w:ascii="Palatino Linotype" w:hAnsi="Palatino Linotype"/>
          <w:i/>
          <w:sz w:val="22"/>
          <w:szCs w:val="22"/>
          <w:lang w:val="es-ES_tradnl"/>
        </w:rPr>
        <w:t>forme sentencia antes referida</w:t>
      </w:r>
      <w:r w:rsidR="00523B1E" w:rsidRPr="000202A1">
        <w:rPr>
          <w:rFonts w:ascii="Palatino Linotype" w:hAnsi="Palatino Linotype"/>
          <w:i/>
          <w:sz w:val="22"/>
          <w:szCs w:val="22"/>
          <w:lang w:val="es-ES_tradnl" w:eastAsia="en-US"/>
        </w:rPr>
        <w:t>”;</w:t>
      </w:r>
    </w:p>
    <w:p w14:paraId="24DF445B" w14:textId="6DB467EA" w:rsidR="001F733D" w:rsidRPr="000202A1" w:rsidRDefault="00AE0BF2" w:rsidP="00327A8D">
      <w:pPr>
        <w:pStyle w:val="Default"/>
        <w:ind w:left="708" w:hanging="708"/>
        <w:jc w:val="both"/>
        <w:rPr>
          <w:sz w:val="22"/>
          <w:szCs w:val="22"/>
        </w:rPr>
      </w:pPr>
      <w:r w:rsidRPr="000202A1">
        <w:rPr>
          <w:b/>
          <w:sz w:val="22"/>
          <w:szCs w:val="22"/>
        </w:rPr>
        <w:t>Q</w:t>
      </w:r>
      <w:r w:rsidR="0013405F" w:rsidRPr="000202A1">
        <w:rPr>
          <w:b/>
          <w:sz w:val="22"/>
          <w:szCs w:val="22"/>
        </w:rPr>
        <w:t>ue</w:t>
      </w:r>
      <w:r w:rsidR="00327A8D" w:rsidRPr="000202A1">
        <w:rPr>
          <w:sz w:val="22"/>
          <w:szCs w:val="22"/>
        </w:rPr>
        <w:tab/>
      </w:r>
      <w:r w:rsidR="0013405F" w:rsidRPr="000202A1">
        <w:rPr>
          <w:sz w:val="22"/>
          <w:szCs w:val="22"/>
        </w:rPr>
        <w:t>m</w:t>
      </w:r>
      <w:r w:rsidR="001F733D" w:rsidRPr="000202A1">
        <w:rPr>
          <w:sz w:val="22"/>
          <w:szCs w:val="22"/>
        </w:rPr>
        <w:t>ediante oficio GADDMQ-PM-2021-03</w:t>
      </w:r>
      <w:r w:rsidR="00AC0982" w:rsidRPr="000202A1">
        <w:rPr>
          <w:sz w:val="22"/>
          <w:szCs w:val="22"/>
        </w:rPr>
        <w:t>96-O de 29 de enero de 2021, el</w:t>
      </w:r>
      <w:r w:rsidR="001F733D" w:rsidRPr="000202A1">
        <w:rPr>
          <w:sz w:val="22"/>
          <w:szCs w:val="22"/>
        </w:rPr>
        <w:t xml:space="preserve"> Dr. Edison Yépez Vinueza, Subp</w:t>
      </w:r>
      <w:r w:rsidR="00E2458D" w:rsidRPr="000202A1">
        <w:rPr>
          <w:sz w:val="22"/>
          <w:szCs w:val="22"/>
        </w:rPr>
        <w:t xml:space="preserve">rocurador Metropolitano, señala: </w:t>
      </w:r>
      <w:r w:rsidR="001F733D" w:rsidRPr="000202A1">
        <w:rPr>
          <w:sz w:val="22"/>
          <w:szCs w:val="22"/>
        </w:rPr>
        <w:t xml:space="preserve"> </w:t>
      </w:r>
    </w:p>
    <w:p w14:paraId="244E15DA" w14:textId="77777777" w:rsidR="001F733D" w:rsidRPr="0052401C" w:rsidRDefault="001F733D" w:rsidP="00327A8D">
      <w:pPr>
        <w:tabs>
          <w:tab w:val="left" w:pos="426"/>
        </w:tabs>
        <w:ind w:left="1416" w:right="566"/>
        <w:jc w:val="both"/>
        <w:rPr>
          <w:rFonts w:ascii="Palatino Linotype" w:hAnsi="Palatino Linotype"/>
          <w:i/>
          <w:sz w:val="22"/>
          <w:szCs w:val="22"/>
        </w:rPr>
      </w:pPr>
    </w:p>
    <w:p w14:paraId="62A907E9" w14:textId="77777777" w:rsidR="001F733D" w:rsidRPr="0052401C" w:rsidRDefault="001F733D" w:rsidP="00327A8D">
      <w:pPr>
        <w:tabs>
          <w:tab w:val="left" w:pos="284"/>
        </w:tabs>
        <w:ind w:left="708"/>
        <w:jc w:val="both"/>
        <w:rPr>
          <w:rFonts w:ascii="Palatino Linotype" w:hAnsi="Palatino Linotype"/>
          <w:i/>
          <w:sz w:val="22"/>
          <w:szCs w:val="22"/>
        </w:rPr>
      </w:pPr>
      <w:r w:rsidRPr="0052401C">
        <w:rPr>
          <w:rFonts w:ascii="Palatino Linotype" w:hAnsi="Palatino Linotype"/>
          <w:i/>
          <w:sz w:val="22"/>
          <w:szCs w:val="22"/>
        </w:rPr>
        <w:t>“(…) Mediante oficio No. 2950-2010 de 31 de octubre de 2011, la Procuraduría Metropolitana absuelve la consulta planteada por la Secretaría de Coordinación Territorial y Participación Ciudadana, para los casos de fraccionamiento producidos a causa de las sentencias dictadas en juicios de prescripción adquisitiva de dominio y se pronunció respecto del procedimiento a seguir para el cumplimiento y ejecución de dichas sentencias.</w:t>
      </w:r>
    </w:p>
    <w:p w14:paraId="09A16CEF" w14:textId="77777777" w:rsidR="001F733D" w:rsidRPr="0052401C" w:rsidRDefault="001F733D" w:rsidP="00327A8D">
      <w:pPr>
        <w:tabs>
          <w:tab w:val="left" w:pos="284"/>
        </w:tabs>
        <w:ind w:left="708"/>
        <w:jc w:val="both"/>
        <w:rPr>
          <w:rFonts w:ascii="Palatino Linotype" w:hAnsi="Palatino Linotype"/>
          <w:i/>
          <w:sz w:val="22"/>
          <w:szCs w:val="22"/>
        </w:rPr>
      </w:pPr>
      <w:r w:rsidRPr="0052401C">
        <w:rPr>
          <w:rFonts w:ascii="Palatino Linotype" w:hAnsi="Palatino Linotype"/>
          <w:i/>
          <w:sz w:val="22"/>
          <w:szCs w:val="22"/>
        </w:rPr>
        <w:t>En este sentido, corresponde a las Administraciones Zonales determinar en cada caso particular, la aplicación del criterio anteriormente señalado, para lo cual deberá tomar en cuenta en sujeción a la normativa vigente y por tratarse de un fraccionamiento, los parámetros de lote mínimo, frente mínimo y contribución o compensación de áreas verdes.</w:t>
      </w:r>
    </w:p>
    <w:p w14:paraId="10DCC6E6" w14:textId="77777777" w:rsidR="001F733D" w:rsidRPr="0052401C" w:rsidRDefault="001F733D" w:rsidP="00327A8D">
      <w:pPr>
        <w:tabs>
          <w:tab w:val="left" w:pos="284"/>
        </w:tabs>
        <w:ind w:left="708"/>
        <w:jc w:val="both"/>
        <w:rPr>
          <w:rFonts w:ascii="Palatino Linotype" w:hAnsi="Palatino Linotype"/>
          <w:i/>
          <w:sz w:val="22"/>
          <w:szCs w:val="22"/>
        </w:rPr>
      </w:pPr>
      <w:r w:rsidRPr="0052401C">
        <w:rPr>
          <w:rFonts w:ascii="Palatino Linotype" w:hAnsi="Palatino Linotype"/>
          <w:i/>
          <w:sz w:val="22"/>
          <w:szCs w:val="22"/>
        </w:rPr>
        <w:t>En el evento de que la subdivisión que se genere con la ejecución de la sentencia no cumpla con los parámetros de zonificación respecto a lote y frente mínimos, se remitirá el expediente con los informes de la Administración Zonal, para conocimiento y resolución del Concejo Metropolitano.</w:t>
      </w:r>
    </w:p>
    <w:p w14:paraId="00C71045" w14:textId="77777777" w:rsidR="001F733D" w:rsidRPr="0052401C" w:rsidRDefault="001F733D" w:rsidP="00327A8D">
      <w:pPr>
        <w:tabs>
          <w:tab w:val="left" w:pos="284"/>
        </w:tabs>
        <w:ind w:left="708"/>
        <w:jc w:val="both"/>
        <w:rPr>
          <w:rFonts w:ascii="Palatino Linotype" w:hAnsi="Palatino Linotype"/>
          <w:i/>
          <w:sz w:val="22"/>
          <w:szCs w:val="22"/>
        </w:rPr>
      </w:pPr>
      <w:r w:rsidRPr="0052401C">
        <w:rPr>
          <w:rFonts w:ascii="Palatino Linotype" w:hAnsi="Palatino Linotype"/>
          <w:i/>
          <w:sz w:val="22"/>
          <w:szCs w:val="22"/>
        </w:rPr>
        <w:t>Por lo expuesto, las Administraciones Zonales de acuerdo al régimen jurídico aplicable realizarán el análisis de cumplimiento de los parámetros de zonificación y de la contribución o compensación del área verde, e informarán al Concejo Metropolitano, según los supuestos fácticos que presenten cada u</w:t>
      </w:r>
      <w:r w:rsidR="00327A8D" w:rsidRPr="0052401C">
        <w:rPr>
          <w:rFonts w:ascii="Palatino Linotype" w:hAnsi="Palatino Linotype"/>
          <w:i/>
          <w:sz w:val="22"/>
          <w:szCs w:val="22"/>
        </w:rPr>
        <w:t>no de los casos en particular.”;</w:t>
      </w:r>
    </w:p>
    <w:p w14:paraId="6FC7C8B5" w14:textId="2F2F030A" w:rsidR="001F733D" w:rsidRDefault="001F733D" w:rsidP="00327A8D">
      <w:pPr>
        <w:tabs>
          <w:tab w:val="left" w:pos="284"/>
        </w:tabs>
        <w:jc w:val="both"/>
        <w:rPr>
          <w:rFonts w:ascii="Palatino Linotype" w:hAnsi="Palatino Linotype"/>
          <w:i/>
          <w:sz w:val="22"/>
          <w:szCs w:val="22"/>
        </w:rPr>
      </w:pPr>
    </w:p>
    <w:p w14:paraId="3F994818" w14:textId="77E93A89" w:rsidR="00E75C2D" w:rsidRPr="00E75C2D" w:rsidRDefault="009E2AE3" w:rsidP="00727F34">
      <w:pPr>
        <w:tabs>
          <w:tab w:val="left" w:pos="284"/>
        </w:tabs>
        <w:jc w:val="both"/>
        <w:rPr>
          <w:rFonts w:ascii="Palatino Linotype" w:hAnsi="Palatino Linotype"/>
          <w:sz w:val="22"/>
          <w:szCs w:val="22"/>
          <w:lang w:val="es-ES_tradnl"/>
        </w:rPr>
      </w:pPr>
      <w:r w:rsidRPr="009E2AE3">
        <w:rPr>
          <w:rFonts w:ascii="Palatino Linotype" w:hAnsi="Palatino Linotype"/>
          <w:b/>
          <w:sz w:val="22"/>
          <w:szCs w:val="22"/>
        </w:rPr>
        <w:t xml:space="preserve">Que, </w:t>
      </w:r>
      <w:r w:rsidR="004D6FAA">
        <w:rPr>
          <w:rFonts w:ascii="Palatino Linotype" w:hAnsi="Palatino Linotype"/>
          <w:sz w:val="22"/>
          <w:szCs w:val="22"/>
        </w:rPr>
        <w:t xml:space="preserve">mediante </w:t>
      </w:r>
      <w:r w:rsidR="00E75C2D" w:rsidRPr="00E75C2D">
        <w:rPr>
          <w:rFonts w:ascii="Palatino Linotype" w:hAnsi="Palatino Linotype"/>
          <w:sz w:val="22"/>
          <w:szCs w:val="22"/>
          <w:lang w:val="es-ES_tradnl"/>
        </w:rPr>
        <w:t xml:space="preserve">oficios Nos. </w:t>
      </w:r>
      <w:r w:rsidR="00E75C2D" w:rsidRPr="00E75C2D">
        <w:rPr>
          <w:rFonts w:ascii="Palatino Linotype" w:hAnsi="Palatino Linotype"/>
          <w:sz w:val="22"/>
          <w:szCs w:val="22"/>
          <w:lang w:val="es-ES_tradnl" w:eastAsia="en-US"/>
        </w:rPr>
        <w:t>GADDMQ-AZEA-AZ-2023-1891-O</w:t>
      </w:r>
      <w:r w:rsidR="00E75C2D" w:rsidRPr="00E75C2D">
        <w:rPr>
          <w:rFonts w:ascii="Palatino Linotype" w:hAnsi="Palatino Linotype"/>
          <w:sz w:val="22"/>
          <w:szCs w:val="22"/>
          <w:lang w:val="es-ES_tradnl"/>
        </w:rPr>
        <w:t xml:space="preserve"> y </w:t>
      </w:r>
      <w:r w:rsidR="00E75C2D" w:rsidRPr="00E75C2D">
        <w:rPr>
          <w:rFonts w:ascii="Palatino Linotype" w:hAnsi="Palatino Linotype"/>
          <w:sz w:val="22"/>
          <w:szCs w:val="22"/>
          <w:lang w:val="es-ES_tradnl" w:eastAsia="en-US"/>
        </w:rPr>
        <w:t>GADDMQ-AZEA-AZ-2023-1894-O</w:t>
      </w:r>
      <w:r w:rsidR="00E75C2D" w:rsidRPr="00E75C2D">
        <w:rPr>
          <w:rFonts w:ascii="Palatino Linotype" w:hAnsi="Palatino Linotype"/>
          <w:sz w:val="22"/>
          <w:szCs w:val="22"/>
          <w:lang w:val="es-ES_tradnl"/>
        </w:rPr>
        <w:t>, de 20 de julio de 2023, la Administración Zonal Eloy Alfaro, remitió los informes correspondientes para conocimiento de la Comisión de Uso de Suelo:</w:t>
      </w:r>
    </w:p>
    <w:p w14:paraId="766F9E27" w14:textId="77777777" w:rsidR="00E75C2D" w:rsidRPr="00E75C2D" w:rsidRDefault="00E75C2D" w:rsidP="00E75C2D">
      <w:pPr>
        <w:autoSpaceDE w:val="0"/>
        <w:autoSpaceDN w:val="0"/>
        <w:adjustRightInd w:val="0"/>
        <w:ind w:left="1069"/>
        <w:jc w:val="both"/>
        <w:rPr>
          <w:rFonts w:ascii="Palatino Linotype" w:hAnsi="Palatino Linotype"/>
          <w:b/>
          <w:sz w:val="22"/>
          <w:szCs w:val="22"/>
          <w:lang w:val="es-ES_tradnl"/>
        </w:rPr>
      </w:pPr>
    </w:p>
    <w:p w14:paraId="33132B6A" w14:textId="66A81ECF" w:rsidR="00E75C2D" w:rsidRPr="00E75C2D" w:rsidRDefault="00E75C2D" w:rsidP="00E75C2D">
      <w:pPr>
        <w:autoSpaceDE w:val="0"/>
        <w:autoSpaceDN w:val="0"/>
        <w:adjustRightInd w:val="0"/>
        <w:ind w:left="708"/>
        <w:jc w:val="both"/>
        <w:rPr>
          <w:rFonts w:ascii="Palatino Linotype" w:hAnsi="Palatino Linotype"/>
          <w:sz w:val="22"/>
          <w:szCs w:val="22"/>
          <w:lang w:eastAsia="es-EC"/>
        </w:rPr>
      </w:pPr>
      <w:r w:rsidRPr="00E75C2D">
        <w:rPr>
          <w:rFonts w:ascii="Palatino Linotype" w:hAnsi="Palatino Linotype"/>
          <w:sz w:val="22"/>
          <w:szCs w:val="22"/>
          <w:lang w:eastAsia="es-EC"/>
        </w:rPr>
        <w:lastRenderedPageBreak/>
        <w:t xml:space="preserve">Informe Técnico No. GADDMQ-AZEA-DGT-UGU-2023-0139-M de 21 de junio del 2023, el Arq. Marcelo Edwin Ati Pilaquinga, Responsable de la Unidad de Gestión Urbana, señala: </w:t>
      </w:r>
    </w:p>
    <w:p w14:paraId="0175550F" w14:textId="77777777" w:rsidR="00E75C2D" w:rsidRPr="00E75C2D" w:rsidRDefault="00E75C2D" w:rsidP="00E75C2D">
      <w:pPr>
        <w:autoSpaceDE w:val="0"/>
        <w:autoSpaceDN w:val="0"/>
        <w:adjustRightInd w:val="0"/>
        <w:ind w:left="708"/>
        <w:jc w:val="both"/>
        <w:rPr>
          <w:rFonts w:ascii="Palatino Linotype" w:hAnsi="Palatino Linotype"/>
          <w:sz w:val="22"/>
          <w:szCs w:val="22"/>
          <w:lang w:eastAsia="es-EC"/>
        </w:rPr>
      </w:pPr>
    </w:p>
    <w:p w14:paraId="0D4CC1DF" w14:textId="77777777" w:rsidR="00E75C2D" w:rsidRPr="00E75C2D" w:rsidRDefault="00E75C2D" w:rsidP="00E75C2D">
      <w:pPr>
        <w:autoSpaceDE w:val="0"/>
        <w:autoSpaceDN w:val="0"/>
        <w:adjustRightInd w:val="0"/>
        <w:ind w:left="1416"/>
        <w:jc w:val="both"/>
        <w:rPr>
          <w:rFonts w:ascii="Palatino Linotype" w:hAnsi="Palatino Linotype"/>
          <w:b/>
          <w:bCs/>
          <w:iCs/>
          <w:sz w:val="22"/>
          <w:szCs w:val="22"/>
          <w:lang w:val="es-ES_tradnl" w:eastAsia="es-EC"/>
        </w:rPr>
      </w:pPr>
      <w:r w:rsidRPr="00E75C2D">
        <w:rPr>
          <w:rFonts w:ascii="Palatino Linotype" w:hAnsi="Palatino Linotype"/>
          <w:i/>
          <w:sz w:val="22"/>
          <w:szCs w:val="22"/>
          <w:lang w:eastAsia="es-EC"/>
        </w:rPr>
        <w:t>“(</w:t>
      </w:r>
      <w:r w:rsidRPr="00E75C2D">
        <w:rPr>
          <w:rFonts w:ascii="Palatino Linotype" w:hAnsi="Palatino Linotype" w:cs="Symbol"/>
          <w:i/>
          <w:sz w:val="22"/>
          <w:szCs w:val="22"/>
          <w:lang w:eastAsia="es-EC"/>
        </w:rPr>
        <w:t>…</w:t>
      </w:r>
      <w:r w:rsidRPr="00E75C2D">
        <w:rPr>
          <w:rFonts w:ascii="Palatino Linotype" w:hAnsi="Palatino Linotype"/>
          <w:i/>
          <w:sz w:val="22"/>
          <w:szCs w:val="22"/>
          <w:lang w:eastAsia="es-EC"/>
        </w:rPr>
        <w:t xml:space="preserve">) el lote prescrito en mención, </w:t>
      </w:r>
      <w:r w:rsidRPr="00E75C2D">
        <w:rPr>
          <w:rFonts w:ascii="Palatino Linotype" w:hAnsi="Palatino Linotype"/>
          <w:b/>
          <w:bCs/>
          <w:i/>
          <w:sz w:val="22"/>
          <w:szCs w:val="22"/>
          <w:lang w:eastAsia="es-EC"/>
        </w:rPr>
        <w:t xml:space="preserve">NO cumple con las ÁREAS MÍNIMAS ESTABLECIDAS EN LA ORDENANZA, </w:t>
      </w:r>
      <w:r w:rsidRPr="00E75C2D">
        <w:rPr>
          <w:rFonts w:ascii="Palatino Linotype" w:hAnsi="Palatino Linotype"/>
          <w:i/>
          <w:sz w:val="22"/>
          <w:szCs w:val="22"/>
          <w:lang w:eastAsia="es-EC"/>
        </w:rPr>
        <w:t xml:space="preserve">y a la </w:t>
      </w:r>
      <w:r w:rsidRPr="00E75C2D">
        <w:rPr>
          <w:rFonts w:ascii="Palatino Linotype" w:hAnsi="Palatino Linotype"/>
          <w:b/>
          <w:bCs/>
          <w:i/>
          <w:sz w:val="22"/>
          <w:szCs w:val="22"/>
          <w:lang w:eastAsia="es-EC"/>
        </w:rPr>
        <w:t>RESOLUCIÓN Nro. AQ 007-2023</w:t>
      </w:r>
      <w:r w:rsidRPr="00E75C2D">
        <w:rPr>
          <w:rFonts w:ascii="Palatino Linotype" w:hAnsi="Palatino Linotype"/>
          <w:i/>
          <w:sz w:val="22"/>
          <w:szCs w:val="22"/>
          <w:lang w:eastAsia="es-EC"/>
        </w:rPr>
        <w:t xml:space="preserve">, que corresponde a las </w:t>
      </w:r>
      <w:r w:rsidRPr="00E75C2D">
        <w:rPr>
          <w:rFonts w:ascii="Palatino Linotype" w:hAnsi="Palatino Linotype"/>
          <w:b/>
          <w:bCs/>
          <w:i/>
          <w:sz w:val="22"/>
          <w:szCs w:val="22"/>
          <w:lang w:eastAsia="es-EC"/>
        </w:rPr>
        <w:t xml:space="preserve">Reglas Técnicas de Arquitectura y Urbanismo </w:t>
      </w:r>
      <w:r w:rsidRPr="00E75C2D">
        <w:rPr>
          <w:rFonts w:ascii="Palatino Linotype" w:hAnsi="Palatino Linotype"/>
          <w:i/>
          <w:sz w:val="22"/>
          <w:szCs w:val="22"/>
          <w:lang w:eastAsia="es-EC"/>
        </w:rPr>
        <w:t>para el Distrito Metropolitano de Quito, mismas que forman parte integral del cuerpo normativo PUGS, por tanto será el Concejo Metropolitano quien dictamine el trámite correspondiente con el cambio de parámetros de edificabilidad, de la consulta echa a la Procuraduría Metropolitana en el año 2011, se describe los artículos aplicativos para dichas competencias”.</w:t>
      </w:r>
    </w:p>
    <w:p w14:paraId="54B63BF0" w14:textId="77777777" w:rsidR="00E75C2D" w:rsidRPr="00E75C2D" w:rsidRDefault="00E75C2D" w:rsidP="00E75C2D">
      <w:pPr>
        <w:autoSpaceDE w:val="0"/>
        <w:autoSpaceDN w:val="0"/>
        <w:adjustRightInd w:val="0"/>
        <w:ind w:left="708"/>
        <w:jc w:val="both"/>
        <w:rPr>
          <w:rFonts w:ascii="Palatino Linotype" w:hAnsi="Palatino Linotype"/>
          <w:b/>
          <w:bCs/>
          <w:iCs/>
          <w:sz w:val="22"/>
          <w:szCs w:val="22"/>
          <w:lang w:val="es-ES_tradnl" w:eastAsia="es-EC"/>
        </w:rPr>
      </w:pPr>
    </w:p>
    <w:p w14:paraId="6E2646CE" w14:textId="77777777" w:rsidR="00E75C2D" w:rsidRPr="00E75C2D" w:rsidRDefault="00E75C2D" w:rsidP="00E75C2D">
      <w:pPr>
        <w:autoSpaceDE w:val="0"/>
        <w:autoSpaceDN w:val="0"/>
        <w:adjustRightInd w:val="0"/>
        <w:ind w:left="1416"/>
        <w:jc w:val="both"/>
        <w:rPr>
          <w:rFonts w:ascii="Palatino Linotype" w:hAnsi="Palatino Linotype"/>
          <w:i/>
          <w:sz w:val="22"/>
          <w:szCs w:val="22"/>
          <w:lang w:eastAsia="es-EC"/>
        </w:rPr>
      </w:pPr>
      <w:r w:rsidRPr="00E75C2D">
        <w:rPr>
          <w:rFonts w:ascii="Palatino Linotype" w:hAnsi="Palatino Linotype"/>
          <w:i/>
          <w:sz w:val="22"/>
          <w:szCs w:val="22"/>
          <w:lang w:eastAsia="es-EC"/>
        </w:rPr>
        <w:t xml:space="preserve">En el presente informe me permito señalar el artículo sobre la contribución de áreas verdes en base al </w:t>
      </w:r>
      <w:r w:rsidRPr="00E75C2D">
        <w:rPr>
          <w:rFonts w:ascii="Palatino Linotype" w:hAnsi="Palatino Linotype"/>
          <w:b/>
          <w:bCs/>
          <w:i/>
          <w:sz w:val="22"/>
          <w:szCs w:val="22"/>
          <w:lang w:eastAsia="es-EC"/>
        </w:rPr>
        <w:t xml:space="preserve">ORDENANZA METROPOLITANA No. 052-2023, </w:t>
      </w:r>
      <w:r w:rsidRPr="00E75C2D">
        <w:rPr>
          <w:rFonts w:ascii="Palatino Linotype" w:hAnsi="Palatino Linotype"/>
          <w:i/>
          <w:sz w:val="22"/>
          <w:szCs w:val="22"/>
          <w:lang w:eastAsia="es-EC"/>
        </w:rPr>
        <w:t xml:space="preserve">en concordancia con el </w:t>
      </w:r>
      <w:r w:rsidRPr="00E75C2D">
        <w:rPr>
          <w:rFonts w:ascii="Palatino Linotype" w:hAnsi="Palatino Linotype"/>
          <w:b/>
          <w:bCs/>
          <w:i/>
          <w:sz w:val="22"/>
          <w:szCs w:val="22"/>
          <w:lang w:eastAsia="es-EC"/>
        </w:rPr>
        <w:t>Régimen Administrativo del Suelo</w:t>
      </w:r>
      <w:r w:rsidRPr="00E75C2D">
        <w:rPr>
          <w:rFonts w:ascii="Palatino Linotype" w:hAnsi="Palatino Linotype"/>
          <w:i/>
          <w:sz w:val="22"/>
          <w:szCs w:val="22"/>
          <w:lang w:eastAsia="es-EC"/>
        </w:rPr>
        <w:t>.</w:t>
      </w:r>
    </w:p>
    <w:p w14:paraId="4D774279" w14:textId="77777777" w:rsidR="00E75C2D" w:rsidRPr="00E75C2D" w:rsidRDefault="00E75C2D" w:rsidP="00E75C2D">
      <w:pPr>
        <w:autoSpaceDE w:val="0"/>
        <w:autoSpaceDN w:val="0"/>
        <w:adjustRightInd w:val="0"/>
        <w:ind w:left="2124"/>
        <w:jc w:val="both"/>
        <w:rPr>
          <w:rFonts w:ascii="Palatino Linotype" w:hAnsi="Palatino Linotype"/>
          <w:i/>
          <w:sz w:val="22"/>
          <w:szCs w:val="22"/>
          <w:lang w:eastAsia="es-EC"/>
        </w:rPr>
      </w:pPr>
    </w:p>
    <w:p w14:paraId="733DFCB0" w14:textId="77777777" w:rsidR="00E75C2D" w:rsidRPr="00E75C2D" w:rsidRDefault="00E75C2D" w:rsidP="00E75C2D">
      <w:pPr>
        <w:autoSpaceDE w:val="0"/>
        <w:autoSpaceDN w:val="0"/>
        <w:adjustRightInd w:val="0"/>
        <w:ind w:left="1416"/>
        <w:jc w:val="both"/>
        <w:rPr>
          <w:rFonts w:ascii="Palatino Linotype" w:hAnsi="Palatino Linotype"/>
          <w:b/>
          <w:bCs/>
          <w:i/>
          <w:sz w:val="22"/>
          <w:szCs w:val="22"/>
          <w:lang w:eastAsia="es-EC"/>
        </w:rPr>
      </w:pPr>
      <w:r w:rsidRPr="00E75C2D">
        <w:rPr>
          <w:rFonts w:ascii="Palatino Linotype" w:hAnsi="Palatino Linotype"/>
          <w:b/>
          <w:bCs/>
          <w:i/>
          <w:sz w:val="22"/>
          <w:szCs w:val="22"/>
          <w:lang w:eastAsia="es-EC"/>
        </w:rPr>
        <w:t xml:space="preserve">Artículo 2567.-Compensación para áreas verdes, áreas comunitarias en particiones judiciales.- </w:t>
      </w:r>
    </w:p>
    <w:p w14:paraId="2C13D8E3" w14:textId="77777777" w:rsidR="00E75C2D" w:rsidRPr="00E75C2D" w:rsidRDefault="00E75C2D" w:rsidP="00E75C2D">
      <w:pPr>
        <w:autoSpaceDE w:val="0"/>
        <w:autoSpaceDN w:val="0"/>
        <w:adjustRightInd w:val="0"/>
        <w:ind w:left="1416"/>
        <w:jc w:val="both"/>
        <w:rPr>
          <w:rFonts w:ascii="Palatino Linotype" w:hAnsi="Palatino Linotype"/>
          <w:i/>
          <w:sz w:val="22"/>
          <w:szCs w:val="22"/>
          <w:lang w:eastAsia="es-EC"/>
        </w:rPr>
      </w:pPr>
      <w:r w:rsidRPr="00E75C2D">
        <w:rPr>
          <w:rFonts w:ascii="Palatino Linotype" w:hAnsi="Palatino Linotype"/>
          <w:i/>
          <w:sz w:val="22"/>
          <w:szCs w:val="22"/>
          <w:lang w:eastAsia="es-EC"/>
        </w:rPr>
        <w:t>(</w:t>
      </w:r>
      <w:r w:rsidRPr="00E75C2D">
        <w:rPr>
          <w:rFonts w:ascii="Palatino Linotype" w:hAnsi="Palatino Linotype" w:cs="Symbol"/>
          <w:i/>
          <w:sz w:val="22"/>
          <w:szCs w:val="22"/>
          <w:lang w:eastAsia="es-EC"/>
        </w:rPr>
        <w:t>¼</w:t>
      </w:r>
      <w:r w:rsidRPr="00E75C2D">
        <w:rPr>
          <w:rFonts w:ascii="Palatino Linotype" w:hAnsi="Palatino Linotype"/>
          <w:i/>
          <w:sz w:val="22"/>
          <w:szCs w:val="22"/>
          <w:lang w:eastAsia="es-EC"/>
        </w:rPr>
        <w:t>)</w:t>
      </w:r>
    </w:p>
    <w:p w14:paraId="10743424" w14:textId="77777777" w:rsidR="00E75C2D" w:rsidRPr="00E75C2D" w:rsidRDefault="00E75C2D" w:rsidP="00E75C2D">
      <w:pPr>
        <w:autoSpaceDE w:val="0"/>
        <w:autoSpaceDN w:val="0"/>
        <w:adjustRightInd w:val="0"/>
        <w:ind w:left="1416"/>
        <w:jc w:val="both"/>
        <w:rPr>
          <w:rFonts w:ascii="Palatino Linotype" w:hAnsi="Palatino Linotype"/>
          <w:i/>
          <w:sz w:val="22"/>
          <w:szCs w:val="22"/>
          <w:lang w:eastAsia="es-EC"/>
        </w:rPr>
      </w:pPr>
      <w:r w:rsidRPr="00E75C2D">
        <w:rPr>
          <w:rFonts w:ascii="Palatino Linotype" w:hAnsi="Palatino Linotype"/>
          <w:i/>
          <w:sz w:val="22"/>
          <w:szCs w:val="22"/>
          <w:lang w:eastAsia="es-EC"/>
        </w:rPr>
        <w:t xml:space="preserve">“En el caso de sentencia ejecutoriada dictada dentro del </w:t>
      </w:r>
      <w:r w:rsidRPr="00E75C2D">
        <w:rPr>
          <w:rFonts w:ascii="Palatino Linotype" w:hAnsi="Palatino Linotype"/>
          <w:b/>
          <w:bCs/>
          <w:i/>
          <w:sz w:val="22"/>
          <w:szCs w:val="22"/>
          <w:lang w:eastAsia="es-EC"/>
        </w:rPr>
        <w:t xml:space="preserve">juicio de Prescripción Extraordinaria de Dominio </w:t>
      </w:r>
      <w:r w:rsidRPr="00E75C2D">
        <w:rPr>
          <w:rFonts w:ascii="Palatino Linotype" w:hAnsi="Palatino Linotype"/>
          <w:i/>
          <w:sz w:val="22"/>
          <w:szCs w:val="22"/>
          <w:lang w:eastAsia="es-EC"/>
        </w:rPr>
        <w:t>de una parte de un lote que obliga a un fraccionamiento de conformidad a lo estipulado en el artículo 424 reformado del Código Orgánico de Organización Territorial, Autonomía y Descentralización, se deberá calcular el aporte del 15% del área útil adquirida mediante sentencia.</w:t>
      </w:r>
    </w:p>
    <w:p w14:paraId="5500FAFB" w14:textId="77777777" w:rsidR="00E75C2D" w:rsidRPr="00E75C2D" w:rsidRDefault="00E75C2D" w:rsidP="00E75C2D">
      <w:pPr>
        <w:autoSpaceDE w:val="0"/>
        <w:autoSpaceDN w:val="0"/>
        <w:adjustRightInd w:val="0"/>
        <w:ind w:left="1416"/>
        <w:jc w:val="both"/>
        <w:rPr>
          <w:rFonts w:ascii="Palatino Linotype" w:hAnsi="Palatino Linotype"/>
          <w:i/>
          <w:sz w:val="22"/>
          <w:szCs w:val="22"/>
          <w:lang w:eastAsia="es-EC"/>
        </w:rPr>
      </w:pPr>
    </w:p>
    <w:p w14:paraId="21A947FA" w14:textId="77777777" w:rsidR="00E75C2D" w:rsidRPr="00E75C2D" w:rsidRDefault="00E75C2D" w:rsidP="00E75C2D">
      <w:pPr>
        <w:autoSpaceDE w:val="0"/>
        <w:autoSpaceDN w:val="0"/>
        <w:adjustRightInd w:val="0"/>
        <w:ind w:left="1416"/>
        <w:jc w:val="both"/>
        <w:rPr>
          <w:rFonts w:ascii="Palatino Linotype" w:hAnsi="Palatino Linotype"/>
          <w:i/>
          <w:sz w:val="22"/>
          <w:szCs w:val="22"/>
          <w:lang w:eastAsia="es-EC"/>
        </w:rPr>
      </w:pPr>
      <w:r w:rsidRPr="00E75C2D">
        <w:rPr>
          <w:rFonts w:ascii="Palatino Linotype" w:hAnsi="Palatino Linotype"/>
          <w:i/>
          <w:sz w:val="22"/>
          <w:szCs w:val="22"/>
          <w:lang w:eastAsia="es-EC"/>
        </w:rPr>
        <w:t xml:space="preserve">Si el área de la sentencia es inferior a 3000.00m2, la contribución del 15% del área útil adjudicada, </w:t>
      </w:r>
      <w:r w:rsidRPr="00E75C2D">
        <w:rPr>
          <w:rFonts w:ascii="Palatino Linotype" w:hAnsi="Palatino Linotype"/>
          <w:b/>
          <w:bCs/>
          <w:i/>
          <w:sz w:val="22"/>
          <w:szCs w:val="22"/>
          <w:lang w:eastAsia="es-EC"/>
        </w:rPr>
        <w:t>deberá ser compensada por el administrado solicitante de la prescripción</w:t>
      </w:r>
      <w:r w:rsidRPr="00E75C2D">
        <w:rPr>
          <w:rFonts w:ascii="Palatino Linotype" w:hAnsi="Palatino Linotype"/>
          <w:i/>
          <w:sz w:val="22"/>
          <w:szCs w:val="22"/>
          <w:lang w:eastAsia="es-EC"/>
        </w:rPr>
        <w:t>, este lo realizara con el valor monetario según el avaluó catastral actualizado, siempre que sea menor al lote mínimo asignado en la zonificación vigente.”</w:t>
      </w:r>
    </w:p>
    <w:p w14:paraId="763AFEA9" w14:textId="77777777" w:rsidR="00E75C2D" w:rsidRPr="00E75C2D" w:rsidRDefault="00E75C2D" w:rsidP="00E75C2D">
      <w:pPr>
        <w:autoSpaceDE w:val="0"/>
        <w:autoSpaceDN w:val="0"/>
        <w:adjustRightInd w:val="0"/>
        <w:ind w:left="1416"/>
        <w:jc w:val="both"/>
        <w:rPr>
          <w:rFonts w:ascii="Palatino Linotype" w:hAnsi="Palatino Linotype"/>
          <w:i/>
          <w:sz w:val="22"/>
          <w:szCs w:val="22"/>
          <w:lang w:eastAsia="es-EC"/>
        </w:rPr>
      </w:pPr>
    </w:p>
    <w:p w14:paraId="5048861D" w14:textId="77777777" w:rsidR="00E75C2D" w:rsidRPr="00E75C2D" w:rsidRDefault="00E75C2D" w:rsidP="00E75C2D">
      <w:pPr>
        <w:autoSpaceDE w:val="0"/>
        <w:autoSpaceDN w:val="0"/>
        <w:adjustRightInd w:val="0"/>
        <w:ind w:left="1416"/>
        <w:jc w:val="both"/>
        <w:rPr>
          <w:rFonts w:ascii="Palatino Linotype" w:hAnsi="Palatino Linotype"/>
          <w:i/>
          <w:sz w:val="22"/>
          <w:szCs w:val="22"/>
          <w:lang w:eastAsia="es-EC"/>
        </w:rPr>
      </w:pPr>
      <w:r w:rsidRPr="00E75C2D">
        <w:rPr>
          <w:rFonts w:ascii="Palatino Linotype" w:hAnsi="Palatino Linotype"/>
          <w:i/>
          <w:sz w:val="22"/>
          <w:szCs w:val="22"/>
          <w:lang w:eastAsia="es-EC"/>
        </w:rPr>
        <w:t>Los valores que se describen a continuación son referenciales de acuerdo a las Ordenanzas descritas, mismos que para el efecto del trámite definitivo serán revisadas y calculadas por la Unidad de Catastro, unidad competente en el cálculo de contribución de áreas verdes.</w:t>
      </w:r>
    </w:p>
    <w:p w14:paraId="094DF5F5" w14:textId="77777777" w:rsidR="00E75C2D" w:rsidRPr="00E75C2D" w:rsidRDefault="00E75C2D" w:rsidP="00E75C2D">
      <w:pPr>
        <w:autoSpaceDE w:val="0"/>
        <w:autoSpaceDN w:val="0"/>
        <w:adjustRightInd w:val="0"/>
        <w:ind w:left="1416"/>
        <w:jc w:val="both"/>
        <w:rPr>
          <w:rFonts w:ascii="Palatino Linotype" w:hAnsi="Palatino Linotype"/>
          <w:i/>
          <w:sz w:val="22"/>
          <w:szCs w:val="22"/>
          <w:lang w:eastAsia="es-EC"/>
        </w:rPr>
      </w:pPr>
    </w:p>
    <w:p w14:paraId="0EE16F4E" w14:textId="77777777" w:rsidR="00E75C2D" w:rsidRPr="00E75C2D" w:rsidRDefault="00E75C2D" w:rsidP="00E75C2D">
      <w:pPr>
        <w:autoSpaceDE w:val="0"/>
        <w:autoSpaceDN w:val="0"/>
        <w:adjustRightInd w:val="0"/>
        <w:ind w:left="1416"/>
        <w:jc w:val="both"/>
        <w:rPr>
          <w:rFonts w:ascii="Palatino Linotype" w:hAnsi="Palatino Linotype"/>
          <w:i/>
          <w:sz w:val="22"/>
          <w:szCs w:val="22"/>
          <w:lang w:eastAsia="es-EC"/>
        </w:rPr>
      </w:pPr>
      <w:r w:rsidRPr="00E75C2D">
        <w:rPr>
          <w:rFonts w:ascii="Palatino Linotype" w:hAnsi="Palatino Linotype"/>
          <w:i/>
          <w:sz w:val="22"/>
          <w:szCs w:val="22"/>
          <w:lang w:eastAsia="es-EC"/>
        </w:rPr>
        <w:lastRenderedPageBreak/>
        <w:t>Área Prescrita: 183.30m2 (Juzgado Décimo Segundo de lo Civil de Pichincha, Dr. Francisco Robalino Ocaña)</w:t>
      </w:r>
    </w:p>
    <w:p w14:paraId="7977B8C2" w14:textId="77777777" w:rsidR="00E75C2D" w:rsidRPr="00E75C2D" w:rsidRDefault="00E75C2D" w:rsidP="00E75C2D">
      <w:pPr>
        <w:autoSpaceDE w:val="0"/>
        <w:autoSpaceDN w:val="0"/>
        <w:adjustRightInd w:val="0"/>
        <w:ind w:left="1416"/>
        <w:rPr>
          <w:rFonts w:ascii="Palatino Linotype" w:hAnsi="Palatino Linotype"/>
          <w:i/>
          <w:sz w:val="22"/>
          <w:szCs w:val="22"/>
          <w:lang w:eastAsia="es-EC"/>
        </w:rPr>
      </w:pPr>
      <w:r w:rsidRPr="00E75C2D">
        <w:rPr>
          <w:rFonts w:ascii="Palatino Linotype" w:hAnsi="Palatino Linotype"/>
          <w:i/>
          <w:sz w:val="22"/>
          <w:szCs w:val="22"/>
          <w:lang w:eastAsia="es-EC"/>
        </w:rPr>
        <w:t xml:space="preserve">Contribución 15% (Área Verde): </w:t>
      </w:r>
      <w:r w:rsidRPr="00E75C2D">
        <w:rPr>
          <w:rFonts w:ascii="Palatino Linotype" w:hAnsi="Palatino Linotype"/>
          <w:i/>
          <w:sz w:val="22"/>
          <w:szCs w:val="22"/>
          <w:lang w:eastAsia="es-EC"/>
        </w:rPr>
        <w:tab/>
        <w:t>183.30m2 x 0.15 = 27.50m2</w:t>
      </w:r>
    </w:p>
    <w:p w14:paraId="00F7D7E0" w14:textId="77777777" w:rsidR="00E75C2D" w:rsidRPr="00E75C2D" w:rsidRDefault="00E75C2D" w:rsidP="00E75C2D">
      <w:pPr>
        <w:autoSpaceDE w:val="0"/>
        <w:autoSpaceDN w:val="0"/>
        <w:adjustRightInd w:val="0"/>
        <w:ind w:left="1416"/>
        <w:rPr>
          <w:rFonts w:ascii="Palatino Linotype" w:hAnsi="Palatino Linotype"/>
          <w:i/>
          <w:sz w:val="22"/>
          <w:szCs w:val="22"/>
          <w:lang w:eastAsia="es-EC"/>
        </w:rPr>
      </w:pPr>
      <w:r w:rsidRPr="00E75C2D">
        <w:rPr>
          <w:rFonts w:ascii="Palatino Linotype" w:hAnsi="Palatino Linotype"/>
          <w:i/>
          <w:sz w:val="22"/>
          <w:szCs w:val="22"/>
          <w:lang w:eastAsia="es-EC"/>
        </w:rPr>
        <w:t xml:space="preserve">Avalúo del Terreno: </w:t>
      </w:r>
      <w:r w:rsidRPr="00E75C2D">
        <w:rPr>
          <w:rFonts w:ascii="Palatino Linotype" w:hAnsi="Palatino Linotype"/>
          <w:i/>
          <w:sz w:val="22"/>
          <w:szCs w:val="22"/>
          <w:lang w:eastAsia="es-EC"/>
        </w:rPr>
        <w:tab/>
      </w:r>
      <w:r w:rsidRPr="00E75C2D">
        <w:rPr>
          <w:rFonts w:ascii="Palatino Linotype" w:hAnsi="Palatino Linotype"/>
          <w:i/>
          <w:sz w:val="22"/>
          <w:szCs w:val="22"/>
          <w:lang w:eastAsia="es-EC"/>
        </w:rPr>
        <w:tab/>
      </w:r>
      <w:r w:rsidRPr="00E75C2D">
        <w:rPr>
          <w:rFonts w:ascii="Palatino Linotype" w:hAnsi="Palatino Linotype"/>
          <w:i/>
          <w:sz w:val="22"/>
          <w:szCs w:val="22"/>
          <w:lang w:eastAsia="es-EC"/>
        </w:rPr>
        <w:tab/>
        <w:t>110427.66 USD</w:t>
      </w:r>
    </w:p>
    <w:p w14:paraId="3F216758" w14:textId="77777777" w:rsidR="00E75C2D" w:rsidRPr="00E75C2D" w:rsidRDefault="00E75C2D" w:rsidP="00E75C2D">
      <w:pPr>
        <w:autoSpaceDE w:val="0"/>
        <w:autoSpaceDN w:val="0"/>
        <w:adjustRightInd w:val="0"/>
        <w:ind w:left="1416"/>
        <w:rPr>
          <w:rFonts w:ascii="Palatino Linotype" w:hAnsi="Palatino Linotype"/>
          <w:i/>
          <w:sz w:val="22"/>
          <w:szCs w:val="22"/>
          <w:lang w:eastAsia="es-EC"/>
        </w:rPr>
      </w:pPr>
      <w:r w:rsidRPr="00E75C2D">
        <w:rPr>
          <w:rFonts w:ascii="Palatino Linotype" w:hAnsi="Palatino Linotype"/>
          <w:i/>
          <w:sz w:val="22"/>
          <w:szCs w:val="22"/>
          <w:lang w:eastAsia="es-EC"/>
        </w:rPr>
        <w:t xml:space="preserve">Valor Referencial/m2 según el avalúo: </w:t>
      </w:r>
      <w:r w:rsidRPr="00E75C2D">
        <w:rPr>
          <w:rFonts w:ascii="Palatino Linotype" w:hAnsi="Palatino Linotype"/>
          <w:i/>
          <w:sz w:val="22"/>
          <w:szCs w:val="22"/>
          <w:lang w:eastAsia="es-EC"/>
        </w:rPr>
        <w:tab/>
        <w:t>58.83m2</w:t>
      </w:r>
    </w:p>
    <w:p w14:paraId="7F8672EF" w14:textId="77777777" w:rsidR="00E75C2D" w:rsidRPr="00E75C2D" w:rsidRDefault="00E75C2D" w:rsidP="00E75C2D">
      <w:pPr>
        <w:autoSpaceDE w:val="0"/>
        <w:autoSpaceDN w:val="0"/>
        <w:adjustRightInd w:val="0"/>
        <w:ind w:left="1416"/>
        <w:rPr>
          <w:rFonts w:ascii="Palatino Linotype" w:hAnsi="Palatino Linotype"/>
          <w:b/>
          <w:bCs/>
          <w:i/>
          <w:sz w:val="22"/>
          <w:szCs w:val="22"/>
          <w:lang w:eastAsia="es-EC"/>
        </w:rPr>
      </w:pPr>
      <w:r w:rsidRPr="00E75C2D">
        <w:rPr>
          <w:rFonts w:ascii="Palatino Linotype" w:hAnsi="Palatino Linotype"/>
          <w:i/>
          <w:sz w:val="22"/>
          <w:szCs w:val="22"/>
          <w:lang w:eastAsia="es-EC"/>
        </w:rPr>
        <w:t xml:space="preserve">Valor Referencial de Compensación: </w:t>
      </w:r>
      <w:r w:rsidRPr="00E75C2D">
        <w:rPr>
          <w:rFonts w:ascii="Palatino Linotype" w:hAnsi="Palatino Linotype"/>
          <w:i/>
          <w:sz w:val="22"/>
          <w:szCs w:val="22"/>
          <w:lang w:eastAsia="es-EC"/>
        </w:rPr>
        <w:tab/>
        <w:t xml:space="preserve">27.50m2 x 58.83USD = </w:t>
      </w:r>
      <w:r w:rsidRPr="00E75C2D">
        <w:rPr>
          <w:rFonts w:ascii="Palatino Linotype" w:hAnsi="Palatino Linotype"/>
          <w:b/>
          <w:bCs/>
          <w:i/>
          <w:sz w:val="22"/>
          <w:szCs w:val="22"/>
          <w:lang w:eastAsia="es-EC"/>
        </w:rPr>
        <w:t>1617.59USD</w:t>
      </w:r>
    </w:p>
    <w:p w14:paraId="63F42991" w14:textId="77777777" w:rsidR="00E75C2D" w:rsidRPr="00E75C2D" w:rsidRDefault="00E75C2D" w:rsidP="00E75C2D">
      <w:pPr>
        <w:autoSpaceDE w:val="0"/>
        <w:autoSpaceDN w:val="0"/>
        <w:adjustRightInd w:val="0"/>
        <w:ind w:left="1416"/>
        <w:jc w:val="both"/>
        <w:rPr>
          <w:rFonts w:ascii="Palatino Linotype" w:hAnsi="Palatino Linotype"/>
          <w:i/>
          <w:sz w:val="22"/>
          <w:szCs w:val="22"/>
          <w:lang w:eastAsia="es-EC"/>
        </w:rPr>
      </w:pPr>
      <w:r w:rsidRPr="00E75C2D">
        <w:rPr>
          <w:rFonts w:ascii="Palatino Linotype" w:hAnsi="Palatino Linotype"/>
          <w:i/>
          <w:sz w:val="22"/>
          <w:szCs w:val="22"/>
          <w:lang w:eastAsia="es-EC"/>
        </w:rPr>
        <w:t xml:space="preserve">Cabe mencionar que el valor de compensación calculada es referencial y estará sujeto a variación de acuerdo a la </w:t>
      </w:r>
      <w:r w:rsidRPr="00E75C2D">
        <w:rPr>
          <w:rFonts w:ascii="Palatino Linotype" w:hAnsi="Palatino Linotype"/>
          <w:b/>
          <w:bCs/>
          <w:i/>
          <w:sz w:val="22"/>
          <w:szCs w:val="22"/>
          <w:lang w:eastAsia="es-EC"/>
        </w:rPr>
        <w:t xml:space="preserve">ORD-027-2021-MET-MODIFICATORIA.” </w:t>
      </w:r>
    </w:p>
    <w:p w14:paraId="28EB8B80" w14:textId="77777777" w:rsidR="00E75C2D" w:rsidRPr="00E75C2D" w:rsidRDefault="00E75C2D" w:rsidP="00E75C2D">
      <w:pPr>
        <w:autoSpaceDE w:val="0"/>
        <w:autoSpaceDN w:val="0"/>
        <w:adjustRightInd w:val="0"/>
        <w:ind w:left="708"/>
        <w:jc w:val="both"/>
        <w:rPr>
          <w:rFonts w:ascii="Palatino Linotype" w:hAnsi="Palatino Linotype"/>
          <w:b/>
          <w:bCs/>
          <w:iCs/>
          <w:sz w:val="22"/>
          <w:szCs w:val="22"/>
          <w:lang w:val="es-ES_tradnl" w:eastAsia="es-EC"/>
        </w:rPr>
      </w:pPr>
    </w:p>
    <w:p w14:paraId="6F536F96" w14:textId="4E539631" w:rsidR="00E75C2D" w:rsidRPr="00E75C2D" w:rsidRDefault="00E75C2D" w:rsidP="00F62C41">
      <w:pPr>
        <w:autoSpaceDE w:val="0"/>
        <w:autoSpaceDN w:val="0"/>
        <w:adjustRightInd w:val="0"/>
        <w:ind w:left="708"/>
        <w:jc w:val="both"/>
        <w:rPr>
          <w:rFonts w:ascii="Palatino Linotype" w:hAnsi="Palatino Linotype" w:cs="Palatino Linotype"/>
          <w:sz w:val="22"/>
          <w:szCs w:val="22"/>
          <w:lang w:eastAsia="es-EC"/>
        </w:rPr>
      </w:pPr>
      <w:r w:rsidRPr="00E75C2D">
        <w:rPr>
          <w:rFonts w:ascii="Palatino Linotype" w:hAnsi="Palatino Linotype"/>
          <w:sz w:val="22"/>
          <w:szCs w:val="22"/>
          <w:lang w:eastAsia="es-EC"/>
        </w:rPr>
        <w:t>Informe Legal Nro. 207-DJ-2023, de 27 de junio del 2023, la Abg. Mónica Flores, Directora de Asesoría Jurídica</w:t>
      </w:r>
      <w:r w:rsidRPr="00E75C2D">
        <w:rPr>
          <w:rFonts w:ascii="Palatino Linotype" w:hAnsi="Palatino Linotype" w:cs="Palatino Linotype"/>
          <w:sz w:val="22"/>
          <w:szCs w:val="22"/>
          <w:lang w:eastAsia="es-EC"/>
        </w:rPr>
        <w:t xml:space="preserve">, señala: </w:t>
      </w:r>
    </w:p>
    <w:p w14:paraId="6EECAF45" w14:textId="77777777" w:rsidR="00E75C2D" w:rsidRPr="00E75C2D" w:rsidRDefault="00E75C2D" w:rsidP="00E75C2D">
      <w:pPr>
        <w:autoSpaceDE w:val="0"/>
        <w:autoSpaceDN w:val="0"/>
        <w:adjustRightInd w:val="0"/>
        <w:jc w:val="both"/>
        <w:rPr>
          <w:rFonts w:ascii="Palatino Linotype" w:hAnsi="Palatino Linotype" w:cs="Palatino Linotype"/>
          <w:sz w:val="22"/>
          <w:szCs w:val="22"/>
          <w:lang w:eastAsia="es-EC"/>
        </w:rPr>
      </w:pPr>
    </w:p>
    <w:p w14:paraId="090CEBEC" w14:textId="77777777" w:rsidR="00E75C2D" w:rsidRPr="00E75C2D" w:rsidRDefault="00E75C2D" w:rsidP="00E75C2D">
      <w:pPr>
        <w:autoSpaceDE w:val="0"/>
        <w:autoSpaceDN w:val="0"/>
        <w:adjustRightInd w:val="0"/>
        <w:ind w:left="708"/>
        <w:jc w:val="both"/>
        <w:rPr>
          <w:rFonts w:ascii="Palatino Linotype" w:hAnsi="Palatino Linotype" w:cs="Arial"/>
          <w:i/>
          <w:sz w:val="22"/>
          <w:szCs w:val="22"/>
          <w:lang w:eastAsia="es-EC"/>
        </w:rPr>
      </w:pPr>
      <w:r w:rsidRPr="00E75C2D">
        <w:rPr>
          <w:rFonts w:ascii="Palatino Linotype" w:hAnsi="Palatino Linotype" w:cs="Palatino Linotype"/>
          <w:i/>
          <w:sz w:val="22"/>
          <w:szCs w:val="22"/>
          <w:lang w:eastAsia="es-EC"/>
        </w:rPr>
        <w:t xml:space="preserve">“(…) </w:t>
      </w:r>
      <w:r w:rsidRPr="00E75C2D">
        <w:rPr>
          <w:rFonts w:ascii="Palatino Linotype" w:hAnsi="Palatino Linotype" w:cs="Arial"/>
          <w:i/>
          <w:sz w:val="22"/>
          <w:szCs w:val="22"/>
          <w:lang w:eastAsia="es-EC"/>
        </w:rPr>
        <w:t xml:space="preserve">con sustento en el Informe Técnico No. GADDMQ-AZEA-DGT-UGU-2023-0139-M, de 21 de junio del 2023, suscrito por el Arq. Marcelo Edwin Ati Pilaquinga, Responsable de la Unidad de Gestión Urbana, quien concluyó: "(...) </w:t>
      </w:r>
      <w:r w:rsidRPr="00E75C2D">
        <w:rPr>
          <w:rFonts w:ascii="Palatino Linotype" w:hAnsi="Palatino Linotype" w:cs="Arial"/>
          <w:i/>
          <w:iCs/>
          <w:sz w:val="22"/>
          <w:szCs w:val="22"/>
          <w:lang w:eastAsia="es-EC"/>
        </w:rPr>
        <w:t xml:space="preserve">Con lo expuesto se desprende que el predio en mención, </w:t>
      </w:r>
      <w:r w:rsidRPr="00E75C2D">
        <w:rPr>
          <w:rFonts w:ascii="Palatino Linotype" w:hAnsi="Palatino Linotype" w:cs="Arial"/>
          <w:b/>
          <w:bCs/>
          <w:i/>
          <w:iCs/>
          <w:sz w:val="22"/>
          <w:szCs w:val="22"/>
          <w:lang w:eastAsia="es-EC"/>
        </w:rPr>
        <w:t xml:space="preserve">NO cumple con las ÁREAS MÍNIMAS ESTABLECIDAS EN LA ORDENANZA y a la RESOLUCIÓN Nro. AQ 007-2023, </w:t>
      </w:r>
      <w:r w:rsidRPr="00E75C2D">
        <w:rPr>
          <w:rFonts w:ascii="Palatino Linotype" w:hAnsi="Palatino Linotype" w:cs="Arial"/>
          <w:i/>
          <w:iCs/>
          <w:sz w:val="22"/>
          <w:szCs w:val="22"/>
          <w:lang w:eastAsia="es-EC"/>
        </w:rPr>
        <w:t xml:space="preserve">por tanto será el Concejo Metropolitano quien dictamine el trámite correspondiente, con el cambio de parámetros de edificabilidad (...)", </w:t>
      </w:r>
      <w:r w:rsidRPr="00E75C2D">
        <w:rPr>
          <w:rFonts w:ascii="Palatino Linotype" w:hAnsi="Palatino Linotype" w:cs="Arial"/>
          <w:i/>
          <w:sz w:val="22"/>
          <w:szCs w:val="22"/>
          <w:lang w:eastAsia="es-EC"/>
        </w:rPr>
        <w:t xml:space="preserve">esta Dirección de Asesoría Jurídica emite </w:t>
      </w:r>
      <w:r w:rsidRPr="00E75C2D">
        <w:rPr>
          <w:rFonts w:ascii="Palatino Linotype" w:hAnsi="Palatino Linotype" w:cs="Arial"/>
          <w:b/>
          <w:bCs/>
          <w:i/>
          <w:sz w:val="22"/>
          <w:szCs w:val="22"/>
          <w:lang w:eastAsia="es-EC"/>
        </w:rPr>
        <w:t xml:space="preserve">INFORME LEGAL FAVORABLE </w:t>
      </w:r>
      <w:r w:rsidRPr="00E75C2D">
        <w:rPr>
          <w:rFonts w:ascii="Palatino Linotype" w:hAnsi="Palatino Linotype" w:cs="Arial"/>
          <w:i/>
          <w:sz w:val="22"/>
          <w:szCs w:val="22"/>
          <w:lang w:eastAsia="es-EC"/>
        </w:rPr>
        <w:t>para que el Concejo Metropolitano, en acatamiento de la sentencia que es de cumplimiento obligatorio, conforme lo dispone el numeral 4 del artículo 86 de la Constitución, autorice la Partición Judicial del lote de terreno con predio No. 3551185, ubicado en la parroquia La Mena, Cantón Quito, cambiando las condiciones de este inmueble en particular, estableciendo una excepción a las condiciones generales.</w:t>
      </w:r>
    </w:p>
    <w:p w14:paraId="4FC367F8" w14:textId="77777777" w:rsidR="00E75C2D" w:rsidRPr="00E75C2D" w:rsidRDefault="00E75C2D" w:rsidP="00E75C2D">
      <w:pPr>
        <w:autoSpaceDE w:val="0"/>
        <w:autoSpaceDN w:val="0"/>
        <w:adjustRightInd w:val="0"/>
        <w:ind w:left="708"/>
        <w:jc w:val="both"/>
        <w:rPr>
          <w:rFonts w:ascii="Palatino Linotype" w:hAnsi="Palatino Linotype" w:cs="Arial"/>
          <w:i/>
          <w:sz w:val="22"/>
          <w:szCs w:val="22"/>
          <w:lang w:eastAsia="es-EC"/>
        </w:rPr>
      </w:pPr>
    </w:p>
    <w:p w14:paraId="16786785" w14:textId="77777777" w:rsidR="00E75C2D" w:rsidRPr="00E75C2D" w:rsidRDefault="00E75C2D" w:rsidP="00E75C2D">
      <w:pPr>
        <w:autoSpaceDE w:val="0"/>
        <w:autoSpaceDN w:val="0"/>
        <w:adjustRightInd w:val="0"/>
        <w:ind w:left="708"/>
        <w:jc w:val="both"/>
        <w:rPr>
          <w:rFonts w:ascii="Palatino Linotype" w:hAnsi="Palatino Linotype" w:cs="Palatino Linotype"/>
          <w:i/>
          <w:sz w:val="22"/>
          <w:szCs w:val="22"/>
          <w:lang w:eastAsia="es-EC"/>
        </w:rPr>
      </w:pPr>
      <w:r w:rsidRPr="00E75C2D">
        <w:rPr>
          <w:rFonts w:ascii="Palatino Linotype" w:hAnsi="Palatino Linotype" w:cs="Arial"/>
          <w:i/>
          <w:sz w:val="22"/>
          <w:szCs w:val="22"/>
          <w:lang w:eastAsia="es-EC"/>
        </w:rPr>
        <w:t>El mérito y oportunidad de la suscripción y ejecución de la decisión que se tome en este caso será responsabilidad de las autoridades municipales competentes. La Dirección de Asesoría Jurídica únicamente se pronuncia sobre los aspectos procedimentales y legales con el propósito de facilitar elementos de opinión o juicio para la formación de la voluntad administrativa, por lo que se recuerda que el presente informe tiene un alcance estrictamente jurídico y el pronunciamiento que se emite se lo hace en función de las normas legales vigentes; razón por lo cual, esta Dirección no efectúa un análisis de orden técnico, operativo ni financiero de la documentación remitida, por no corresponder a nuestras competencias”.</w:t>
      </w:r>
    </w:p>
    <w:p w14:paraId="78C2859D" w14:textId="214CFC8F" w:rsidR="00E75C2D" w:rsidRPr="00CD0589" w:rsidRDefault="00E75C2D" w:rsidP="00327A8D">
      <w:pPr>
        <w:tabs>
          <w:tab w:val="left" w:pos="284"/>
        </w:tabs>
        <w:jc w:val="both"/>
        <w:rPr>
          <w:rFonts w:ascii="Palatino Linotype" w:hAnsi="Palatino Linotype"/>
          <w:i/>
          <w:sz w:val="22"/>
          <w:szCs w:val="22"/>
        </w:rPr>
      </w:pPr>
    </w:p>
    <w:p w14:paraId="2CC791D0" w14:textId="77777777" w:rsidR="00CD0589" w:rsidRPr="00CD0589" w:rsidRDefault="00CD0589" w:rsidP="00CD0589">
      <w:pPr>
        <w:autoSpaceDE w:val="0"/>
        <w:autoSpaceDN w:val="0"/>
        <w:adjustRightInd w:val="0"/>
        <w:ind w:left="708" w:hanging="708"/>
        <w:jc w:val="both"/>
        <w:rPr>
          <w:rFonts w:ascii="Palatino Linotype" w:hAnsi="Palatino Linotype"/>
          <w:sz w:val="22"/>
          <w:szCs w:val="22"/>
          <w:lang w:eastAsia="es-EC"/>
        </w:rPr>
      </w:pPr>
      <w:r w:rsidRPr="00CD0589">
        <w:rPr>
          <w:rFonts w:ascii="Palatino Linotype" w:hAnsi="Palatino Linotype"/>
          <w:b/>
          <w:sz w:val="22"/>
          <w:szCs w:val="22"/>
        </w:rPr>
        <w:t xml:space="preserve">Que, </w:t>
      </w:r>
      <w:r w:rsidRPr="00CD0589">
        <w:rPr>
          <w:rFonts w:ascii="Palatino Linotype" w:hAnsi="Palatino Linotype"/>
          <w:sz w:val="22"/>
          <w:szCs w:val="22"/>
          <w:lang w:eastAsia="es-EC"/>
        </w:rPr>
        <w:t xml:space="preserve">Mediante Informe Legal Nro. 249-DJ-2023, de 03 de agosto del 2023, la Dirección de Asesoría Jurídica señala: </w:t>
      </w:r>
    </w:p>
    <w:p w14:paraId="7F31A343" w14:textId="77777777" w:rsidR="00CD0589" w:rsidRPr="00CD0589" w:rsidRDefault="00CD0589" w:rsidP="00CD0589">
      <w:pPr>
        <w:autoSpaceDE w:val="0"/>
        <w:autoSpaceDN w:val="0"/>
        <w:adjustRightInd w:val="0"/>
        <w:jc w:val="both"/>
        <w:rPr>
          <w:rFonts w:ascii="Palatino Linotype" w:hAnsi="Palatino Linotype"/>
          <w:sz w:val="22"/>
          <w:szCs w:val="22"/>
          <w:lang w:eastAsia="es-EC"/>
        </w:rPr>
      </w:pPr>
    </w:p>
    <w:p w14:paraId="2E514537" w14:textId="77777777" w:rsidR="00CD0589" w:rsidRPr="00CD0589" w:rsidRDefault="00CD0589" w:rsidP="00CD0589">
      <w:pPr>
        <w:autoSpaceDE w:val="0"/>
        <w:autoSpaceDN w:val="0"/>
        <w:adjustRightInd w:val="0"/>
        <w:ind w:left="1080"/>
        <w:jc w:val="both"/>
        <w:rPr>
          <w:rFonts w:ascii="Palatino Linotype" w:hAnsi="Palatino Linotype"/>
          <w:i/>
          <w:sz w:val="22"/>
          <w:szCs w:val="22"/>
          <w:lang w:eastAsia="es-EC"/>
        </w:rPr>
      </w:pPr>
      <w:r w:rsidRPr="00CD0589">
        <w:rPr>
          <w:rFonts w:ascii="Palatino Linotype" w:hAnsi="Palatino Linotype"/>
          <w:i/>
          <w:sz w:val="22"/>
          <w:szCs w:val="22"/>
          <w:lang w:eastAsia="es-EC"/>
        </w:rPr>
        <w:lastRenderedPageBreak/>
        <w:t xml:space="preserve">“(…) Por lo expuesto; y, con sustento en el Informe Técnico No. GADDMQ-AZEA-DGT-UGU-2023-0139-M, de 21 de junio del 2023, suscrito por el Arq. Marcelo Edwin Ati Pilaquinga, Responsable de la Unidad de Gestión Urbana, quien concluyó: "(...) </w:t>
      </w:r>
      <w:r w:rsidRPr="00CD0589">
        <w:rPr>
          <w:rFonts w:ascii="Palatino Linotype" w:hAnsi="Palatino Linotype"/>
          <w:i/>
          <w:iCs/>
          <w:sz w:val="22"/>
          <w:szCs w:val="22"/>
          <w:lang w:eastAsia="es-EC"/>
        </w:rPr>
        <w:t xml:space="preserve">Con lo expuesto se desprende que el predio en mención, NO cumple con las </w:t>
      </w:r>
      <w:r w:rsidRPr="00CD0589">
        <w:rPr>
          <w:rFonts w:ascii="Palatino Linotype" w:hAnsi="Palatino Linotype"/>
          <w:b/>
          <w:i/>
          <w:iCs/>
          <w:sz w:val="22"/>
          <w:szCs w:val="22"/>
          <w:lang w:eastAsia="es-EC"/>
        </w:rPr>
        <w:t>ÁREAS MÍNIMAS ESTABLECIDAS EN LA ORDENANZA y a la RESOLUCIÓN Nro. AQ 007-2023</w:t>
      </w:r>
      <w:r w:rsidRPr="00CD0589">
        <w:rPr>
          <w:rFonts w:ascii="Palatino Linotype" w:hAnsi="Palatino Linotype"/>
          <w:i/>
          <w:iCs/>
          <w:sz w:val="22"/>
          <w:szCs w:val="22"/>
          <w:lang w:eastAsia="es-EC"/>
        </w:rPr>
        <w:t xml:space="preserve">, que corresponde a las </w:t>
      </w:r>
      <w:r w:rsidRPr="00CD0589">
        <w:rPr>
          <w:rFonts w:ascii="Palatino Linotype" w:hAnsi="Palatino Linotype"/>
          <w:b/>
          <w:i/>
          <w:iCs/>
          <w:sz w:val="22"/>
          <w:szCs w:val="22"/>
          <w:lang w:eastAsia="es-EC"/>
        </w:rPr>
        <w:t>Reglas Técnicas de Arquitectura y Urbanismo</w:t>
      </w:r>
      <w:r w:rsidRPr="00CD0589">
        <w:rPr>
          <w:rFonts w:ascii="Palatino Linotype" w:hAnsi="Palatino Linotype"/>
          <w:i/>
          <w:iCs/>
          <w:sz w:val="22"/>
          <w:szCs w:val="22"/>
          <w:lang w:eastAsia="es-EC"/>
        </w:rPr>
        <w:t xml:space="preserve"> para el Distrito Metropolitano de Quito, mismas que forman parte integral del cuerpo normativo PUGS, por tanto será el Concejo Metropolitano quien dictamine el trámite correspondiente, con el cambio de parámetros de edificabilidad (... )", </w:t>
      </w:r>
      <w:r w:rsidRPr="00CD0589">
        <w:rPr>
          <w:rFonts w:ascii="Palatino Linotype" w:hAnsi="Palatino Linotype"/>
          <w:i/>
          <w:sz w:val="22"/>
          <w:szCs w:val="22"/>
          <w:lang w:eastAsia="es-EC"/>
        </w:rPr>
        <w:t xml:space="preserve">esta Dirección de Asesoría Jurídica emite </w:t>
      </w:r>
      <w:r w:rsidRPr="00CD0589">
        <w:rPr>
          <w:rFonts w:ascii="Palatino Linotype" w:hAnsi="Palatino Linotype"/>
          <w:b/>
          <w:i/>
          <w:sz w:val="22"/>
          <w:szCs w:val="22"/>
          <w:lang w:eastAsia="es-EC"/>
        </w:rPr>
        <w:t>INFORME LEGAL FAVORABLE</w:t>
      </w:r>
      <w:r w:rsidRPr="00CD0589">
        <w:rPr>
          <w:rFonts w:ascii="Palatino Linotype" w:hAnsi="Palatino Linotype"/>
          <w:i/>
          <w:sz w:val="22"/>
          <w:szCs w:val="22"/>
          <w:lang w:eastAsia="es-EC"/>
        </w:rPr>
        <w:t xml:space="preserve"> para que el Concejo Metropolitano, en acatamiento de la sentencia que es de cumplimiento obligatorio, conforme lo dispone el numeral 4 del artículo 86 de la Constitución, autorice la Partición Judicial del lote de terreno con predio No. 176194, ubicado en la parroquia La Mena, Cantón Quito, cambiando las condiciones de este inmueble en particular, estableciendo una excepción a las condiciones generales.</w:t>
      </w:r>
    </w:p>
    <w:p w14:paraId="7ED91CD4" w14:textId="77777777" w:rsidR="00CD0589" w:rsidRPr="00CD0589" w:rsidRDefault="00CD0589" w:rsidP="00CD0589">
      <w:pPr>
        <w:autoSpaceDE w:val="0"/>
        <w:autoSpaceDN w:val="0"/>
        <w:adjustRightInd w:val="0"/>
        <w:ind w:left="708"/>
        <w:rPr>
          <w:rFonts w:ascii="Palatino Linotype" w:hAnsi="Palatino Linotype"/>
          <w:i/>
          <w:sz w:val="22"/>
          <w:szCs w:val="22"/>
          <w:lang w:eastAsia="es-EC"/>
        </w:rPr>
      </w:pPr>
    </w:p>
    <w:p w14:paraId="6A33E6A7" w14:textId="77777777" w:rsidR="00CD0589" w:rsidRPr="00CD0589" w:rsidRDefault="00CD0589" w:rsidP="00CD0589">
      <w:pPr>
        <w:autoSpaceDE w:val="0"/>
        <w:autoSpaceDN w:val="0"/>
        <w:adjustRightInd w:val="0"/>
        <w:ind w:left="1080"/>
        <w:jc w:val="both"/>
        <w:rPr>
          <w:rFonts w:ascii="Palatino Linotype" w:hAnsi="Palatino Linotype"/>
          <w:i/>
          <w:sz w:val="22"/>
          <w:szCs w:val="22"/>
          <w:lang w:eastAsia="es-EC"/>
        </w:rPr>
      </w:pPr>
      <w:r w:rsidRPr="00CD0589">
        <w:rPr>
          <w:rFonts w:ascii="Palatino Linotype" w:hAnsi="Palatino Linotype"/>
          <w:i/>
          <w:sz w:val="22"/>
          <w:szCs w:val="22"/>
          <w:lang w:eastAsia="es-EC"/>
        </w:rPr>
        <w:t>El mérito y oportunidad de la suscripción y ejecución de la decisión que se tome en este caso será responsabilidad de las autoridades municipales competentes. La Dirección de Asesoría Jurídica únicamente se pronuncia sobre los aspectos procedimentales y legales con el propósito de facilitar elementos de opinión o juicio para la formación de la voluntad administrativa, por lo que se recuerda que el presente informe tiene un alcance estrictamente jurídico y el pronunciamiento que se emite se lo hace en función de las normas legales vigentes; razón por lo cual, esta Dirección no efectúa un análisis de orden técnico, operativo ni financiero de la documentación remitida, por no corresponder a nuestras competencias”.</w:t>
      </w:r>
    </w:p>
    <w:p w14:paraId="2181B24C" w14:textId="3180F1D5" w:rsidR="00CD0589" w:rsidRPr="00CD0589" w:rsidRDefault="00CD0589" w:rsidP="00327A8D">
      <w:pPr>
        <w:tabs>
          <w:tab w:val="left" w:pos="284"/>
        </w:tabs>
        <w:jc w:val="both"/>
        <w:rPr>
          <w:rFonts w:ascii="Palatino Linotype" w:hAnsi="Palatino Linotype"/>
          <w:b/>
          <w:sz w:val="22"/>
          <w:szCs w:val="22"/>
        </w:rPr>
      </w:pPr>
    </w:p>
    <w:p w14:paraId="74155A66" w14:textId="3110D76D" w:rsidR="009F2962" w:rsidRPr="00EA4E1C" w:rsidRDefault="00EA4E1C" w:rsidP="00EA4E1C">
      <w:pPr>
        <w:autoSpaceDE w:val="0"/>
        <w:autoSpaceDN w:val="0"/>
        <w:adjustRightInd w:val="0"/>
        <w:ind w:left="708" w:hanging="708"/>
        <w:jc w:val="both"/>
        <w:rPr>
          <w:rFonts w:ascii="Palatino Linotype" w:hAnsi="Palatino Linotype"/>
          <w:sz w:val="22"/>
          <w:szCs w:val="22"/>
          <w:lang w:val="es-ES_tradnl"/>
        </w:rPr>
      </w:pPr>
      <w:r w:rsidRPr="00EA4E1C">
        <w:rPr>
          <w:rFonts w:ascii="Palatino Linotype" w:hAnsi="Palatino Linotype"/>
          <w:sz w:val="22"/>
          <w:szCs w:val="22"/>
          <w:lang w:val="es-ES_tradnl" w:eastAsia="en-US"/>
        </w:rPr>
        <w:t>Que, p</w:t>
      </w:r>
      <w:r w:rsidR="009F2962" w:rsidRPr="00EA4E1C">
        <w:rPr>
          <w:rFonts w:ascii="Palatino Linotype" w:hAnsi="Palatino Linotype"/>
          <w:sz w:val="22"/>
          <w:szCs w:val="22"/>
          <w:lang w:val="es-ES_tradnl" w:eastAsia="en-US"/>
        </w:rPr>
        <w:t xml:space="preserve">or disposición del señor concejal Adrián Ibarra, Presidente de la Comisión de Uso de Suelo, la Secretaría General del Concejo Metropolitano de Quito, convocó a la sesión No. 009 Ordinaria de la comisión en mención, en la que se incluyó como segundo punto del orden del día el “Conocimiento de los informes emitidos por la Administración Zonal Eloy Alfaro mediante oficio No. GADDMQ-AZEA-AZ-2023-2151-O, de 10 de agosto de 2023, en cumplimiento de la Resolución de la Comisión de Uso de Suelo No. SC-006-CUS-005, de 07 de agosto de 2023, relacionados con la Prescripción Extraordinaria Adquisitiva de Dominio del predio No. 176194, a favor de los señores Segundo Alberto Romero Romero  María Rosa Elena Bonilla Calero; y, resolución al respecto”; y, resolvió </w:t>
      </w:r>
      <w:r w:rsidR="009F2962" w:rsidRPr="00EA4E1C">
        <w:rPr>
          <w:rFonts w:ascii="Palatino Linotype" w:hAnsi="Palatino Linotype"/>
          <w:sz w:val="22"/>
          <w:szCs w:val="22"/>
          <w:lang w:val="es-ES_tradnl"/>
        </w:rPr>
        <w:t xml:space="preserve">emitir dictamen favorable para que el Concejo Metropolitano conozca la sentencia de prescripción extraordinaria adquisitiva de dominio del predio Nro. 176194, con clave catastral 170102220388006311, ubicado en </w:t>
      </w:r>
      <w:r w:rsidR="009F2962" w:rsidRPr="00EA4E1C">
        <w:rPr>
          <w:rFonts w:ascii="Palatino Linotype" w:hAnsi="Palatino Linotype"/>
          <w:sz w:val="22"/>
          <w:szCs w:val="22"/>
          <w:lang w:val="es-ES_tradnl"/>
        </w:rPr>
        <w:lastRenderedPageBreak/>
        <w:t>la parroquia La Mena, a favor de los señores Segundo Alberto Romero Romero y María Rosa Elena Bonilla Calero; y, como efecto de dicha sentencia y para su efectiva ejecución, autorice la subdivisión del bien en mención, cambiando las condiciones de ese inmueble en particular y generando una excepción a las condiciones generales; dictamen que se toma en base a los informes técnicos y legales que son responsabilidad de los funcionarios que los emiten. </w:t>
      </w:r>
    </w:p>
    <w:p w14:paraId="7239F9AE" w14:textId="77777777" w:rsidR="009F2962" w:rsidRPr="00EA4E1C" w:rsidRDefault="009F2962" w:rsidP="009F2962">
      <w:pPr>
        <w:shd w:val="clear" w:color="auto" w:fill="FFFFFF"/>
        <w:ind w:left="1080"/>
        <w:jc w:val="both"/>
        <w:rPr>
          <w:rFonts w:ascii="Palatino Linotype" w:hAnsi="Palatino Linotype"/>
          <w:sz w:val="22"/>
          <w:szCs w:val="22"/>
        </w:rPr>
      </w:pPr>
    </w:p>
    <w:p w14:paraId="352C8784" w14:textId="01332EA2" w:rsidR="009F2962" w:rsidRPr="00EA4E1C" w:rsidRDefault="009F2962" w:rsidP="00EA4E1C">
      <w:pPr>
        <w:shd w:val="clear" w:color="auto" w:fill="FFFFFF"/>
        <w:ind w:left="709"/>
        <w:jc w:val="both"/>
        <w:rPr>
          <w:rFonts w:ascii="Palatino Linotype" w:hAnsi="Palatino Linotype"/>
          <w:sz w:val="22"/>
          <w:szCs w:val="22"/>
        </w:rPr>
      </w:pPr>
      <w:r w:rsidRPr="00EA4E1C">
        <w:rPr>
          <w:rFonts w:ascii="Palatino Linotype" w:hAnsi="Palatino Linotype"/>
          <w:sz w:val="22"/>
          <w:szCs w:val="22"/>
        </w:rPr>
        <w:t>De conformidad con lo dispuesto en el artículo 2567 del Código Municipal para el Distrito Metropolitano de Quito, los beneficiarios deberán compensar en valor monetario, la contribución del 15% del área útil adquirida mediante sentencia, de acuerdo con el cálculo que realice la Administración Zonal competente con base a la normativa vigente.</w:t>
      </w:r>
    </w:p>
    <w:p w14:paraId="0E29D413" w14:textId="77777777" w:rsidR="00035E6C" w:rsidRPr="00EA4E1C" w:rsidRDefault="00035E6C" w:rsidP="00327A8D">
      <w:pPr>
        <w:autoSpaceDE w:val="0"/>
        <w:autoSpaceDN w:val="0"/>
        <w:adjustRightInd w:val="0"/>
        <w:ind w:left="1416" w:hanging="1416"/>
        <w:jc w:val="both"/>
        <w:rPr>
          <w:rFonts w:ascii="Palatino Linotype" w:eastAsiaTheme="minorHAnsi" w:hAnsi="Palatino Linotype"/>
          <w:sz w:val="22"/>
          <w:szCs w:val="22"/>
          <w:lang w:eastAsia="en-US"/>
        </w:rPr>
      </w:pPr>
    </w:p>
    <w:p w14:paraId="75B98AAE" w14:textId="221370D4" w:rsidR="00C926A0" w:rsidRPr="0052401C"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52401C">
        <w:rPr>
          <w:rFonts w:ascii="Palatino Linotype" w:eastAsiaTheme="minorHAnsi" w:hAnsi="Palatino Linotype"/>
          <w:b/>
          <w:sz w:val="22"/>
          <w:szCs w:val="22"/>
          <w:lang w:eastAsia="en-US"/>
        </w:rPr>
        <w:t xml:space="preserve">Que </w:t>
      </w:r>
      <w:r w:rsidRPr="0052401C">
        <w:rPr>
          <w:rFonts w:ascii="Palatino Linotype" w:eastAsiaTheme="minorHAnsi" w:hAnsi="Palatino Linotype"/>
          <w:b/>
          <w:sz w:val="22"/>
          <w:szCs w:val="22"/>
          <w:lang w:eastAsia="en-US"/>
        </w:rPr>
        <w:tab/>
      </w:r>
      <w:r w:rsidRPr="0052401C">
        <w:rPr>
          <w:rFonts w:ascii="Palatino Linotype" w:eastAsiaTheme="minorHAnsi" w:hAnsi="Palatino Linotype"/>
          <w:sz w:val="22"/>
          <w:szCs w:val="22"/>
          <w:lang w:eastAsia="en-US"/>
        </w:rPr>
        <w:t>el Concejo Metropolitano de Quito, en sesión pública ordinaria r</w:t>
      </w:r>
      <w:r w:rsidR="00327A8D" w:rsidRPr="0052401C">
        <w:rPr>
          <w:rFonts w:ascii="Palatino Linotype" w:eastAsiaTheme="minorHAnsi" w:hAnsi="Palatino Linotype"/>
          <w:sz w:val="22"/>
          <w:szCs w:val="22"/>
          <w:lang w:eastAsia="en-US"/>
        </w:rPr>
        <w:t xml:space="preserve">ealizada el </w:t>
      </w:r>
      <w:r w:rsidR="00764F2A" w:rsidRPr="0052401C">
        <w:rPr>
          <w:rFonts w:ascii="Palatino Linotype" w:eastAsiaTheme="minorHAnsi" w:hAnsi="Palatino Linotype"/>
          <w:sz w:val="22"/>
          <w:szCs w:val="22"/>
          <w:lang w:eastAsia="en-US"/>
        </w:rPr>
        <w:t xml:space="preserve">xx </w:t>
      </w:r>
      <w:r w:rsidR="00327A8D" w:rsidRPr="0052401C">
        <w:rPr>
          <w:rFonts w:ascii="Palatino Linotype" w:eastAsiaTheme="minorHAnsi" w:hAnsi="Palatino Linotype"/>
          <w:sz w:val="22"/>
          <w:szCs w:val="22"/>
          <w:lang w:eastAsia="en-US"/>
        </w:rPr>
        <w:t xml:space="preserve">de </w:t>
      </w:r>
      <w:r w:rsidR="00764F2A" w:rsidRPr="0052401C">
        <w:rPr>
          <w:rFonts w:ascii="Palatino Linotype" w:eastAsiaTheme="minorHAnsi" w:hAnsi="Palatino Linotype"/>
          <w:sz w:val="22"/>
          <w:szCs w:val="22"/>
          <w:lang w:eastAsia="en-US"/>
        </w:rPr>
        <w:t xml:space="preserve">xxxx </w:t>
      </w:r>
      <w:r w:rsidR="00327A8D" w:rsidRPr="0052401C">
        <w:rPr>
          <w:rFonts w:ascii="Palatino Linotype" w:eastAsiaTheme="minorHAnsi" w:hAnsi="Palatino Linotype"/>
          <w:sz w:val="22"/>
          <w:szCs w:val="22"/>
          <w:lang w:eastAsia="en-US"/>
        </w:rPr>
        <w:t xml:space="preserve"> </w:t>
      </w:r>
      <w:r w:rsidR="00764F2A" w:rsidRPr="0052401C">
        <w:rPr>
          <w:rFonts w:ascii="Palatino Linotype" w:eastAsiaTheme="minorHAnsi" w:hAnsi="Palatino Linotype"/>
          <w:sz w:val="22"/>
          <w:szCs w:val="22"/>
          <w:lang w:eastAsia="en-US"/>
        </w:rPr>
        <w:t>de 2023</w:t>
      </w:r>
      <w:r w:rsidRPr="0052401C">
        <w:rPr>
          <w:rFonts w:ascii="Palatino Linotype" w:eastAsiaTheme="minorHAnsi" w:hAnsi="Palatino Linotype"/>
          <w:sz w:val="22"/>
          <w:szCs w:val="22"/>
          <w:lang w:eastAsia="en-US"/>
        </w:rPr>
        <w:t>, ana</w:t>
      </w:r>
      <w:r w:rsidR="00144F8A" w:rsidRPr="0052401C">
        <w:rPr>
          <w:rFonts w:ascii="Palatino Linotype" w:eastAsiaTheme="minorHAnsi" w:hAnsi="Palatino Linotype"/>
          <w:sz w:val="22"/>
          <w:szCs w:val="22"/>
          <w:lang w:eastAsia="en-US"/>
        </w:rPr>
        <w:t>lizó el informe Nro. IC-CUS-202</w:t>
      </w:r>
      <w:r w:rsidR="0088782F" w:rsidRPr="0052401C">
        <w:rPr>
          <w:rFonts w:ascii="Palatino Linotype" w:eastAsiaTheme="minorHAnsi" w:hAnsi="Palatino Linotype"/>
          <w:sz w:val="22"/>
          <w:szCs w:val="22"/>
          <w:lang w:eastAsia="en-US"/>
        </w:rPr>
        <w:t>3</w:t>
      </w:r>
      <w:r w:rsidR="00745751" w:rsidRPr="0052401C">
        <w:rPr>
          <w:rFonts w:ascii="Palatino Linotype" w:eastAsiaTheme="minorHAnsi" w:hAnsi="Palatino Linotype"/>
          <w:sz w:val="22"/>
          <w:szCs w:val="22"/>
          <w:lang w:eastAsia="en-US"/>
        </w:rPr>
        <w:t>-</w:t>
      </w:r>
      <w:r w:rsidR="00BB21CB">
        <w:rPr>
          <w:rFonts w:ascii="Palatino Linotype" w:eastAsiaTheme="minorHAnsi" w:hAnsi="Palatino Linotype"/>
          <w:sz w:val="22"/>
          <w:szCs w:val="22"/>
          <w:lang w:eastAsia="en-US"/>
        </w:rPr>
        <w:t>053</w:t>
      </w:r>
      <w:r w:rsidR="00DB552C" w:rsidRPr="0052401C">
        <w:rPr>
          <w:rFonts w:ascii="Palatino Linotype" w:eastAsiaTheme="minorHAnsi" w:hAnsi="Palatino Linotype"/>
          <w:sz w:val="22"/>
          <w:szCs w:val="22"/>
          <w:lang w:eastAsia="en-US"/>
        </w:rPr>
        <w:t>,</w:t>
      </w:r>
      <w:r w:rsidRPr="0052401C">
        <w:rPr>
          <w:rFonts w:ascii="Palatino Linotype" w:eastAsiaTheme="minorHAnsi" w:hAnsi="Palatino Linotype"/>
          <w:sz w:val="22"/>
          <w:szCs w:val="22"/>
          <w:lang w:eastAsia="en-US"/>
        </w:rPr>
        <w:t xml:space="preserve"> emitido p</w:t>
      </w:r>
      <w:r w:rsidR="00327A8D" w:rsidRPr="0052401C">
        <w:rPr>
          <w:rFonts w:ascii="Palatino Linotype" w:eastAsiaTheme="minorHAnsi" w:hAnsi="Palatino Linotype"/>
          <w:sz w:val="22"/>
          <w:szCs w:val="22"/>
          <w:lang w:eastAsia="en-US"/>
        </w:rPr>
        <w:t>or la Comisión de Uso de Suelo; y,</w:t>
      </w:r>
    </w:p>
    <w:p w14:paraId="6A0A34BD" w14:textId="77777777" w:rsidR="00C926A0" w:rsidRPr="0052401C" w:rsidRDefault="00C926A0" w:rsidP="00327A8D">
      <w:pPr>
        <w:autoSpaceDE w:val="0"/>
        <w:autoSpaceDN w:val="0"/>
        <w:adjustRightInd w:val="0"/>
        <w:jc w:val="both"/>
        <w:rPr>
          <w:rFonts w:ascii="Palatino Linotype" w:eastAsiaTheme="minorHAnsi" w:hAnsi="Palatino Linotype"/>
          <w:sz w:val="22"/>
          <w:szCs w:val="22"/>
          <w:lang w:eastAsia="en-US"/>
        </w:rPr>
      </w:pPr>
    </w:p>
    <w:p w14:paraId="2496167F" w14:textId="77777777" w:rsidR="00C926A0" w:rsidRPr="0052401C" w:rsidRDefault="00C926A0" w:rsidP="00327A8D">
      <w:pPr>
        <w:autoSpaceDE w:val="0"/>
        <w:autoSpaceDN w:val="0"/>
        <w:adjustRightInd w:val="0"/>
        <w:jc w:val="both"/>
        <w:rPr>
          <w:rFonts w:ascii="Palatino Linotype" w:eastAsiaTheme="minorHAnsi" w:hAnsi="Palatino Linotype"/>
          <w:b/>
          <w:bCs/>
          <w:sz w:val="22"/>
          <w:szCs w:val="22"/>
          <w:lang w:eastAsia="en-US"/>
        </w:rPr>
      </w:pPr>
      <w:r w:rsidRPr="0052401C">
        <w:rPr>
          <w:rFonts w:ascii="Palatino Linotype" w:eastAsiaTheme="minorHAnsi" w:hAnsi="Palatino Linotype"/>
          <w:b/>
          <w:bCs/>
          <w:sz w:val="22"/>
          <w:szCs w:val="22"/>
          <w:lang w:eastAsia="en-US"/>
        </w:rPr>
        <w:t xml:space="preserve">En ejercicio de las atribuciones previstas en el artículo 240 de la Constitución de la República; y artículos 87 literal a) y 323 del Código Orgánico de Organización Territorial, Autonomía y Descentralización. </w:t>
      </w:r>
    </w:p>
    <w:p w14:paraId="2CE9C5D4" w14:textId="77777777" w:rsidR="00C926A0" w:rsidRPr="0052401C" w:rsidRDefault="00C926A0" w:rsidP="00327A8D">
      <w:pPr>
        <w:autoSpaceDE w:val="0"/>
        <w:autoSpaceDN w:val="0"/>
        <w:adjustRightInd w:val="0"/>
        <w:jc w:val="both"/>
        <w:rPr>
          <w:rFonts w:ascii="Palatino Linotype" w:eastAsiaTheme="minorHAnsi" w:hAnsi="Palatino Linotype"/>
          <w:b/>
          <w:bCs/>
          <w:sz w:val="22"/>
          <w:szCs w:val="22"/>
          <w:lang w:eastAsia="en-US"/>
        </w:rPr>
      </w:pPr>
    </w:p>
    <w:p w14:paraId="174335E1" w14:textId="77777777" w:rsidR="000D4771" w:rsidRPr="0052401C" w:rsidRDefault="000D4771" w:rsidP="00327A8D">
      <w:pPr>
        <w:autoSpaceDE w:val="0"/>
        <w:autoSpaceDN w:val="0"/>
        <w:adjustRightInd w:val="0"/>
        <w:jc w:val="both"/>
        <w:rPr>
          <w:rFonts w:ascii="Palatino Linotype" w:eastAsiaTheme="minorHAnsi" w:hAnsi="Palatino Linotype"/>
          <w:b/>
          <w:bCs/>
          <w:sz w:val="22"/>
          <w:szCs w:val="22"/>
          <w:lang w:eastAsia="en-US"/>
        </w:rPr>
      </w:pPr>
    </w:p>
    <w:p w14:paraId="1F5718A1" w14:textId="77777777" w:rsidR="00C926A0" w:rsidRPr="0052401C" w:rsidRDefault="00C926A0" w:rsidP="00327A8D">
      <w:pPr>
        <w:autoSpaceDE w:val="0"/>
        <w:autoSpaceDN w:val="0"/>
        <w:adjustRightInd w:val="0"/>
        <w:jc w:val="center"/>
        <w:rPr>
          <w:rFonts w:ascii="Palatino Linotype" w:eastAsiaTheme="minorHAnsi" w:hAnsi="Palatino Linotype"/>
          <w:b/>
          <w:bCs/>
          <w:sz w:val="22"/>
          <w:szCs w:val="22"/>
          <w:lang w:eastAsia="en-US"/>
        </w:rPr>
      </w:pPr>
      <w:r w:rsidRPr="0052401C">
        <w:rPr>
          <w:rFonts w:ascii="Palatino Linotype" w:eastAsiaTheme="minorHAnsi" w:hAnsi="Palatino Linotype"/>
          <w:b/>
          <w:bCs/>
          <w:sz w:val="22"/>
          <w:szCs w:val="22"/>
          <w:lang w:eastAsia="en-US"/>
        </w:rPr>
        <w:t>RESUELVE:</w:t>
      </w:r>
    </w:p>
    <w:p w14:paraId="6B589E52" w14:textId="77777777" w:rsidR="00755448" w:rsidRPr="0052401C" w:rsidRDefault="00755448" w:rsidP="00327A8D">
      <w:pPr>
        <w:autoSpaceDE w:val="0"/>
        <w:autoSpaceDN w:val="0"/>
        <w:adjustRightInd w:val="0"/>
        <w:jc w:val="both"/>
        <w:rPr>
          <w:rFonts w:ascii="Palatino Linotype" w:eastAsiaTheme="minorHAnsi" w:hAnsi="Palatino Linotype"/>
          <w:sz w:val="22"/>
          <w:szCs w:val="22"/>
          <w:lang w:eastAsia="en-US"/>
        </w:rPr>
      </w:pPr>
    </w:p>
    <w:p w14:paraId="6491BC28" w14:textId="199A29D9" w:rsidR="00283EDC" w:rsidRPr="0052401C" w:rsidRDefault="004F7209" w:rsidP="00283EDC">
      <w:pPr>
        <w:autoSpaceDE w:val="0"/>
        <w:autoSpaceDN w:val="0"/>
        <w:adjustRightInd w:val="0"/>
        <w:jc w:val="both"/>
        <w:rPr>
          <w:rFonts w:ascii="Palatino Linotype" w:hAnsi="Palatino Linotype" w:cs="Arial"/>
          <w:sz w:val="22"/>
          <w:szCs w:val="22"/>
        </w:rPr>
      </w:pPr>
      <w:r w:rsidRPr="0052401C">
        <w:rPr>
          <w:rFonts w:ascii="Palatino Linotype" w:hAnsi="Palatino Linotype" w:cs="Arial"/>
          <w:b/>
          <w:sz w:val="22"/>
          <w:szCs w:val="22"/>
        </w:rPr>
        <w:t>Artículo Único</w:t>
      </w:r>
      <w:r w:rsidR="005F36E3" w:rsidRPr="0052401C">
        <w:rPr>
          <w:rFonts w:ascii="Palatino Linotype" w:hAnsi="Palatino Linotype" w:cs="Arial"/>
          <w:b/>
          <w:sz w:val="22"/>
          <w:szCs w:val="22"/>
        </w:rPr>
        <w:t>.-</w:t>
      </w:r>
      <w:r w:rsidR="005F36E3" w:rsidRPr="0052401C">
        <w:rPr>
          <w:rFonts w:ascii="Palatino Linotype" w:hAnsi="Palatino Linotype" w:cs="Arial"/>
          <w:sz w:val="22"/>
          <w:szCs w:val="22"/>
        </w:rPr>
        <w:t xml:space="preserve"> </w:t>
      </w:r>
      <w:r w:rsidR="00CD51C7" w:rsidRPr="0052401C">
        <w:rPr>
          <w:rFonts w:ascii="Palatino Linotype" w:hAnsi="Palatino Linotype" w:cs="Arial"/>
          <w:sz w:val="22"/>
          <w:szCs w:val="22"/>
        </w:rPr>
        <w:t xml:space="preserve">Autorizar la subdivisión del </w:t>
      </w:r>
      <w:r w:rsidR="00D31F2D" w:rsidRPr="0052401C">
        <w:rPr>
          <w:rFonts w:ascii="Palatino Linotype" w:hAnsi="Palatino Linotype"/>
          <w:color w:val="000000"/>
          <w:sz w:val="22"/>
          <w:szCs w:val="22"/>
          <w:lang w:val="es-ES_tradnl"/>
        </w:rPr>
        <w:t xml:space="preserve">predio </w:t>
      </w:r>
      <w:r w:rsidR="00D31F2D" w:rsidRPr="0052401C">
        <w:rPr>
          <w:rFonts w:ascii="Palatino Linotype" w:hAnsi="Palatino Linotype" w:cs="Palatino Linotype"/>
          <w:sz w:val="22"/>
          <w:szCs w:val="22"/>
          <w:lang w:eastAsia="es-EC"/>
        </w:rPr>
        <w:t>Nro</w:t>
      </w:r>
      <w:r w:rsidR="00DC035E">
        <w:rPr>
          <w:rFonts w:ascii="Palatino Linotype" w:hAnsi="Palatino Linotype" w:cs="Palatino Linotype"/>
          <w:sz w:val="22"/>
          <w:szCs w:val="22"/>
          <w:lang w:eastAsia="es-EC"/>
        </w:rPr>
        <w:t xml:space="preserve">. </w:t>
      </w:r>
      <w:r w:rsidR="00DC035E" w:rsidRPr="0063398A">
        <w:rPr>
          <w:rFonts w:ascii="Palatino Linotype" w:hAnsi="Palatino Linotype"/>
        </w:rPr>
        <w:t xml:space="preserve">176194, con clave catastral </w:t>
      </w:r>
      <w:r w:rsidR="00DC035E">
        <w:rPr>
          <w:rFonts w:ascii="Palatino Linotype" w:hAnsi="Palatino Linotype"/>
        </w:rPr>
        <w:t xml:space="preserve">No. </w:t>
      </w:r>
      <w:r w:rsidR="00DC035E" w:rsidRPr="0063398A">
        <w:rPr>
          <w:rFonts w:ascii="Palatino Linotype" w:hAnsi="Palatino Linotype"/>
        </w:rPr>
        <w:t>170102220388006311, ubicado en la parroquia La Mena</w:t>
      </w:r>
      <w:r w:rsidR="00CD51C7" w:rsidRPr="0052401C">
        <w:rPr>
          <w:rFonts w:ascii="Palatino Linotype" w:hAnsi="Palatino Linotype" w:cs="Arial"/>
          <w:sz w:val="22"/>
          <w:szCs w:val="22"/>
        </w:rPr>
        <w:t xml:space="preserve">, cambiando las condiciones de ese inmueble en particular y generando una excepción a las condiciones generales, de conformidad con la sentencia emitida </w:t>
      </w:r>
      <w:r w:rsidR="00135C26">
        <w:rPr>
          <w:rFonts w:ascii="Palatino Linotype" w:hAnsi="Palatino Linotype" w:cs="Arial"/>
          <w:sz w:val="22"/>
          <w:szCs w:val="22"/>
        </w:rPr>
        <w:t xml:space="preserve">por </w:t>
      </w:r>
      <w:r w:rsidR="00135C26" w:rsidRPr="0063398A">
        <w:rPr>
          <w:rFonts w:ascii="Palatino Linotype" w:hAnsi="Palatino Linotype"/>
          <w:sz w:val="22"/>
          <w:szCs w:val="22"/>
          <w:lang w:eastAsia="en-US"/>
        </w:rPr>
        <w:t>el Juzgado Décimo Segundo de lo</w:t>
      </w:r>
      <w:r w:rsidR="00135C26" w:rsidRPr="001E5463">
        <w:rPr>
          <w:rFonts w:ascii="Palatino Linotype" w:hAnsi="Palatino Linotype"/>
        </w:rPr>
        <w:t xml:space="preserve"> Civil de Pichincha</w:t>
      </w:r>
      <w:r w:rsidR="00CD51C7" w:rsidRPr="0052401C">
        <w:rPr>
          <w:rFonts w:ascii="Palatino Linotype" w:hAnsi="Palatino Linotype" w:cs="Arial"/>
          <w:sz w:val="22"/>
          <w:szCs w:val="22"/>
        </w:rPr>
        <w:t>,</w:t>
      </w:r>
      <w:r w:rsidR="00CD51C7" w:rsidRPr="0052401C">
        <w:rPr>
          <w:rFonts w:ascii="Palatino Linotype" w:hAnsi="Palatino Linotype" w:cs="Arial"/>
          <w:sz w:val="22"/>
          <w:szCs w:val="22"/>
        </w:rPr>
        <w:t xml:space="preserve"> </w:t>
      </w:r>
      <w:r w:rsidR="00135C26">
        <w:rPr>
          <w:rFonts w:ascii="Palatino Linotype" w:hAnsi="Palatino Linotype" w:cs="Arial"/>
          <w:sz w:val="22"/>
          <w:szCs w:val="22"/>
        </w:rPr>
        <w:t xml:space="preserve">mediante la cual </w:t>
      </w:r>
      <w:r w:rsidR="00CD51C7" w:rsidRPr="0052401C">
        <w:rPr>
          <w:rFonts w:ascii="Palatino Linotype" w:hAnsi="Palatino Linotype" w:cs="Arial"/>
          <w:sz w:val="22"/>
          <w:szCs w:val="22"/>
        </w:rPr>
        <w:t>acepta la demanda y declara la Prescripción Extraordinaria Adquisitiva de D</w:t>
      </w:r>
      <w:r w:rsidR="00392632" w:rsidRPr="0052401C">
        <w:rPr>
          <w:rFonts w:ascii="Palatino Linotype" w:hAnsi="Palatino Linotype" w:cs="Arial"/>
          <w:sz w:val="22"/>
          <w:szCs w:val="22"/>
        </w:rPr>
        <w:t xml:space="preserve">ominio que ha operado a favor </w:t>
      </w:r>
      <w:r w:rsidR="00135C26">
        <w:rPr>
          <w:rFonts w:ascii="Palatino Linotype" w:hAnsi="Palatino Linotype" w:cs="Arial"/>
          <w:sz w:val="22"/>
          <w:szCs w:val="22"/>
        </w:rPr>
        <w:t xml:space="preserve">de </w:t>
      </w:r>
      <w:r w:rsidR="00135C26" w:rsidRPr="00135C26">
        <w:rPr>
          <w:rFonts w:ascii="Palatino Linotype" w:hAnsi="Palatino Linotype"/>
          <w:sz w:val="22"/>
          <w:szCs w:val="22"/>
          <w:lang w:eastAsia="en-US"/>
        </w:rPr>
        <w:t>los señores SEGUNDO ALBERTO ROMERO ROMERO y MARIA ROSA ELENA BONILLA CALERO</w:t>
      </w:r>
      <w:r w:rsidR="00CD51C7" w:rsidRPr="0052401C">
        <w:rPr>
          <w:rFonts w:ascii="Palatino Linotype" w:hAnsi="Palatino Linotype" w:cs="Arial"/>
          <w:sz w:val="22"/>
          <w:szCs w:val="22"/>
        </w:rPr>
        <w:t xml:space="preserve">, por una superficie de </w:t>
      </w:r>
      <w:r w:rsidR="00135C26">
        <w:rPr>
          <w:rFonts w:ascii="Palatino Linotype" w:hAnsi="Palatino Linotype"/>
          <w:sz w:val="22"/>
          <w:szCs w:val="22"/>
        </w:rPr>
        <w:t>183,3</w:t>
      </w:r>
      <w:r w:rsidR="009A23BE" w:rsidRPr="0052401C">
        <w:rPr>
          <w:rFonts w:ascii="Palatino Linotype" w:hAnsi="Palatino Linotype"/>
          <w:sz w:val="22"/>
          <w:szCs w:val="22"/>
        </w:rPr>
        <w:t>0</w:t>
      </w:r>
      <w:r w:rsidR="00764F2A" w:rsidRPr="0052401C">
        <w:rPr>
          <w:rFonts w:ascii="Palatino Linotype" w:hAnsi="Palatino Linotype"/>
          <w:sz w:val="22"/>
          <w:szCs w:val="22"/>
        </w:rPr>
        <w:t xml:space="preserve"> </w:t>
      </w:r>
      <w:r w:rsidR="00CD51C7" w:rsidRPr="0052401C">
        <w:rPr>
          <w:rFonts w:ascii="Palatino Linotype" w:hAnsi="Palatino Linotype"/>
          <w:sz w:val="22"/>
          <w:szCs w:val="22"/>
        </w:rPr>
        <w:t>m2</w:t>
      </w:r>
      <w:r w:rsidR="00283EDC" w:rsidRPr="0052401C">
        <w:rPr>
          <w:rFonts w:ascii="Palatino Linotype" w:hAnsi="Palatino Linotype" w:cs="Arial"/>
          <w:sz w:val="22"/>
          <w:szCs w:val="22"/>
        </w:rPr>
        <w:t xml:space="preserve">. </w:t>
      </w:r>
    </w:p>
    <w:p w14:paraId="475C2418" w14:textId="67E8D1F8" w:rsidR="005F36E3" w:rsidRPr="0052401C" w:rsidRDefault="005F36E3" w:rsidP="00327A8D">
      <w:pPr>
        <w:autoSpaceDE w:val="0"/>
        <w:autoSpaceDN w:val="0"/>
        <w:adjustRightInd w:val="0"/>
        <w:jc w:val="both"/>
        <w:rPr>
          <w:rFonts w:ascii="Palatino Linotype" w:hAnsi="Palatino Linotype" w:cs="Arial"/>
          <w:sz w:val="22"/>
          <w:szCs w:val="22"/>
        </w:rPr>
      </w:pPr>
      <w:bookmarkStart w:id="0" w:name="_GoBack"/>
      <w:bookmarkEnd w:id="0"/>
    </w:p>
    <w:p w14:paraId="34E190F9" w14:textId="5FC9D7BB" w:rsidR="005F36E3" w:rsidRPr="0052401C" w:rsidRDefault="005F36E3" w:rsidP="00327A8D">
      <w:pPr>
        <w:autoSpaceDE w:val="0"/>
        <w:autoSpaceDN w:val="0"/>
        <w:adjustRightInd w:val="0"/>
        <w:jc w:val="both"/>
        <w:rPr>
          <w:rFonts w:ascii="Palatino Linotype" w:hAnsi="Palatino Linotype" w:cs="Arial"/>
          <w:sz w:val="22"/>
          <w:szCs w:val="22"/>
        </w:rPr>
      </w:pPr>
      <w:r w:rsidRPr="0052401C">
        <w:rPr>
          <w:rFonts w:ascii="Palatino Linotype" w:hAnsi="Palatino Linotype" w:cs="Arial"/>
          <w:sz w:val="22"/>
          <w:szCs w:val="22"/>
        </w:rPr>
        <w:t xml:space="preserve">De conformidad con lo dispuesto en el artículo </w:t>
      </w:r>
      <w:r w:rsidR="00FE4F27" w:rsidRPr="0052401C">
        <w:rPr>
          <w:rFonts w:ascii="Palatino Linotype" w:hAnsi="Palatino Linotype" w:cs="Arial"/>
          <w:sz w:val="22"/>
          <w:szCs w:val="22"/>
        </w:rPr>
        <w:t>2567</w:t>
      </w:r>
      <w:r w:rsidRPr="0052401C">
        <w:rPr>
          <w:rFonts w:ascii="Palatino Linotype" w:hAnsi="Palatino Linotype" w:cs="Arial"/>
          <w:sz w:val="22"/>
          <w:szCs w:val="22"/>
        </w:rPr>
        <w:t xml:space="preserve"> del Código Municipal para el Distrito Metropolitano de Quito, </w:t>
      </w:r>
      <w:r w:rsidR="00764F2A" w:rsidRPr="0052401C">
        <w:rPr>
          <w:rFonts w:ascii="Palatino Linotype" w:hAnsi="Palatino Linotype" w:cs="Arial"/>
          <w:sz w:val="22"/>
          <w:szCs w:val="22"/>
        </w:rPr>
        <w:t xml:space="preserve">el </w:t>
      </w:r>
      <w:r w:rsidR="00D31F2D" w:rsidRPr="0052401C">
        <w:rPr>
          <w:rFonts w:ascii="Palatino Linotype" w:hAnsi="Palatino Linotype" w:cs="Arial"/>
          <w:sz w:val="22"/>
          <w:szCs w:val="22"/>
        </w:rPr>
        <w:t>beneficiario</w:t>
      </w:r>
      <w:r w:rsidR="00CD51C7" w:rsidRPr="0052401C">
        <w:rPr>
          <w:rFonts w:ascii="Palatino Linotype" w:hAnsi="Palatino Linotype" w:cs="Arial"/>
          <w:sz w:val="22"/>
          <w:szCs w:val="22"/>
        </w:rPr>
        <w:t xml:space="preserve"> deberá compensar en valor monetario, la contribución del 15% del área útil adjudicada</w:t>
      </w:r>
      <w:r w:rsidRPr="0052401C">
        <w:rPr>
          <w:rFonts w:ascii="Palatino Linotype" w:hAnsi="Palatino Linotype" w:cs="Arial"/>
          <w:sz w:val="22"/>
          <w:szCs w:val="22"/>
        </w:rPr>
        <w:t xml:space="preserve">, de acuerdo con el cálculo que realice la </w:t>
      </w:r>
      <w:r w:rsidR="00FE4F27" w:rsidRPr="0052401C">
        <w:rPr>
          <w:rFonts w:ascii="Palatino Linotype" w:hAnsi="Palatino Linotype" w:cs="Arial"/>
          <w:sz w:val="22"/>
          <w:szCs w:val="22"/>
        </w:rPr>
        <w:t>Administración Zonal competente con base a la normativa vigente.</w:t>
      </w:r>
    </w:p>
    <w:p w14:paraId="4C837BA5" w14:textId="77777777" w:rsidR="005F36E3" w:rsidRPr="0052401C" w:rsidRDefault="005F36E3" w:rsidP="00327A8D">
      <w:pPr>
        <w:autoSpaceDE w:val="0"/>
        <w:autoSpaceDN w:val="0"/>
        <w:adjustRightInd w:val="0"/>
        <w:jc w:val="both"/>
        <w:rPr>
          <w:rFonts w:ascii="Palatino Linotype" w:eastAsiaTheme="minorHAnsi" w:hAnsi="Palatino Linotype"/>
          <w:sz w:val="22"/>
          <w:szCs w:val="22"/>
          <w:lang w:eastAsia="en-US"/>
        </w:rPr>
      </w:pPr>
    </w:p>
    <w:p w14:paraId="3CF46E53" w14:textId="77777777" w:rsidR="000D4771" w:rsidRPr="0052401C" w:rsidRDefault="000D4771" w:rsidP="00327A8D">
      <w:pPr>
        <w:autoSpaceDE w:val="0"/>
        <w:autoSpaceDN w:val="0"/>
        <w:adjustRightInd w:val="0"/>
        <w:jc w:val="both"/>
        <w:rPr>
          <w:rFonts w:ascii="Palatino Linotype" w:eastAsiaTheme="minorHAnsi" w:hAnsi="Palatino Linotype"/>
          <w:sz w:val="22"/>
          <w:szCs w:val="22"/>
          <w:lang w:eastAsia="en-US"/>
        </w:rPr>
      </w:pPr>
    </w:p>
    <w:p w14:paraId="6B2B44F3" w14:textId="77777777" w:rsidR="00755448" w:rsidRPr="0052401C" w:rsidRDefault="00327A8D" w:rsidP="00327A8D">
      <w:pPr>
        <w:autoSpaceDE w:val="0"/>
        <w:autoSpaceDN w:val="0"/>
        <w:adjustRightInd w:val="0"/>
        <w:jc w:val="center"/>
        <w:rPr>
          <w:rFonts w:ascii="Palatino Linotype" w:eastAsiaTheme="minorHAnsi" w:hAnsi="Palatino Linotype"/>
          <w:b/>
          <w:sz w:val="22"/>
          <w:szCs w:val="22"/>
          <w:lang w:eastAsia="en-US"/>
        </w:rPr>
      </w:pPr>
      <w:r w:rsidRPr="0052401C">
        <w:rPr>
          <w:rFonts w:ascii="Palatino Linotype" w:eastAsiaTheme="minorHAnsi" w:hAnsi="Palatino Linotype"/>
          <w:b/>
          <w:sz w:val="22"/>
          <w:szCs w:val="22"/>
          <w:lang w:eastAsia="en-US"/>
        </w:rPr>
        <w:t>DISPOSICIONES GENERALES:</w:t>
      </w:r>
    </w:p>
    <w:p w14:paraId="76012093" w14:textId="77777777" w:rsidR="00755448" w:rsidRPr="0052401C" w:rsidRDefault="00755448" w:rsidP="00327A8D">
      <w:pPr>
        <w:autoSpaceDE w:val="0"/>
        <w:autoSpaceDN w:val="0"/>
        <w:adjustRightInd w:val="0"/>
        <w:jc w:val="both"/>
        <w:rPr>
          <w:rFonts w:ascii="Palatino Linotype" w:eastAsiaTheme="minorHAnsi" w:hAnsi="Palatino Linotype"/>
          <w:b/>
          <w:sz w:val="22"/>
          <w:szCs w:val="22"/>
          <w:lang w:eastAsia="en-US"/>
        </w:rPr>
      </w:pPr>
    </w:p>
    <w:p w14:paraId="244BA2D0" w14:textId="4A570BEA" w:rsidR="00755448" w:rsidRPr="0052401C" w:rsidRDefault="0078423B" w:rsidP="00327A8D">
      <w:pPr>
        <w:autoSpaceDE w:val="0"/>
        <w:autoSpaceDN w:val="0"/>
        <w:adjustRightInd w:val="0"/>
        <w:jc w:val="both"/>
        <w:rPr>
          <w:rFonts w:ascii="Palatino Linotype" w:eastAsiaTheme="minorHAnsi" w:hAnsi="Palatino Linotype"/>
          <w:sz w:val="22"/>
          <w:szCs w:val="22"/>
          <w:lang w:eastAsia="en-US"/>
        </w:rPr>
      </w:pPr>
      <w:r w:rsidRPr="0052401C">
        <w:rPr>
          <w:rFonts w:ascii="Palatino Linotype" w:eastAsiaTheme="minorHAnsi" w:hAnsi="Palatino Linotype"/>
          <w:b/>
          <w:sz w:val="22"/>
          <w:szCs w:val="22"/>
          <w:lang w:eastAsia="en-US"/>
        </w:rPr>
        <w:t>Primera. -</w:t>
      </w:r>
      <w:r w:rsidR="00755448" w:rsidRPr="0052401C">
        <w:rPr>
          <w:rFonts w:ascii="Palatino Linotype" w:eastAsiaTheme="minorHAnsi" w:hAnsi="Palatino Linotype"/>
          <w:b/>
          <w:sz w:val="22"/>
          <w:szCs w:val="22"/>
          <w:lang w:eastAsia="en-US"/>
        </w:rPr>
        <w:t xml:space="preserve"> </w:t>
      </w:r>
      <w:r w:rsidR="00755448" w:rsidRPr="0052401C">
        <w:rPr>
          <w:rFonts w:ascii="Palatino Linotype" w:eastAsiaTheme="minorHAnsi" w:hAnsi="Palatino Linotype"/>
          <w:sz w:val="22"/>
          <w:szCs w:val="22"/>
          <w:lang w:eastAsia="en-US"/>
        </w:rPr>
        <w:t xml:space="preserve">Comuníquese al interesado, a la Administración Zonal correspondiente y, a la Secretaría de Territorio, Hábitat y Vivienda, a fin de que se continúe con los trámites de ley. </w:t>
      </w:r>
    </w:p>
    <w:p w14:paraId="04B1BF56" w14:textId="77777777" w:rsidR="00755448" w:rsidRPr="0052401C" w:rsidRDefault="00755448" w:rsidP="00327A8D">
      <w:pPr>
        <w:autoSpaceDE w:val="0"/>
        <w:autoSpaceDN w:val="0"/>
        <w:adjustRightInd w:val="0"/>
        <w:rPr>
          <w:rFonts w:ascii="Palatino Linotype" w:eastAsiaTheme="minorHAnsi" w:hAnsi="Palatino Linotype"/>
          <w:sz w:val="22"/>
          <w:szCs w:val="22"/>
          <w:lang w:eastAsia="en-US"/>
        </w:rPr>
      </w:pPr>
    </w:p>
    <w:p w14:paraId="3205FB71" w14:textId="328D8CFC" w:rsidR="00755448" w:rsidRPr="0052401C" w:rsidRDefault="0078423B" w:rsidP="00327A8D">
      <w:pPr>
        <w:autoSpaceDE w:val="0"/>
        <w:autoSpaceDN w:val="0"/>
        <w:adjustRightInd w:val="0"/>
        <w:rPr>
          <w:rFonts w:ascii="Palatino Linotype" w:eastAsiaTheme="minorHAnsi" w:hAnsi="Palatino Linotype"/>
          <w:sz w:val="22"/>
          <w:szCs w:val="22"/>
          <w:lang w:eastAsia="en-US"/>
        </w:rPr>
      </w:pPr>
      <w:r w:rsidRPr="0052401C">
        <w:rPr>
          <w:rFonts w:ascii="Palatino Linotype" w:eastAsiaTheme="minorHAnsi" w:hAnsi="Palatino Linotype"/>
          <w:b/>
          <w:sz w:val="22"/>
          <w:szCs w:val="22"/>
          <w:lang w:eastAsia="en-US"/>
        </w:rPr>
        <w:t>Segunda. -</w:t>
      </w:r>
      <w:r w:rsidR="00755448" w:rsidRPr="0052401C">
        <w:rPr>
          <w:rFonts w:ascii="Palatino Linotype" w:eastAsiaTheme="minorHAnsi" w:hAnsi="Palatino Linotype"/>
          <w:sz w:val="22"/>
          <w:szCs w:val="22"/>
          <w:lang w:eastAsia="en-US"/>
        </w:rPr>
        <w:t xml:space="preserve"> La p</w:t>
      </w:r>
      <w:r w:rsidR="00FE4F27" w:rsidRPr="0052401C">
        <w:rPr>
          <w:rFonts w:ascii="Palatino Linotype" w:eastAsiaTheme="minorHAnsi" w:hAnsi="Palatino Linotype"/>
          <w:sz w:val="22"/>
          <w:szCs w:val="22"/>
          <w:lang w:eastAsia="en-US"/>
        </w:rPr>
        <w:t>resente resolución se aprueba con</w:t>
      </w:r>
      <w:r w:rsidR="00755448" w:rsidRPr="0052401C">
        <w:rPr>
          <w:rFonts w:ascii="Palatino Linotype" w:eastAsiaTheme="minorHAnsi" w:hAnsi="Palatino Linotype"/>
          <w:sz w:val="22"/>
          <w:szCs w:val="22"/>
          <w:lang w:eastAsia="en-US"/>
        </w:rPr>
        <w:t xml:space="preserve"> base a los informes que son de exclusiva responsabilidad de los funcionarios que lo suscriben y realizan.</w:t>
      </w:r>
    </w:p>
    <w:p w14:paraId="2A8BF68B" w14:textId="77777777" w:rsidR="00755448" w:rsidRPr="0052401C" w:rsidRDefault="00755448" w:rsidP="00327A8D">
      <w:pPr>
        <w:autoSpaceDE w:val="0"/>
        <w:autoSpaceDN w:val="0"/>
        <w:adjustRightInd w:val="0"/>
        <w:rPr>
          <w:rFonts w:ascii="Palatino Linotype" w:eastAsiaTheme="minorHAnsi" w:hAnsi="Palatino Linotype"/>
          <w:sz w:val="22"/>
          <w:szCs w:val="22"/>
          <w:lang w:eastAsia="en-US"/>
        </w:rPr>
      </w:pPr>
    </w:p>
    <w:p w14:paraId="567DF9D4" w14:textId="78908C5F" w:rsidR="00327A8D" w:rsidRPr="0052401C" w:rsidRDefault="00327A8D" w:rsidP="00327A8D">
      <w:pPr>
        <w:autoSpaceDE w:val="0"/>
        <w:autoSpaceDN w:val="0"/>
        <w:adjustRightInd w:val="0"/>
        <w:jc w:val="both"/>
        <w:rPr>
          <w:rFonts w:ascii="Palatino Linotype" w:eastAsiaTheme="minorHAnsi" w:hAnsi="Palatino Linotype"/>
          <w:sz w:val="22"/>
          <w:szCs w:val="22"/>
          <w:lang w:eastAsia="en-US"/>
        </w:rPr>
      </w:pPr>
      <w:r w:rsidRPr="0052401C">
        <w:rPr>
          <w:rFonts w:ascii="Palatino Linotype" w:eastAsiaTheme="minorHAnsi" w:hAnsi="Palatino Linotype"/>
          <w:b/>
          <w:sz w:val="22"/>
          <w:szCs w:val="22"/>
          <w:lang w:eastAsia="en-US"/>
        </w:rPr>
        <w:t xml:space="preserve">Disposición </w:t>
      </w:r>
      <w:r w:rsidR="0078423B" w:rsidRPr="0052401C">
        <w:rPr>
          <w:rFonts w:ascii="Palatino Linotype" w:eastAsiaTheme="minorHAnsi" w:hAnsi="Palatino Linotype"/>
          <w:b/>
          <w:sz w:val="22"/>
          <w:szCs w:val="22"/>
          <w:lang w:eastAsia="en-US"/>
        </w:rPr>
        <w:t>Final. -</w:t>
      </w:r>
      <w:r w:rsidRPr="0052401C">
        <w:rPr>
          <w:rFonts w:ascii="Palatino Linotype" w:eastAsiaTheme="minorHAnsi" w:hAnsi="Palatino Linotype"/>
          <w:sz w:val="22"/>
          <w:szCs w:val="22"/>
          <w:lang w:eastAsia="en-US"/>
        </w:rPr>
        <w:t xml:space="preserve"> La presente resolución entrará en vigencia a partir de su suscripción sin perjuicio de su publicación.</w:t>
      </w:r>
    </w:p>
    <w:p w14:paraId="54F708FB" w14:textId="77777777" w:rsidR="0078423B" w:rsidRPr="0052401C" w:rsidRDefault="0078423B" w:rsidP="00327A8D">
      <w:pPr>
        <w:jc w:val="both"/>
        <w:rPr>
          <w:rFonts w:ascii="Palatino Linotype" w:hAnsi="Palatino Linotype"/>
          <w:sz w:val="22"/>
          <w:szCs w:val="22"/>
        </w:rPr>
      </w:pPr>
    </w:p>
    <w:p w14:paraId="39E610DC" w14:textId="6DA0D728" w:rsidR="00327A8D" w:rsidRPr="0052401C" w:rsidRDefault="00327A8D" w:rsidP="00327A8D">
      <w:pPr>
        <w:jc w:val="both"/>
        <w:rPr>
          <w:rFonts w:ascii="Palatino Linotype" w:hAnsi="Palatino Linotype"/>
          <w:sz w:val="22"/>
          <w:szCs w:val="22"/>
        </w:rPr>
      </w:pPr>
      <w:r w:rsidRPr="0052401C">
        <w:rPr>
          <w:rFonts w:ascii="Palatino Linotype" w:hAnsi="Palatino Linotype"/>
          <w:sz w:val="22"/>
          <w:szCs w:val="22"/>
        </w:rPr>
        <w:t xml:space="preserve">Dada en el Distrito Metropolitano de Quito, a los </w:t>
      </w:r>
      <w:r w:rsidR="00764F2A" w:rsidRPr="0052401C">
        <w:rPr>
          <w:rFonts w:ascii="Palatino Linotype" w:hAnsi="Palatino Linotype"/>
          <w:sz w:val="22"/>
          <w:szCs w:val="22"/>
        </w:rPr>
        <w:t xml:space="preserve">xxxx </w:t>
      </w:r>
      <w:r w:rsidRPr="0052401C">
        <w:rPr>
          <w:rFonts w:ascii="Palatino Linotype" w:hAnsi="Palatino Linotype"/>
          <w:sz w:val="22"/>
          <w:szCs w:val="22"/>
        </w:rPr>
        <w:t xml:space="preserve">días del mes de </w:t>
      </w:r>
      <w:r w:rsidR="00764F2A" w:rsidRPr="0052401C">
        <w:rPr>
          <w:rFonts w:ascii="Palatino Linotype" w:hAnsi="Palatino Linotype"/>
          <w:sz w:val="22"/>
          <w:szCs w:val="22"/>
        </w:rPr>
        <w:t xml:space="preserve">xxxx </w:t>
      </w:r>
      <w:r w:rsidRPr="0052401C">
        <w:rPr>
          <w:rFonts w:ascii="Palatino Linotype" w:hAnsi="Palatino Linotype"/>
          <w:sz w:val="22"/>
          <w:szCs w:val="22"/>
        </w:rPr>
        <w:t>del año dos mil veintitrés.</w:t>
      </w:r>
    </w:p>
    <w:p w14:paraId="4A218F67" w14:textId="77777777" w:rsidR="00327A8D" w:rsidRPr="0052401C" w:rsidRDefault="00327A8D" w:rsidP="00327A8D">
      <w:pPr>
        <w:jc w:val="both"/>
        <w:rPr>
          <w:rFonts w:ascii="Palatino Linotype" w:hAnsi="Palatino Linotype"/>
          <w:sz w:val="22"/>
          <w:szCs w:val="22"/>
        </w:rPr>
      </w:pPr>
    </w:p>
    <w:p w14:paraId="295D555B" w14:textId="77777777" w:rsidR="000D4771" w:rsidRPr="0052401C" w:rsidRDefault="000D4771" w:rsidP="00327A8D">
      <w:pPr>
        <w:jc w:val="both"/>
        <w:rPr>
          <w:rFonts w:ascii="Palatino Linotype" w:hAnsi="Palatino Linotype"/>
          <w:b/>
          <w:sz w:val="22"/>
          <w:szCs w:val="22"/>
        </w:rPr>
      </w:pPr>
    </w:p>
    <w:p w14:paraId="2E369E20" w14:textId="77777777" w:rsidR="000D4771" w:rsidRPr="0052401C" w:rsidRDefault="000D4771" w:rsidP="00327A8D">
      <w:pPr>
        <w:jc w:val="both"/>
        <w:rPr>
          <w:rFonts w:ascii="Palatino Linotype" w:hAnsi="Palatino Linotype"/>
          <w:b/>
          <w:sz w:val="22"/>
          <w:szCs w:val="22"/>
        </w:rPr>
      </w:pPr>
    </w:p>
    <w:p w14:paraId="04874733" w14:textId="66875DC1" w:rsidR="00327A8D" w:rsidRPr="0052401C" w:rsidRDefault="00327A8D" w:rsidP="00327A8D">
      <w:pPr>
        <w:jc w:val="both"/>
        <w:rPr>
          <w:rFonts w:ascii="Palatino Linotype" w:hAnsi="Palatino Linotype"/>
          <w:sz w:val="22"/>
          <w:szCs w:val="22"/>
        </w:rPr>
      </w:pPr>
      <w:r w:rsidRPr="0052401C">
        <w:rPr>
          <w:rFonts w:ascii="Palatino Linotype" w:hAnsi="Palatino Linotype"/>
          <w:b/>
          <w:sz w:val="22"/>
          <w:szCs w:val="22"/>
        </w:rPr>
        <w:t xml:space="preserve">Alcaldía del Distrito Metropolitano. - </w:t>
      </w:r>
      <w:r w:rsidRPr="0052401C">
        <w:rPr>
          <w:rFonts w:ascii="Palatino Linotype" w:hAnsi="Palatino Linotype"/>
          <w:sz w:val="22"/>
          <w:szCs w:val="22"/>
        </w:rPr>
        <w:t xml:space="preserve">Distrito Metropolitano de Quito, </w:t>
      </w:r>
      <w:r w:rsidR="00764F2A" w:rsidRPr="0052401C">
        <w:rPr>
          <w:rFonts w:ascii="Palatino Linotype" w:hAnsi="Palatino Linotype"/>
          <w:sz w:val="22"/>
          <w:szCs w:val="22"/>
        </w:rPr>
        <w:t xml:space="preserve">xx </w:t>
      </w:r>
      <w:r w:rsidRPr="0052401C">
        <w:rPr>
          <w:rFonts w:ascii="Palatino Linotype" w:hAnsi="Palatino Linotype"/>
          <w:sz w:val="22"/>
          <w:szCs w:val="22"/>
        </w:rPr>
        <w:t xml:space="preserve">de </w:t>
      </w:r>
      <w:r w:rsidR="00764F2A" w:rsidRPr="0052401C">
        <w:rPr>
          <w:rFonts w:ascii="Palatino Linotype" w:hAnsi="Palatino Linotype"/>
          <w:sz w:val="22"/>
          <w:szCs w:val="22"/>
        </w:rPr>
        <w:t xml:space="preserve">xxxx </w:t>
      </w:r>
      <w:r w:rsidRPr="0052401C">
        <w:rPr>
          <w:rFonts w:ascii="Palatino Linotype" w:hAnsi="Palatino Linotype"/>
          <w:sz w:val="22"/>
          <w:szCs w:val="22"/>
        </w:rPr>
        <w:t>de 2023.</w:t>
      </w:r>
    </w:p>
    <w:p w14:paraId="54C32EC4" w14:textId="77777777" w:rsidR="00327A8D" w:rsidRPr="0052401C" w:rsidRDefault="00327A8D" w:rsidP="00327A8D">
      <w:pPr>
        <w:jc w:val="center"/>
        <w:rPr>
          <w:rFonts w:ascii="Palatino Linotype" w:hAnsi="Palatino Linotype"/>
          <w:b/>
          <w:sz w:val="22"/>
          <w:szCs w:val="22"/>
        </w:rPr>
      </w:pPr>
    </w:p>
    <w:p w14:paraId="5EE5FABB" w14:textId="77777777" w:rsidR="00327A8D" w:rsidRPr="0052401C" w:rsidRDefault="00327A8D" w:rsidP="00327A8D">
      <w:pPr>
        <w:ind w:left="51"/>
        <w:jc w:val="center"/>
        <w:rPr>
          <w:rFonts w:ascii="Palatino Linotype" w:hAnsi="Palatino Linotype"/>
          <w:sz w:val="22"/>
          <w:szCs w:val="22"/>
        </w:rPr>
      </w:pPr>
    </w:p>
    <w:p w14:paraId="37D0B67E" w14:textId="77777777" w:rsidR="00327A8D" w:rsidRPr="0052401C" w:rsidRDefault="00327A8D" w:rsidP="00327A8D">
      <w:pPr>
        <w:rPr>
          <w:rFonts w:ascii="Palatino Linotype" w:hAnsi="Palatino Linotype"/>
          <w:sz w:val="22"/>
          <w:szCs w:val="22"/>
        </w:rPr>
      </w:pPr>
    </w:p>
    <w:p w14:paraId="0BD5AE2F" w14:textId="77777777" w:rsidR="000D4771" w:rsidRPr="0052401C" w:rsidRDefault="000D4771" w:rsidP="00327A8D">
      <w:pPr>
        <w:rPr>
          <w:rFonts w:ascii="Palatino Linotype" w:hAnsi="Palatino Linotype"/>
          <w:sz w:val="22"/>
          <w:szCs w:val="22"/>
        </w:rPr>
      </w:pPr>
    </w:p>
    <w:p w14:paraId="5CF5E274" w14:textId="77777777" w:rsidR="00327A8D" w:rsidRPr="0052401C" w:rsidRDefault="00327A8D" w:rsidP="00327A8D">
      <w:pPr>
        <w:ind w:left="51"/>
        <w:jc w:val="center"/>
        <w:rPr>
          <w:rFonts w:ascii="Palatino Linotype" w:hAnsi="Palatino Linotype"/>
          <w:sz w:val="22"/>
          <w:szCs w:val="22"/>
        </w:rPr>
      </w:pPr>
      <w:r w:rsidRPr="0052401C">
        <w:rPr>
          <w:rFonts w:ascii="Palatino Linotype" w:hAnsi="Palatino Linotype"/>
          <w:sz w:val="22"/>
          <w:szCs w:val="22"/>
        </w:rPr>
        <w:t>Pabel Muñoz López</w:t>
      </w:r>
    </w:p>
    <w:p w14:paraId="5FFD5E72" w14:textId="77777777" w:rsidR="00327A8D" w:rsidRPr="0052401C" w:rsidRDefault="00327A8D" w:rsidP="00327A8D">
      <w:pPr>
        <w:keepNext/>
        <w:keepLines/>
        <w:ind w:left="10" w:right="6" w:hanging="10"/>
        <w:jc w:val="center"/>
        <w:outlineLvl w:val="0"/>
        <w:rPr>
          <w:rFonts w:ascii="Palatino Linotype" w:hAnsi="Palatino Linotype" w:cs="Palatino Linotype"/>
          <w:b/>
          <w:color w:val="000000"/>
          <w:sz w:val="22"/>
          <w:szCs w:val="22"/>
          <w:lang w:eastAsia="es-EC"/>
        </w:rPr>
      </w:pPr>
      <w:r w:rsidRPr="0052401C">
        <w:rPr>
          <w:rFonts w:ascii="Palatino Linotype" w:hAnsi="Palatino Linotype" w:cs="Palatino Linotype"/>
          <w:b/>
          <w:color w:val="000000"/>
          <w:sz w:val="22"/>
          <w:szCs w:val="22"/>
          <w:lang w:eastAsia="es-EC"/>
        </w:rPr>
        <w:t>ALCALDE DEL DISTRITO METROPOLITANO DE QUITO</w:t>
      </w:r>
    </w:p>
    <w:p w14:paraId="161D213F" w14:textId="77777777" w:rsidR="00327A8D" w:rsidRPr="0052401C" w:rsidRDefault="00327A8D" w:rsidP="00327A8D">
      <w:pPr>
        <w:jc w:val="both"/>
        <w:rPr>
          <w:rFonts w:ascii="Palatino Linotype" w:hAnsi="Palatino Linotype"/>
          <w:b/>
          <w:sz w:val="22"/>
          <w:szCs w:val="22"/>
        </w:rPr>
      </w:pPr>
    </w:p>
    <w:p w14:paraId="76911B97" w14:textId="0C260D1B" w:rsidR="00327A8D" w:rsidRPr="0052401C" w:rsidRDefault="00327A8D" w:rsidP="00327A8D">
      <w:pPr>
        <w:jc w:val="both"/>
        <w:rPr>
          <w:rFonts w:ascii="Palatino Linotype" w:hAnsi="Palatino Linotype"/>
          <w:sz w:val="22"/>
          <w:szCs w:val="22"/>
        </w:rPr>
      </w:pPr>
      <w:r w:rsidRPr="0052401C">
        <w:rPr>
          <w:rFonts w:ascii="Palatino Linotype" w:hAnsi="Palatino Linotype"/>
          <w:b/>
          <w:sz w:val="22"/>
          <w:szCs w:val="22"/>
        </w:rPr>
        <w:t>CERTIFICO,</w:t>
      </w:r>
      <w:r w:rsidRPr="0052401C">
        <w:rPr>
          <w:rFonts w:ascii="Palatino Linotype" w:hAnsi="Palatino Linotype"/>
          <w:sz w:val="22"/>
          <w:szCs w:val="22"/>
        </w:rPr>
        <w:t xml:space="preserve"> que la presente resolución fue discutida y aprobada en la sesión pública No. </w:t>
      </w:r>
      <w:r w:rsidR="00B6485C" w:rsidRPr="0052401C">
        <w:rPr>
          <w:rFonts w:ascii="Palatino Linotype" w:hAnsi="Palatino Linotype"/>
          <w:sz w:val="22"/>
          <w:szCs w:val="22"/>
        </w:rPr>
        <w:t xml:space="preserve">xxx </w:t>
      </w:r>
      <w:r w:rsidRPr="0052401C">
        <w:rPr>
          <w:rFonts w:ascii="Palatino Linotype" w:hAnsi="Palatino Linotype"/>
          <w:sz w:val="22"/>
          <w:szCs w:val="22"/>
        </w:rPr>
        <w:t xml:space="preserve">Ordinaria del Concejo Metropolitano de Quito, el </w:t>
      </w:r>
      <w:r w:rsidR="00B6485C" w:rsidRPr="0052401C">
        <w:rPr>
          <w:rFonts w:ascii="Palatino Linotype" w:hAnsi="Palatino Linotype"/>
          <w:sz w:val="22"/>
          <w:szCs w:val="22"/>
        </w:rPr>
        <w:t xml:space="preserve">xx </w:t>
      </w:r>
      <w:r w:rsidRPr="0052401C">
        <w:rPr>
          <w:rFonts w:ascii="Palatino Linotype" w:hAnsi="Palatino Linotype"/>
          <w:sz w:val="22"/>
          <w:szCs w:val="22"/>
        </w:rPr>
        <w:t xml:space="preserve">de </w:t>
      </w:r>
      <w:r w:rsidR="00B6485C" w:rsidRPr="0052401C">
        <w:rPr>
          <w:rFonts w:ascii="Palatino Linotype" w:hAnsi="Palatino Linotype"/>
          <w:sz w:val="22"/>
          <w:szCs w:val="22"/>
        </w:rPr>
        <w:t xml:space="preserve">xxxx </w:t>
      </w:r>
      <w:r w:rsidRPr="0052401C">
        <w:rPr>
          <w:rFonts w:ascii="Palatino Linotype" w:hAnsi="Palatino Linotype"/>
          <w:sz w:val="22"/>
          <w:szCs w:val="22"/>
        </w:rPr>
        <w:t xml:space="preserve">de 2023; y, suscrita por el señor Pabel Muñoz López, Alcalde del Distrito Metropolitano de Quito, el </w:t>
      </w:r>
      <w:r w:rsidR="00B6485C" w:rsidRPr="0052401C">
        <w:rPr>
          <w:rFonts w:ascii="Palatino Linotype" w:hAnsi="Palatino Linotype"/>
          <w:sz w:val="22"/>
          <w:szCs w:val="22"/>
        </w:rPr>
        <w:t xml:space="preserve">xx </w:t>
      </w:r>
      <w:r w:rsidRPr="0052401C">
        <w:rPr>
          <w:rFonts w:ascii="Palatino Linotype" w:hAnsi="Palatino Linotype"/>
          <w:sz w:val="22"/>
          <w:szCs w:val="22"/>
        </w:rPr>
        <w:t xml:space="preserve">de </w:t>
      </w:r>
      <w:r w:rsidR="00B6485C" w:rsidRPr="0052401C">
        <w:rPr>
          <w:rFonts w:ascii="Palatino Linotype" w:hAnsi="Palatino Linotype"/>
          <w:sz w:val="22"/>
          <w:szCs w:val="22"/>
        </w:rPr>
        <w:t xml:space="preserve">xxxx </w:t>
      </w:r>
      <w:r w:rsidRPr="0052401C">
        <w:rPr>
          <w:rFonts w:ascii="Palatino Linotype" w:hAnsi="Palatino Linotype"/>
          <w:sz w:val="22"/>
          <w:szCs w:val="22"/>
        </w:rPr>
        <w:t>de 2023.</w:t>
      </w:r>
    </w:p>
    <w:p w14:paraId="37DC686A" w14:textId="77777777" w:rsidR="00327A8D" w:rsidRPr="0052401C" w:rsidRDefault="00327A8D" w:rsidP="00327A8D">
      <w:pPr>
        <w:jc w:val="both"/>
        <w:rPr>
          <w:rFonts w:ascii="Palatino Linotype" w:hAnsi="Palatino Linotype"/>
          <w:b/>
          <w:sz w:val="22"/>
          <w:szCs w:val="22"/>
        </w:rPr>
      </w:pPr>
      <w:r w:rsidRPr="0052401C">
        <w:rPr>
          <w:rFonts w:ascii="Palatino Linotype" w:hAnsi="Palatino Linotype"/>
          <w:b/>
          <w:sz w:val="22"/>
          <w:szCs w:val="22"/>
        </w:rPr>
        <w:t xml:space="preserve"> </w:t>
      </w:r>
    </w:p>
    <w:p w14:paraId="1D9E8E64" w14:textId="4800A689" w:rsidR="00327A8D" w:rsidRPr="0052401C" w:rsidRDefault="00327A8D" w:rsidP="00327A8D">
      <w:pPr>
        <w:ind w:right="-39"/>
        <w:jc w:val="both"/>
        <w:rPr>
          <w:rFonts w:ascii="Palatino Linotype" w:eastAsia="SimSun" w:hAnsi="Palatino Linotype"/>
          <w:sz w:val="22"/>
          <w:szCs w:val="22"/>
          <w:lang w:eastAsia="en-US"/>
        </w:rPr>
      </w:pPr>
      <w:r w:rsidRPr="0052401C">
        <w:rPr>
          <w:rFonts w:ascii="Palatino Linotype" w:eastAsia="SimSun" w:hAnsi="Palatino Linotype"/>
          <w:b/>
          <w:sz w:val="22"/>
          <w:szCs w:val="22"/>
          <w:lang w:eastAsia="en-US"/>
        </w:rPr>
        <w:t>Lo</w:t>
      </w:r>
      <w:r w:rsidRPr="0052401C">
        <w:rPr>
          <w:rFonts w:ascii="Palatino Linotype" w:eastAsia="SimSun" w:hAnsi="Palatino Linotype"/>
          <w:b/>
          <w:spacing w:val="-2"/>
          <w:sz w:val="22"/>
          <w:szCs w:val="22"/>
          <w:lang w:eastAsia="en-US"/>
        </w:rPr>
        <w:t xml:space="preserve"> </w:t>
      </w:r>
      <w:r w:rsidRPr="0052401C">
        <w:rPr>
          <w:rFonts w:ascii="Palatino Linotype" w:eastAsia="SimSun" w:hAnsi="Palatino Linotype"/>
          <w:b/>
          <w:sz w:val="22"/>
          <w:szCs w:val="22"/>
          <w:lang w:eastAsia="en-US"/>
        </w:rPr>
        <w:t>certifico.</w:t>
      </w:r>
      <w:r w:rsidRPr="0052401C">
        <w:rPr>
          <w:rFonts w:ascii="Palatino Linotype" w:eastAsia="SimSun" w:hAnsi="Palatino Linotype"/>
          <w:b/>
          <w:spacing w:val="-6"/>
          <w:sz w:val="22"/>
          <w:szCs w:val="22"/>
          <w:lang w:eastAsia="en-US"/>
        </w:rPr>
        <w:t xml:space="preserve"> </w:t>
      </w:r>
      <w:r w:rsidRPr="0052401C">
        <w:rPr>
          <w:rFonts w:ascii="Palatino Linotype" w:eastAsia="SimSun" w:hAnsi="Palatino Linotype"/>
          <w:b/>
          <w:sz w:val="22"/>
          <w:szCs w:val="22"/>
          <w:lang w:eastAsia="en-US"/>
        </w:rPr>
        <w:t xml:space="preserve">- </w:t>
      </w:r>
      <w:r w:rsidRPr="0052401C">
        <w:rPr>
          <w:rFonts w:ascii="Palatino Linotype" w:eastAsia="SimSun" w:hAnsi="Palatino Linotype"/>
          <w:sz w:val="22"/>
          <w:szCs w:val="22"/>
          <w:lang w:eastAsia="en-US"/>
        </w:rPr>
        <w:t>Distrito</w:t>
      </w:r>
      <w:r w:rsidRPr="0052401C">
        <w:rPr>
          <w:rFonts w:ascii="Palatino Linotype" w:eastAsia="SimSun" w:hAnsi="Palatino Linotype"/>
          <w:spacing w:val="-1"/>
          <w:sz w:val="22"/>
          <w:szCs w:val="22"/>
          <w:lang w:eastAsia="en-US"/>
        </w:rPr>
        <w:t xml:space="preserve"> </w:t>
      </w:r>
      <w:r w:rsidRPr="0052401C">
        <w:rPr>
          <w:rFonts w:ascii="Palatino Linotype" w:eastAsia="SimSun" w:hAnsi="Palatino Linotype"/>
          <w:sz w:val="22"/>
          <w:szCs w:val="22"/>
          <w:lang w:eastAsia="en-US"/>
        </w:rPr>
        <w:t>Metropolitano</w:t>
      </w:r>
      <w:r w:rsidRPr="0052401C">
        <w:rPr>
          <w:rFonts w:ascii="Palatino Linotype" w:eastAsia="SimSun" w:hAnsi="Palatino Linotype"/>
          <w:spacing w:val="-1"/>
          <w:sz w:val="22"/>
          <w:szCs w:val="22"/>
          <w:lang w:eastAsia="en-US"/>
        </w:rPr>
        <w:t xml:space="preserve"> </w:t>
      </w:r>
      <w:r w:rsidRPr="0052401C">
        <w:rPr>
          <w:rFonts w:ascii="Palatino Linotype" w:eastAsia="SimSun" w:hAnsi="Palatino Linotype"/>
          <w:sz w:val="22"/>
          <w:szCs w:val="22"/>
          <w:lang w:eastAsia="en-US"/>
        </w:rPr>
        <w:t>de</w:t>
      </w:r>
      <w:r w:rsidRPr="0052401C">
        <w:rPr>
          <w:rFonts w:ascii="Palatino Linotype" w:eastAsia="SimSun" w:hAnsi="Palatino Linotype"/>
          <w:spacing w:val="-3"/>
          <w:sz w:val="22"/>
          <w:szCs w:val="22"/>
          <w:lang w:eastAsia="en-US"/>
        </w:rPr>
        <w:t xml:space="preserve"> </w:t>
      </w:r>
      <w:r w:rsidRPr="0052401C">
        <w:rPr>
          <w:rFonts w:ascii="Palatino Linotype" w:eastAsia="SimSun" w:hAnsi="Palatino Linotype"/>
          <w:sz w:val="22"/>
          <w:szCs w:val="22"/>
          <w:lang w:eastAsia="en-US"/>
        </w:rPr>
        <w:t xml:space="preserve">Quito, </w:t>
      </w:r>
      <w:r w:rsidR="00B6485C" w:rsidRPr="0052401C">
        <w:rPr>
          <w:rFonts w:ascii="Palatino Linotype" w:hAnsi="Palatino Linotype"/>
          <w:sz w:val="22"/>
          <w:szCs w:val="22"/>
        </w:rPr>
        <w:t xml:space="preserve">xx </w:t>
      </w:r>
      <w:r w:rsidRPr="0052401C">
        <w:rPr>
          <w:rFonts w:ascii="Palatino Linotype" w:hAnsi="Palatino Linotype"/>
          <w:sz w:val="22"/>
          <w:szCs w:val="22"/>
        </w:rPr>
        <w:t xml:space="preserve">de </w:t>
      </w:r>
      <w:r w:rsidR="00B6485C" w:rsidRPr="0052401C">
        <w:rPr>
          <w:rFonts w:ascii="Palatino Linotype" w:hAnsi="Palatino Linotype"/>
          <w:sz w:val="22"/>
          <w:szCs w:val="22"/>
        </w:rPr>
        <w:t xml:space="preserve">xxxx </w:t>
      </w:r>
      <w:r w:rsidRPr="0052401C">
        <w:rPr>
          <w:rFonts w:ascii="Palatino Linotype" w:hAnsi="Palatino Linotype"/>
          <w:sz w:val="22"/>
          <w:szCs w:val="22"/>
        </w:rPr>
        <w:t>de 2023.</w:t>
      </w:r>
    </w:p>
    <w:p w14:paraId="66C94AAC" w14:textId="77777777" w:rsidR="00327A8D" w:rsidRPr="0052401C" w:rsidRDefault="00327A8D" w:rsidP="00327A8D">
      <w:pPr>
        <w:jc w:val="both"/>
        <w:rPr>
          <w:rFonts w:ascii="Palatino Linotype" w:hAnsi="Palatino Linotype"/>
          <w:sz w:val="22"/>
          <w:szCs w:val="22"/>
          <w:highlight w:val="yellow"/>
        </w:rPr>
      </w:pPr>
      <w:r w:rsidRPr="0052401C">
        <w:rPr>
          <w:rFonts w:ascii="Palatino Linotype" w:hAnsi="Palatino Linotype"/>
          <w:sz w:val="22"/>
          <w:szCs w:val="22"/>
          <w:highlight w:val="yellow"/>
        </w:rPr>
        <w:t xml:space="preserve"> </w:t>
      </w:r>
    </w:p>
    <w:p w14:paraId="5342991A" w14:textId="77777777" w:rsidR="00327A8D" w:rsidRPr="0052401C" w:rsidRDefault="00327A8D" w:rsidP="00327A8D">
      <w:pPr>
        <w:jc w:val="both"/>
        <w:rPr>
          <w:rFonts w:ascii="Palatino Linotype" w:hAnsi="Palatino Linotype"/>
          <w:sz w:val="22"/>
          <w:szCs w:val="22"/>
          <w:highlight w:val="yellow"/>
        </w:rPr>
      </w:pPr>
    </w:p>
    <w:p w14:paraId="3CF85482" w14:textId="77777777" w:rsidR="00327A8D" w:rsidRPr="0052401C" w:rsidRDefault="00327A8D" w:rsidP="00327A8D">
      <w:pPr>
        <w:jc w:val="both"/>
        <w:rPr>
          <w:rFonts w:ascii="Palatino Linotype" w:hAnsi="Palatino Linotype"/>
          <w:sz w:val="22"/>
          <w:szCs w:val="22"/>
          <w:highlight w:val="yellow"/>
        </w:rPr>
      </w:pPr>
      <w:r w:rsidRPr="0052401C">
        <w:rPr>
          <w:rFonts w:ascii="Palatino Linotype" w:hAnsi="Palatino Linotype"/>
          <w:sz w:val="22"/>
          <w:szCs w:val="22"/>
          <w:highlight w:val="yellow"/>
        </w:rPr>
        <w:t xml:space="preserve"> </w:t>
      </w:r>
    </w:p>
    <w:p w14:paraId="1DCEE5CE" w14:textId="77777777" w:rsidR="00327A8D" w:rsidRPr="0052401C" w:rsidRDefault="00327A8D" w:rsidP="00327A8D">
      <w:pPr>
        <w:jc w:val="center"/>
        <w:rPr>
          <w:rFonts w:ascii="Palatino Linotype" w:hAnsi="Palatino Linotype"/>
          <w:sz w:val="22"/>
          <w:szCs w:val="22"/>
        </w:rPr>
      </w:pPr>
      <w:r w:rsidRPr="0052401C">
        <w:rPr>
          <w:rFonts w:ascii="Palatino Linotype" w:hAnsi="Palatino Linotype"/>
          <w:sz w:val="22"/>
          <w:szCs w:val="22"/>
        </w:rPr>
        <w:t xml:space="preserve">Dra. </w:t>
      </w:r>
      <w:r w:rsidRPr="0052401C">
        <w:rPr>
          <w:rFonts w:ascii="Palatino Linotype" w:hAnsi="Palatino Linotype" w:cs="Arial"/>
          <w:color w:val="000000"/>
          <w:sz w:val="22"/>
          <w:szCs w:val="22"/>
          <w:shd w:val="clear" w:color="auto" w:fill="FFFFFF"/>
        </w:rPr>
        <w:t>Libia Rivas Ordóñez</w:t>
      </w:r>
    </w:p>
    <w:p w14:paraId="2552DCDD" w14:textId="77777777" w:rsidR="00327A8D" w:rsidRPr="0052401C" w:rsidRDefault="00327A8D" w:rsidP="00327A8D">
      <w:pPr>
        <w:ind w:left="5"/>
        <w:jc w:val="center"/>
        <w:rPr>
          <w:rFonts w:ascii="Palatino Linotype" w:hAnsi="Palatino Linotype" w:cs="Arial"/>
          <w:bCs/>
          <w:sz w:val="22"/>
          <w:szCs w:val="22"/>
        </w:rPr>
      </w:pPr>
      <w:r w:rsidRPr="0052401C">
        <w:rPr>
          <w:rFonts w:ascii="Palatino Linotype" w:hAnsi="Palatino Linotype"/>
          <w:b/>
          <w:sz w:val="22"/>
          <w:szCs w:val="22"/>
          <w:lang w:eastAsia="en-US"/>
        </w:rPr>
        <w:t>SECRETARIA GENERAL DEL CONCEJO METROPOLITANO</w:t>
      </w:r>
    </w:p>
    <w:p w14:paraId="76EFD9A2" w14:textId="77777777" w:rsidR="00327A8D" w:rsidRPr="0052401C" w:rsidRDefault="00327A8D" w:rsidP="00327A8D">
      <w:pPr>
        <w:ind w:left="-5"/>
        <w:jc w:val="both"/>
        <w:rPr>
          <w:rFonts w:ascii="Palatino Linotype" w:eastAsia="Calibri" w:hAnsi="Palatino Linotype"/>
          <w:b/>
          <w:sz w:val="22"/>
          <w:szCs w:val="22"/>
          <w:lang w:eastAsia="en-US"/>
        </w:rPr>
      </w:pPr>
    </w:p>
    <w:p w14:paraId="6A7D0366" w14:textId="77777777" w:rsidR="00751D1C" w:rsidRPr="0052401C" w:rsidRDefault="00751D1C" w:rsidP="00327A8D">
      <w:pPr>
        <w:autoSpaceDE w:val="0"/>
        <w:autoSpaceDN w:val="0"/>
        <w:adjustRightInd w:val="0"/>
        <w:jc w:val="both"/>
        <w:rPr>
          <w:rFonts w:ascii="Palatino Linotype" w:eastAsia="Calibri" w:hAnsi="Palatino Linotype"/>
          <w:b/>
          <w:sz w:val="22"/>
          <w:szCs w:val="22"/>
          <w:lang w:eastAsia="en-US"/>
        </w:rPr>
      </w:pPr>
    </w:p>
    <w:sectPr w:rsidR="00751D1C" w:rsidRPr="0052401C" w:rsidSect="005D2467">
      <w:headerReference w:type="default" r:id="rId10"/>
      <w:footerReference w:type="default" r:id="rId11"/>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21239" w14:textId="77777777" w:rsidR="00CE1BCA" w:rsidRDefault="00CE1BCA">
      <w:r>
        <w:separator/>
      </w:r>
    </w:p>
  </w:endnote>
  <w:endnote w:type="continuationSeparator" w:id="0">
    <w:p w14:paraId="58330042" w14:textId="77777777" w:rsidR="00CE1BCA" w:rsidRDefault="00CE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289E256C" w14:textId="1641F167" w:rsidR="00707DE5" w:rsidRDefault="00C926A0">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135C26">
              <w:rPr>
                <w:rFonts w:ascii="Palatino Linotype" w:hAnsi="Palatino Linotype"/>
                <w:b/>
                <w:bCs/>
                <w:noProof/>
                <w:sz w:val="20"/>
                <w:szCs w:val="20"/>
              </w:rPr>
              <w:t>8</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135C26">
              <w:rPr>
                <w:rFonts w:ascii="Palatino Linotype" w:hAnsi="Palatino Linotype"/>
                <w:b/>
                <w:bCs/>
                <w:noProof/>
                <w:sz w:val="20"/>
                <w:szCs w:val="20"/>
              </w:rPr>
              <w:t>9</w:t>
            </w:r>
            <w:r w:rsidRPr="00707DE5">
              <w:rPr>
                <w:rFonts w:ascii="Palatino Linotype" w:hAnsi="Palatino Linotype"/>
                <w:b/>
                <w:bCs/>
                <w:sz w:val="20"/>
                <w:szCs w:val="20"/>
              </w:rPr>
              <w:fldChar w:fldCharType="end"/>
            </w:r>
          </w:p>
          <w:p w14:paraId="560E604C" w14:textId="77777777" w:rsidR="005D2467" w:rsidRPr="008479FB" w:rsidRDefault="00CE1BCA">
            <w:pPr>
              <w:pStyle w:val="Piedepgina"/>
              <w:jc w:val="right"/>
              <w:rPr>
                <w:rFonts w:ascii="Palatino Linotype" w:hAnsi="Palatino Linotype"/>
                <w:sz w:val="20"/>
                <w:szCs w:val="20"/>
              </w:rPr>
            </w:pPr>
          </w:p>
        </w:sdtContent>
      </w:sdt>
    </w:sdtContent>
  </w:sdt>
  <w:p w14:paraId="00912911" w14:textId="77777777" w:rsidR="005D2467" w:rsidRPr="008479FB" w:rsidRDefault="00CE1BCA">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5BD02" w14:textId="77777777" w:rsidR="00CE1BCA" w:rsidRDefault="00CE1BCA">
      <w:r>
        <w:separator/>
      </w:r>
    </w:p>
  </w:footnote>
  <w:footnote w:type="continuationSeparator" w:id="0">
    <w:p w14:paraId="5E60290C" w14:textId="77777777" w:rsidR="00CE1BCA" w:rsidRDefault="00CE1B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57E86" w14:textId="77777777" w:rsidR="00327A8D" w:rsidRPr="00327A8D" w:rsidRDefault="00327A8D" w:rsidP="00327A8D">
    <w:pPr>
      <w:pStyle w:val="Encabezado"/>
      <w:rPr>
        <w:sz w:val="22"/>
        <w:szCs w:val="22"/>
      </w:rPr>
    </w:pPr>
    <w:r w:rsidRPr="00327A8D">
      <w:rPr>
        <w:rFonts w:ascii="Palatino Linotype" w:hAnsi="Palatino Linotype"/>
        <w:b/>
        <w:noProof/>
        <w:sz w:val="22"/>
        <w:szCs w:val="22"/>
        <w:lang w:val="es-ES" w:eastAsia="es-ES"/>
      </w:rPr>
      <w:drawing>
        <wp:anchor distT="0" distB="0" distL="114300" distR="114300" simplePos="0" relativeHeight="251658240" behindDoc="0" locked="0" layoutInCell="1" allowOverlap="1" wp14:anchorId="3B0C7F61" wp14:editId="697F7118">
          <wp:simplePos x="0" y="0"/>
          <wp:positionH relativeFrom="margin">
            <wp:align>center</wp:align>
          </wp:positionH>
          <wp:positionV relativeFrom="paragraph">
            <wp:posOffset>2540</wp:posOffset>
          </wp:positionV>
          <wp:extent cx="673735" cy="990600"/>
          <wp:effectExtent l="0" t="0" r="0" b="0"/>
          <wp:wrapNone/>
          <wp:docPr id="7" name="Imagen 7"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73735" cy="990600"/>
                  </a:xfrm>
                  <a:prstGeom prst="rect">
                    <a:avLst/>
                  </a:prstGeom>
                  <a:noFill/>
                </pic:spPr>
              </pic:pic>
            </a:graphicData>
          </a:graphic>
        </wp:anchor>
      </w:drawing>
    </w:r>
  </w:p>
  <w:p w14:paraId="63A3BE2F" w14:textId="77777777" w:rsidR="00327A8D" w:rsidRPr="00327A8D" w:rsidRDefault="00327A8D" w:rsidP="00327A8D">
    <w:pPr>
      <w:pStyle w:val="Encabezado"/>
      <w:rPr>
        <w:sz w:val="22"/>
        <w:szCs w:val="22"/>
      </w:rPr>
    </w:pPr>
  </w:p>
  <w:p w14:paraId="1BC3F34F" w14:textId="77777777" w:rsidR="00327A8D" w:rsidRPr="00327A8D" w:rsidRDefault="00327A8D" w:rsidP="00327A8D">
    <w:pPr>
      <w:pStyle w:val="Encabezado"/>
      <w:rPr>
        <w:sz w:val="22"/>
        <w:szCs w:val="22"/>
      </w:rPr>
    </w:pPr>
  </w:p>
  <w:p w14:paraId="4759D632" w14:textId="77777777" w:rsidR="00327A8D" w:rsidRPr="00327A8D" w:rsidRDefault="00327A8D" w:rsidP="00327A8D">
    <w:pPr>
      <w:pStyle w:val="Encabezado"/>
      <w:rPr>
        <w:sz w:val="22"/>
        <w:szCs w:val="22"/>
      </w:rPr>
    </w:pPr>
  </w:p>
  <w:p w14:paraId="5C7B145A" w14:textId="77777777" w:rsidR="00327A8D" w:rsidRPr="00327A8D" w:rsidRDefault="00327A8D" w:rsidP="00327A8D">
    <w:pPr>
      <w:pStyle w:val="Encabezado"/>
      <w:rPr>
        <w:sz w:val="22"/>
        <w:szCs w:val="22"/>
      </w:rPr>
    </w:pPr>
  </w:p>
  <w:p w14:paraId="78C8B8E1" w14:textId="77777777" w:rsidR="00327A8D" w:rsidRPr="00327A8D" w:rsidRDefault="00327A8D" w:rsidP="00327A8D">
    <w:pPr>
      <w:pStyle w:val="Encabezado"/>
      <w:rPr>
        <w:sz w:val="22"/>
        <w:szCs w:val="22"/>
      </w:rPr>
    </w:pPr>
  </w:p>
  <w:p w14:paraId="47697710" w14:textId="4D00B29D" w:rsidR="00327A8D" w:rsidRPr="00327A8D" w:rsidRDefault="00327A8D" w:rsidP="00327A8D">
    <w:pPr>
      <w:jc w:val="center"/>
      <w:rPr>
        <w:rFonts w:ascii="Palatino Linotype" w:hAnsi="Palatino Linotype"/>
        <w:b/>
        <w:bCs/>
        <w:sz w:val="22"/>
        <w:szCs w:val="22"/>
      </w:rPr>
    </w:pPr>
    <w:r w:rsidRPr="00327A8D">
      <w:rPr>
        <w:rFonts w:ascii="Palatino Linotype" w:hAnsi="Palatino Linotype"/>
        <w:b/>
        <w:bCs/>
        <w:sz w:val="22"/>
        <w:szCs w:val="22"/>
      </w:rPr>
      <w:t>RESOLUCIÓN No. CDMQ-0</w:t>
    </w:r>
    <w:r w:rsidR="00992458">
      <w:rPr>
        <w:rFonts w:ascii="Palatino Linotype" w:hAnsi="Palatino Linotype"/>
        <w:b/>
        <w:bCs/>
        <w:sz w:val="22"/>
        <w:szCs w:val="22"/>
      </w:rPr>
      <w:t>1</w:t>
    </w:r>
    <w:r w:rsidR="007E108B">
      <w:rPr>
        <w:rFonts w:ascii="Palatino Linotype" w:hAnsi="Palatino Linotype"/>
        <w:b/>
        <w:bCs/>
        <w:sz w:val="22"/>
        <w:szCs w:val="22"/>
      </w:rPr>
      <w:t>2</w:t>
    </w:r>
    <w:r w:rsidRPr="00327A8D">
      <w:rPr>
        <w:rFonts w:ascii="Palatino Linotype" w:hAnsi="Palatino Linotype"/>
        <w:b/>
        <w:bCs/>
        <w:sz w:val="22"/>
        <w:szCs w:val="22"/>
      </w:rPr>
      <w:t>-2023</w:t>
    </w:r>
  </w:p>
  <w:p w14:paraId="34098D3C" w14:textId="77777777" w:rsidR="005D2467" w:rsidRPr="00327A8D" w:rsidRDefault="00CE1BCA">
    <w:pPr>
      <w:pStyle w:val="Encabezado"/>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B1517"/>
    <w:multiLevelType w:val="multilevel"/>
    <w:tmpl w:val="DDAED6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74261E92"/>
    <w:multiLevelType w:val="hybridMultilevel"/>
    <w:tmpl w:val="EAA2EC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A0"/>
    <w:rsid w:val="00002910"/>
    <w:rsid w:val="00006A5E"/>
    <w:rsid w:val="00006E97"/>
    <w:rsid w:val="000077F9"/>
    <w:rsid w:val="000202A1"/>
    <w:rsid w:val="000251CF"/>
    <w:rsid w:val="000264CB"/>
    <w:rsid w:val="00027D50"/>
    <w:rsid w:val="00030386"/>
    <w:rsid w:val="00035E6C"/>
    <w:rsid w:val="0004203F"/>
    <w:rsid w:val="0004446A"/>
    <w:rsid w:val="00063D30"/>
    <w:rsid w:val="00067AEE"/>
    <w:rsid w:val="0008033C"/>
    <w:rsid w:val="0008254A"/>
    <w:rsid w:val="00090B3D"/>
    <w:rsid w:val="00090E26"/>
    <w:rsid w:val="000944D7"/>
    <w:rsid w:val="00097C9B"/>
    <w:rsid w:val="000A17A7"/>
    <w:rsid w:val="000A6FF4"/>
    <w:rsid w:val="000A70A0"/>
    <w:rsid w:val="000A7525"/>
    <w:rsid w:val="000A7B91"/>
    <w:rsid w:val="000B4CF2"/>
    <w:rsid w:val="000C3425"/>
    <w:rsid w:val="000D4771"/>
    <w:rsid w:val="000D77BB"/>
    <w:rsid w:val="000E08D9"/>
    <w:rsid w:val="000E121C"/>
    <w:rsid w:val="000E205E"/>
    <w:rsid w:val="000E40DE"/>
    <w:rsid w:val="000E4614"/>
    <w:rsid w:val="000F6E07"/>
    <w:rsid w:val="001100CD"/>
    <w:rsid w:val="00115787"/>
    <w:rsid w:val="0013405F"/>
    <w:rsid w:val="00135C26"/>
    <w:rsid w:val="0013624A"/>
    <w:rsid w:val="001439C8"/>
    <w:rsid w:val="00144CDC"/>
    <w:rsid w:val="00144F8A"/>
    <w:rsid w:val="0017481B"/>
    <w:rsid w:val="00185B65"/>
    <w:rsid w:val="00195C2D"/>
    <w:rsid w:val="001A01E2"/>
    <w:rsid w:val="001A17A7"/>
    <w:rsid w:val="001A2E60"/>
    <w:rsid w:val="001A5724"/>
    <w:rsid w:val="001A7D4B"/>
    <w:rsid w:val="001B2FFD"/>
    <w:rsid w:val="001B3818"/>
    <w:rsid w:val="001B70C9"/>
    <w:rsid w:val="001C1FC7"/>
    <w:rsid w:val="001C7456"/>
    <w:rsid w:val="001D74D6"/>
    <w:rsid w:val="001E2F60"/>
    <w:rsid w:val="001F679D"/>
    <w:rsid w:val="001F733D"/>
    <w:rsid w:val="00207479"/>
    <w:rsid w:val="00224DF1"/>
    <w:rsid w:val="002258FC"/>
    <w:rsid w:val="002353AA"/>
    <w:rsid w:val="00236DB4"/>
    <w:rsid w:val="0024026A"/>
    <w:rsid w:val="0024403E"/>
    <w:rsid w:val="00245D20"/>
    <w:rsid w:val="002475CF"/>
    <w:rsid w:val="00252078"/>
    <w:rsid w:val="00253AA5"/>
    <w:rsid w:val="002612AA"/>
    <w:rsid w:val="0026215F"/>
    <w:rsid w:val="00264155"/>
    <w:rsid w:val="00283EDC"/>
    <w:rsid w:val="00290050"/>
    <w:rsid w:val="00296140"/>
    <w:rsid w:val="00296D2E"/>
    <w:rsid w:val="00297B92"/>
    <w:rsid w:val="002C44A1"/>
    <w:rsid w:val="002D4C5C"/>
    <w:rsid w:val="002E38B2"/>
    <w:rsid w:val="002E4C52"/>
    <w:rsid w:val="002E6A7D"/>
    <w:rsid w:val="002F2CCA"/>
    <w:rsid w:val="002F7AF5"/>
    <w:rsid w:val="003038AC"/>
    <w:rsid w:val="00306191"/>
    <w:rsid w:val="00313677"/>
    <w:rsid w:val="003210C2"/>
    <w:rsid w:val="00321A02"/>
    <w:rsid w:val="00322238"/>
    <w:rsid w:val="00327A8D"/>
    <w:rsid w:val="00336073"/>
    <w:rsid w:val="00343222"/>
    <w:rsid w:val="00345885"/>
    <w:rsid w:val="003503E8"/>
    <w:rsid w:val="00351814"/>
    <w:rsid w:val="00360B0F"/>
    <w:rsid w:val="00392632"/>
    <w:rsid w:val="003A3AD1"/>
    <w:rsid w:val="003C44C9"/>
    <w:rsid w:val="003C4FA7"/>
    <w:rsid w:val="003E3BAD"/>
    <w:rsid w:val="00400128"/>
    <w:rsid w:val="004014CA"/>
    <w:rsid w:val="00401F50"/>
    <w:rsid w:val="00406F51"/>
    <w:rsid w:val="00425507"/>
    <w:rsid w:val="0042799B"/>
    <w:rsid w:val="004306D0"/>
    <w:rsid w:val="004336C0"/>
    <w:rsid w:val="00445381"/>
    <w:rsid w:val="00446297"/>
    <w:rsid w:val="004553DB"/>
    <w:rsid w:val="00464216"/>
    <w:rsid w:val="0046585A"/>
    <w:rsid w:val="00470AD9"/>
    <w:rsid w:val="00481F59"/>
    <w:rsid w:val="00483541"/>
    <w:rsid w:val="00495B8D"/>
    <w:rsid w:val="004A628F"/>
    <w:rsid w:val="004B008D"/>
    <w:rsid w:val="004B2063"/>
    <w:rsid w:val="004C50EC"/>
    <w:rsid w:val="004C6A41"/>
    <w:rsid w:val="004D6FAA"/>
    <w:rsid w:val="004E2C3F"/>
    <w:rsid w:val="004E76E0"/>
    <w:rsid w:val="004F5036"/>
    <w:rsid w:val="004F7209"/>
    <w:rsid w:val="00511047"/>
    <w:rsid w:val="00523B1E"/>
    <w:rsid w:val="0052401C"/>
    <w:rsid w:val="00525A48"/>
    <w:rsid w:val="00532857"/>
    <w:rsid w:val="00537433"/>
    <w:rsid w:val="005403B2"/>
    <w:rsid w:val="0054446B"/>
    <w:rsid w:val="00552669"/>
    <w:rsid w:val="00552CDD"/>
    <w:rsid w:val="00564BDA"/>
    <w:rsid w:val="0056686B"/>
    <w:rsid w:val="005720AF"/>
    <w:rsid w:val="00587223"/>
    <w:rsid w:val="005A0BB9"/>
    <w:rsid w:val="005A6B15"/>
    <w:rsid w:val="005B26F0"/>
    <w:rsid w:val="005B6971"/>
    <w:rsid w:val="005B6E19"/>
    <w:rsid w:val="005B7C5B"/>
    <w:rsid w:val="005C1D48"/>
    <w:rsid w:val="005C419B"/>
    <w:rsid w:val="005C6371"/>
    <w:rsid w:val="005C733B"/>
    <w:rsid w:val="005D1661"/>
    <w:rsid w:val="005D3837"/>
    <w:rsid w:val="005D51F1"/>
    <w:rsid w:val="005D5471"/>
    <w:rsid w:val="005E4F19"/>
    <w:rsid w:val="005E6A39"/>
    <w:rsid w:val="005F36E3"/>
    <w:rsid w:val="00606C06"/>
    <w:rsid w:val="0061628B"/>
    <w:rsid w:val="00617C1E"/>
    <w:rsid w:val="0062345E"/>
    <w:rsid w:val="0063058D"/>
    <w:rsid w:val="00633AF6"/>
    <w:rsid w:val="00633ECE"/>
    <w:rsid w:val="006357B0"/>
    <w:rsid w:val="00636664"/>
    <w:rsid w:val="006613D1"/>
    <w:rsid w:val="00662D01"/>
    <w:rsid w:val="00664AE7"/>
    <w:rsid w:val="00673059"/>
    <w:rsid w:val="00677109"/>
    <w:rsid w:val="00681133"/>
    <w:rsid w:val="006861DE"/>
    <w:rsid w:val="00687C0C"/>
    <w:rsid w:val="0069369A"/>
    <w:rsid w:val="00693708"/>
    <w:rsid w:val="00694141"/>
    <w:rsid w:val="00696649"/>
    <w:rsid w:val="006A6DA4"/>
    <w:rsid w:val="006B3C18"/>
    <w:rsid w:val="006C2ACE"/>
    <w:rsid w:val="006C4379"/>
    <w:rsid w:val="006C76D0"/>
    <w:rsid w:val="006D1C9D"/>
    <w:rsid w:val="006E179D"/>
    <w:rsid w:val="006E34DC"/>
    <w:rsid w:val="006F16DE"/>
    <w:rsid w:val="006F674D"/>
    <w:rsid w:val="006F72F4"/>
    <w:rsid w:val="00704970"/>
    <w:rsid w:val="00707BCF"/>
    <w:rsid w:val="007115CA"/>
    <w:rsid w:val="0071609F"/>
    <w:rsid w:val="007227CA"/>
    <w:rsid w:val="00726973"/>
    <w:rsid w:val="00727F34"/>
    <w:rsid w:val="007315B0"/>
    <w:rsid w:val="007342B4"/>
    <w:rsid w:val="007401E1"/>
    <w:rsid w:val="00740EE8"/>
    <w:rsid w:val="00745751"/>
    <w:rsid w:val="007500BA"/>
    <w:rsid w:val="00751D1C"/>
    <w:rsid w:val="00755448"/>
    <w:rsid w:val="00757091"/>
    <w:rsid w:val="00764F2A"/>
    <w:rsid w:val="00782943"/>
    <w:rsid w:val="0078423B"/>
    <w:rsid w:val="00785C49"/>
    <w:rsid w:val="00793FD0"/>
    <w:rsid w:val="007B4D6C"/>
    <w:rsid w:val="007C3147"/>
    <w:rsid w:val="007D2680"/>
    <w:rsid w:val="007D2D4F"/>
    <w:rsid w:val="007E108B"/>
    <w:rsid w:val="007E60E9"/>
    <w:rsid w:val="007F4625"/>
    <w:rsid w:val="008044F7"/>
    <w:rsid w:val="00804EE6"/>
    <w:rsid w:val="00805221"/>
    <w:rsid w:val="0081380B"/>
    <w:rsid w:val="0082482D"/>
    <w:rsid w:val="00824AAD"/>
    <w:rsid w:val="00826061"/>
    <w:rsid w:val="00832D35"/>
    <w:rsid w:val="00846624"/>
    <w:rsid w:val="00854CBC"/>
    <w:rsid w:val="00855B0B"/>
    <w:rsid w:val="00862F11"/>
    <w:rsid w:val="008650E5"/>
    <w:rsid w:val="00865A81"/>
    <w:rsid w:val="00865AB0"/>
    <w:rsid w:val="0087756E"/>
    <w:rsid w:val="008824CB"/>
    <w:rsid w:val="008834D1"/>
    <w:rsid w:val="008835E2"/>
    <w:rsid w:val="0088501E"/>
    <w:rsid w:val="0088782F"/>
    <w:rsid w:val="00887CE0"/>
    <w:rsid w:val="00893065"/>
    <w:rsid w:val="00893F13"/>
    <w:rsid w:val="008A3F72"/>
    <w:rsid w:val="008A4665"/>
    <w:rsid w:val="008B4153"/>
    <w:rsid w:val="008B475F"/>
    <w:rsid w:val="008D6AA3"/>
    <w:rsid w:val="008E05AA"/>
    <w:rsid w:val="008F4892"/>
    <w:rsid w:val="009023EB"/>
    <w:rsid w:val="00904949"/>
    <w:rsid w:val="00907185"/>
    <w:rsid w:val="009144E2"/>
    <w:rsid w:val="00914D81"/>
    <w:rsid w:val="009213B4"/>
    <w:rsid w:val="00931583"/>
    <w:rsid w:val="0093701E"/>
    <w:rsid w:val="009401D2"/>
    <w:rsid w:val="00942032"/>
    <w:rsid w:val="00953717"/>
    <w:rsid w:val="009551FC"/>
    <w:rsid w:val="0096109F"/>
    <w:rsid w:val="00962351"/>
    <w:rsid w:val="00972C92"/>
    <w:rsid w:val="0097359A"/>
    <w:rsid w:val="00983736"/>
    <w:rsid w:val="009859A6"/>
    <w:rsid w:val="0098647F"/>
    <w:rsid w:val="00992458"/>
    <w:rsid w:val="00993181"/>
    <w:rsid w:val="0099372E"/>
    <w:rsid w:val="0099702E"/>
    <w:rsid w:val="009A0658"/>
    <w:rsid w:val="009A23BE"/>
    <w:rsid w:val="009C157E"/>
    <w:rsid w:val="009C184A"/>
    <w:rsid w:val="009D5D6C"/>
    <w:rsid w:val="009D6C70"/>
    <w:rsid w:val="009D76A5"/>
    <w:rsid w:val="009E1D0C"/>
    <w:rsid w:val="009E2AE3"/>
    <w:rsid w:val="009E7006"/>
    <w:rsid w:val="009E7CCA"/>
    <w:rsid w:val="009F0C58"/>
    <w:rsid w:val="009F1F87"/>
    <w:rsid w:val="009F2962"/>
    <w:rsid w:val="009F6F24"/>
    <w:rsid w:val="00A076A1"/>
    <w:rsid w:val="00A10CDA"/>
    <w:rsid w:val="00A23206"/>
    <w:rsid w:val="00A27A51"/>
    <w:rsid w:val="00A300F6"/>
    <w:rsid w:val="00A35D24"/>
    <w:rsid w:val="00A42FBD"/>
    <w:rsid w:val="00A45C33"/>
    <w:rsid w:val="00A46D4C"/>
    <w:rsid w:val="00A47D5C"/>
    <w:rsid w:val="00A53B09"/>
    <w:rsid w:val="00A55032"/>
    <w:rsid w:val="00A56888"/>
    <w:rsid w:val="00A60EBB"/>
    <w:rsid w:val="00A654D7"/>
    <w:rsid w:val="00A66C89"/>
    <w:rsid w:val="00A76A16"/>
    <w:rsid w:val="00A81C39"/>
    <w:rsid w:val="00A873C9"/>
    <w:rsid w:val="00A879BD"/>
    <w:rsid w:val="00A92B96"/>
    <w:rsid w:val="00AA23EE"/>
    <w:rsid w:val="00AA2620"/>
    <w:rsid w:val="00AA61B2"/>
    <w:rsid w:val="00AC0982"/>
    <w:rsid w:val="00AC4B2C"/>
    <w:rsid w:val="00AD0CAC"/>
    <w:rsid w:val="00AD1557"/>
    <w:rsid w:val="00AD2365"/>
    <w:rsid w:val="00AD767B"/>
    <w:rsid w:val="00AE0BF2"/>
    <w:rsid w:val="00AE18B4"/>
    <w:rsid w:val="00AE1F80"/>
    <w:rsid w:val="00AE320F"/>
    <w:rsid w:val="00AE5A20"/>
    <w:rsid w:val="00AE5F25"/>
    <w:rsid w:val="00B002FF"/>
    <w:rsid w:val="00B007F0"/>
    <w:rsid w:val="00B0169E"/>
    <w:rsid w:val="00B10E7C"/>
    <w:rsid w:val="00B27543"/>
    <w:rsid w:val="00B310D0"/>
    <w:rsid w:val="00B35D39"/>
    <w:rsid w:val="00B418BF"/>
    <w:rsid w:val="00B45C75"/>
    <w:rsid w:val="00B46254"/>
    <w:rsid w:val="00B47E78"/>
    <w:rsid w:val="00B5446C"/>
    <w:rsid w:val="00B6485C"/>
    <w:rsid w:val="00B706B2"/>
    <w:rsid w:val="00B748ED"/>
    <w:rsid w:val="00B84C96"/>
    <w:rsid w:val="00B9672E"/>
    <w:rsid w:val="00BA3CE3"/>
    <w:rsid w:val="00BA40F9"/>
    <w:rsid w:val="00BA63E5"/>
    <w:rsid w:val="00BB21CB"/>
    <w:rsid w:val="00BD292F"/>
    <w:rsid w:val="00BD7EFF"/>
    <w:rsid w:val="00BF4249"/>
    <w:rsid w:val="00C2568C"/>
    <w:rsid w:val="00C25B6D"/>
    <w:rsid w:val="00C261A8"/>
    <w:rsid w:val="00C2794C"/>
    <w:rsid w:val="00C31C0C"/>
    <w:rsid w:val="00C469C4"/>
    <w:rsid w:val="00C4735F"/>
    <w:rsid w:val="00C600A8"/>
    <w:rsid w:val="00C62E1F"/>
    <w:rsid w:val="00C64E4F"/>
    <w:rsid w:val="00C7771D"/>
    <w:rsid w:val="00C77EE7"/>
    <w:rsid w:val="00C82C59"/>
    <w:rsid w:val="00C926A0"/>
    <w:rsid w:val="00C9395C"/>
    <w:rsid w:val="00CB1FAE"/>
    <w:rsid w:val="00CB5779"/>
    <w:rsid w:val="00CB60CC"/>
    <w:rsid w:val="00CC5813"/>
    <w:rsid w:val="00CD0589"/>
    <w:rsid w:val="00CD51C7"/>
    <w:rsid w:val="00CE1BCA"/>
    <w:rsid w:val="00CE4359"/>
    <w:rsid w:val="00CF05C8"/>
    <w:rsid w:val="00CF748D"/>
    <w:rsid w:val="00D04CDD"/>
    <w:rsid w:val="00D070C6"/>
    <w:rsid w:val="00D1552F"/>
    <w:rsid w:val="00D23C29"/>
    <w:rsid w:val="00D27DC6"/>
    <w:rsid w:val="00D31F2D"/>
    <w:rsid w:val="00D4445E"/>
    <w:rsid w:val="00D46415"/>
    <w:rsid w:val="00D50BA6"/>
    <w:rsid w:val="00D52B01"/>
    <w:rsid w:val="00D5311D"/>
    <w:rsid w:val="00D57722"/>
    <w:rsid w:val="00D64A4C"/>
    <w:rsid w:val="00D65A52"/>
    <w:rsid w:val="00D85433"/>
    <w:rsid w:val="00D868A2"/>
    <w:rsid w:val="00D86EE7"/>
    <w:rsid w:val="00DA1F35"/>
    <w:rsid w:val="00DA4995"/>
    <w:rsid w:val="00DB0141"/>
    <w:rsid w:val="00DB07F4"/>
    <w:rsid w:val="00DB218D"/>
    <w:rsid w:val="00DB392E"/>
    <w:rsid w:val="00DB552C"/>
    <w:rsid w:val="00DC035E"/>
    <w:rsid w:val="00DC5625"/>
    <w:rsid w:val="00DD0991"/>
    <w:rsid w:val="00DD4311"/>
    <w:rsid w:val="00DD5FF2"/>
    <w:rsid w:val="00DD607C"/>
    <w:rsid w:val="00DE0B90"/>
    <w:rsid w:val="00DE3119"/>
    <w:rsid w:val="00DF0B4F"/>
    <w:rsid w:val="00E02AE3"/>
    <w:rsid w:val="00E06ECD"/>
    <w:rsid w:val="00E22628"/>
    <w:rsid w:val="00E2458D"/>
    <w:rsid w:val="00E2607A"/>
    <w:rsid w:val="00E332EA"/>
    <w:rsid w:val="00E41B4B"/>
    <w:rsid w:val="00E459E9"/>
    <w:rsid w:val="00E46A96"/>
    <w:rsid w:val="00E51165"/>
    <w:rsid w:val="00E5406F"/>
    <w:rsid w:val="00E64E46"/>
    <w:rsid w:val="00E65833"/>
    <w:rsid w:val="00E75C2D"/>
    <w:rsid w:val="00E814AD"/>
    <w:rsid w:val="00E81779"/>
    <w:rsid w:val="00E81F93"/>
    <w:rsid w:val="00E84326"/>
    <w:rsid w:val="00E953D6"/>
    <w:rsid w:val="00E97A2B"/>
    <w:rsid w:val="00EA20CF"/>
    <w:rsid w:val="00EA337F"/>
    <w:rsid w:val="00EA4E1C"/>
    <w:rsid w:val="00EA5D12"/>
    <w:rsid w:val="00EB3560"/>
    <w:rsid w:val="00EB7956"/>
    <w:rsid w:val="00EC6091"/>
    <w:rsid w:val="00EE1A99"/>
    <w:rsid w:val="00EE4C7B"/>
    <w:rsid w:val="00EF6F62"/>
    <w:rsid w:val="00F073C7"/>
    <w:rsid w:val="00F27EBD"/>
    <w:rsid w:val="00F31E5F"/>
    <w:rsid w:val="00F33C5B"/>
    <w:rsid w:val="00F5205A"/>
    <w:rsid w:val="00F6236F"/>
    <w:rsid w:val="00F62C41"/>
    <w:rsid w:val="00F64624"/>
    <w:rsid w:val="00F7293F"/>
    <w:rsid w:val="00F74523"/>
    <w:rsid w:val="00F92DB4"/>
    <w:rsid w:val="00F9391B"/>
    <w:rsid w:val="00F950D9"/>
    <w:rsid w:val="00FA7F92"/>
    <w:rsid w:val="00FB22AA"/>
    <w:rsid w:val="00FB2C86"/>
    <w:rsid w:val="00FC1472"/>
    <w:rsid w:val="00FC3E6E"/>
    <w:rsid w:val="00FD6ECF"/>
    <w:rsid w:val="00FE1203"/>
    <w:rsid w:val="00FE3412"/>
    <w:rsid w:val="00FE4F27"/>
    <w:rsid w:val="00FF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C532"/>
  <w15:docId w15:val="{056DDC9B-0919-4E0E-AF71-A543C731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6A0"/>
    <w:pPr>
      <w:spacing w:after="0" w:line="240" w:lineRule="auto"/>
    </w:pPr>
    <w:rPr>
      <w:rFonts w:ascii="Times New Roman" w:eastAsia="Times New Roman" w:hAnsi="Times New Roman" w:cs="Times New Roman"/>
      <w:sz w:val="24"/>
      <w:szCs w:val="24"/>
      <w:lang w:val="es-EC"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C926A0"/>
    <w:pPr>
      <w:jc w:val="both"/>
    </w:pPr>
    <w:rPr>
      <w:rFonts w:asciiTheme="minorHAnsi" w:eastAsiaTheme="minorHAnsi" w:hAnsiTheme="minorHAnsi" w:cstheme="minorBidi"/>
      <w:sz w:val="20"/>
      <w:szCs w:val="20"/>
      <w:lang w:eastAsia="en-US"/>
    </w:rPr>
  </w:style>
  <w:style w:type="character" w:customStyle="1" w:styleId="SinespaciadoCar">
    <w:name w:val="Sin espaciado Car"/>
    <w:basedOn w:val="Fuentedeprrafopredeter"/>
    <w:link w:val="Sinespaciado"/>
    <w:uiPriority w:val="1"/>
    <w:rsid w:val="00C926A0"/>
    <w:rPr>
      <w:sz w:val="20"/>
      <w:szCs w:val="20"/>
      <w:lang w:val="es-EC"/>
    </w:rPr>
  </w:style>
  <w:style w:type="paragraph" w:styleId="Piedepgina">
    <w:name w:val="footer"/>
    <w:basedOn w:val="Normal"/>
    <w:link w:val="PiedepginaCar"/>
    <w:uiPriority w:val="99"/>
    <w:unhideWhenUsed/>
    <w:rsid w:val="00C926A0"/>
    <w:pPr>
      <w:tabs>
        <w:tab w:val="center" w:pos="4252"/>
        <w:tab w:val="right" w:pos="8504"/>
      </w:tabs>
    </w:pPr>
  </w:style>
  <w:style w:type="character" w:customStyle="1" w:styleId="PiedepginaCar">
    <w:name w:val="Pie de página Car"/>
    <w:basedOn w:val="Fuentedeprrafopredeter"/>
    <w:link w:val="Piedepgina"/>
    <w:uiPriority w:val="99"/>
    <w:rsid w:val="00C926A0"/>
    <w:rPr>
      <w:rFonts w:ascii="Times New Roman" w:eastAsia="Times New Roman" w:hAnsi="Times New Roman" w:cs="Times New Roman"/>
      <w:sz w:val="24"/>
      <w:szCs w:val="24"/>
      <w:lang w:val="es-EC" w:eastAsia="es-ES_tradnl"/>
    </w:rPr>
  </w:style>
  <w:style w:type="paragraph" w:styleId="Encabezado">
    <w:name w:val="header"/>
    <w:basedOn w:val="Normal"/>
    <w:link w:val="EncabezadoCar"/>
    <w:uiPriority w:val="99"/>
    <w:unhideWhenUsed/>
    <w:rsid w:val="00C926A0"/>
    <w:pPr>
      <w:tabs>
        <w:tab w:val="center" w:pos="4419"/>
        <w:tab w:val="right" w:pos="8838"/>
      </w:tabs>
    </w:pPr>
  </w:style>
  <w:style w:type="character" w:customStyle="1" w:styleId="EncabezadoCar">
    <w:name w:val="Encabezado Car"/>
    <w:basedOn w:val="Fuentedeprrafopredeter"/>
    <w:link w:val="Encabezado"/>
    <w:uiPriority w:val="99"/>
    <w:rsid w:val="00C926A0"/>
    <w:rPr>
      <w:rFonts w:ascii="Times New Roman" w:eastAsia="Times New Roman" w:hAnsi="Times New Roman" w:cs="Times New Roman"/>
      <w:sz w:val="24"/>
      <w:szCs w:val="24"/>
      <w:lang w:val="es-EC" w:eastAsia="es-ES_tradnl"/>
    </w:rPr>
  </w:style>
  <w:style w:type="paragraph" w:styleId="NormalWeb">
    <w:name w:val="Normal (Web)"/>
    <w:basedOn w:val="Normal"/>
    <w:uiPriority w:val="99"/>
    <w:unhideWhenUsed/>
    <w:rsid w:val="00C926A0"/>
    <w:pPr>
      <w:spacing w:before="100" w:beforeAutospacing="1" w:after="100" w:afterAutospacing="1"/>
    </w:pPr>
  </w:style>
  <w:style w:type="paragraph" w:customStyle="1" w:styleId="Default">
    <w:name w:val="Default"/>
    <w:rsid w:val="001F733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markedcontent">
    <w:name w:val="markedcontent"/>
    <w:basedOn w:val="Fuentedeprrafopredeter"/>
    <w:rsid w:val="0042799B"/>
  </w:style>
  <w:style w:type="character" w:customStyle="1" w:styleId="highlight">
    <w:name w:val="highlight"/>
    <w:basedOn w:val="Fuentedeprrafopredeter"/>
    <w:rsid w:val="00A76A16"/>
  </w:style>
  <w:style w:type="paragraph" w:styleId="Prrafodelista">
    <w:name w:val="List Paragraph"/>
    <w:basedOn w:val="Normal"/>
    <w:uiPriority w:val="34"/>
    <w:qFormat/>
    <w:rsid w:val="001E2F60"/>
    <w:pPr>
      <w:ind w:left="720"/>
      <w:contextualSpacing/>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0FE92DE38B2742903F62AE4D357C16" ma:contentTypeVersion="2" ma:contentTypeDescription="Create a new document." ma:contentTypeScope="" ma:versionID="a83cc4f33d1d24b8c1436bcbdb871e94">
  <xsd:schema xmlns:xsd="http://www.w3.org/2001/XMLSchema" xmlns:xs="http://www.w3.org/2001/XMLSchema" xmlns:p="http://schemas.microsoft.com/office/2006/metadata/properties" xmlns:ns3="e95a06b7-b524-48d0-8cf9-ce1bb41dad24" targetNamespace="http://schemas.microsoft.com/office/2006/metadata/properties" ma:root="true" ma:fieldsID="904b26166f051fa12af3d287b3d9dc63" ns3:_="">
    <xsd:import namespace="e95a06b7-b524-48d0-8cf9-ce1bb41dad2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a06b7-b524-48d0-8cf9-ce1bb41da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9A375F-3301-496B-B390-D92B9A4B0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a06b7-b524-48d0-8cf9-ce1bb41d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5BF80-CAA1-4C7B-A290-A53E2B6DA8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DDA18C-EC02-4FD9-8F01-13505C30E6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3217</Words>
  <Characters>17697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150</cp:revision>
  <dcterms:created xsi:type="dcterms:W3CDTF">2023-06-05T23:05:00Z</dcterms:created>
  <dcterms:modified xsi:type="dcterms:W3CDTF">2024-05-23T21:27:00Z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0x010100AE0FE92DE38B2742903F62AE4D357C16</vt:lpwstr>
  </property>
</Properties>
</file>