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0"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15D658C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w:t>
      </w:r>
      <w:r w:rsidR="00703797">
        <w:rPr>
          <w:rFonts w:ascii="Palatino Linotype" w:eastAsiaTheme="minorHAnsi" w:hAnsi="Palatino Linotype"/>
          <w:sz w:val="22"/>
          <w:szCs w:val="22"/>
          <w:highlight w:val="yellow"/>
          <w:lang w:val="es-EC" w:eastAsia="en-US"/>
        </w:rPr>
        <w:t>Oficio</w:t>
      </w:r>
      <w:r w:rsidR="00EF5658">
        <w:rPr>
          <w:rFonts w:ascii="Palatino Linotype" w:eastAsiaTheme="minorHAnsi" w:hAnsi="Palatino Linotype"/>
          <w:sz w:val="22"/>
          <w:szCs w:val="22"/>
          <w:highlight w:val="yellow"/>
          <w:lang w:val="es-EC" w:eastAsia="en-US"/>
        </w:rPr>
        <w:t xml:space="preserve"> No. GADDMQ</w:t>
      </w:r>
      <w:r w:rsidR="00C5021E">
        <w:rPr>
          <w:rFonts w:ascii="Palatino Linotype" w:eastAsiaTheme="minorHAnsi" w:hAnsi="Palatino Linotype"/>
          <w:sz w:val="22"/>
          <w:szCs w:val="22"/>
          <w:highlight w:val="yellow"/>
          <w:lang w:val="es-EC" w:eastAsia="en-US"/>
        </w:rPr>
        <w:t>-PM-</w:t>
      </w:r>
      <w:r w:rsidR="00EF5658">
        <w:rPr>
          <w:rFonts w:ascii="Palatino Linotype" w:eastAsiaTheme="minorHAnsi" w:hAnsi="Palatino Linotype"/>
          <w:sz w:val="22"/>
          <w:szCs w:val="22"/>
          <w:highlight w:val="yellow"/>
          <w:lang w:val="es-EC" w:eastAsia="en-US"/>
        </w:rPr>
        <w:t>2021-</w:t>
      </w:r>
      <w:r w:rsidR="004F2391">
        <w:rPr>
          <w:rFonts w:ascii="Palatino Linotype" w:eastAsiaTheme="minorHAnsi" w:hAnsi="Palatino Linotype"/>
          <w:sz w:val="22"/>
          <w:szCs w:val="22"/>
          <w:highlight w:val="yellow"/>
          <w:lang w:val="es-EC" w:eastAsia="en-US"/>
        </w:rPr>
        <w:t>0</w:t>
      </w:r>
      <w:r w:rsidR="00C5021E">
        <w:rPr>
          <w:rFonts w:ascii="Palatino Linotype" w:eastAsiaTheme="minorHAnsi" w:hAnsi="Palatino Linotype"/>
          <w:sz w:val="22"/>
          <w:szCs w:val="22"/>
          <w:highlight w:val="yellow"/>
          <w:lang w:val="es-EC" w:eastAsia="en-US"/>
        </w:rPr>
        <w:t>876</w:t>
      </w:r>
      <w:r w:rsidR="00EF5658">
        <w:rPr>
          <w:rFonts w:ascii="Palatino Linotype" w:eastAsiaTheme="minorHAnsi" w:hAnsi="Palatino Linotype"/>
          <w:sz w:val="22"/>
          <w:szCs w:val="22"/>
          <w:highlight w:val="yellow"/>
          <w:lang w:val="es-EC" w:eastAsia="en-US"/>
        </w:rPr>
        <w:t>-</w:t>
      </w:r>
      <w:r w:rsidR="00C5021E">
        <w:rPr>
          <w:rFonts w:ascii="Palatino Linotype" w:eastAsiaTheme="minorHAnsi" w:hAnsi="Palatino Linotype"/>
          <w:sz w:val="22"/>
          <w:szCs w:val="22"/>
          <w:highlight w:val="yellow"/>
          <w:lang w:val="es-EC" w:eastAsia="en-US"/>
        </w:rPr>
        <w:t>O</w:t>
      </w:r>
      <w:r w:rsidR="00EF5658">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C5021E">
        <w:rPr>
          <w:rFonts w:ascii="Palatino Linotype" w:hAnsi="Palatino Linotype"/>
          <w:sz w:val="22"/>
          <w:szCs w:val="22"/>
          <w:highlight w:val="yellow"/>
        </w:rPr>
        <w:t>2</w:t>
      </w:r>
      <w:r w:rsidR="00B22984">
        <w:rPr>
          <w:rFonts w:ascii="Palatino Linotype" w:hAnsi="Palatino Linotype"/>
          <w:sz w:val="22"/>
          <w:szCs w:val="22"/>
          <w:highlight w:val="yellow"/>
        </w:rPr>
        <w:t>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C5021E">
        <w:rPr>
          <w:rFonts w:ascii="Palatino Linotype" w:hAnsi="Palatino Linotype"/>
          <w:sz w:val="22"/>
          <w:szCs w:val="22"/>
          <w:highlight w:val="yellow"/>
        </w:rPr>
        <w:t>marzo</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de 20</w:t>
      </w:r>
      <w:r w:rsidR="0041376B">
        <w:rPr>
          <w:rFonts w:ascii="Palatino Linotype" w:hAnsi="Palatino Linotype"/>
          <w:sz w:val="22"/>
          <w:szCs w:val="22"/>
          <w:highlight w:val="yellow"/>
        </w:rPr>
        <w:t>21</w:t>
      </w:r>
      <w:r w:rsidRPr="00311D72">
        <w:rPr>
          <w:rFonts w:ascii="Palatino Linotype" w:hAnsi="Palatino Linotype"/>
          <w:sz w:val="22"/>
          <w:szCs w:val="22"/>
          <w:highlight w:val="yellow"/>
        </w:rPr>
        <w:t xml:space="preserve">, </w:t>
      </w:r>
      <w:r w:rsidR="00703797">
        <w:rPr>
          <w:rFonts w:ascii="Palatino Linotype" w:hAnsi="Palatino Linotype"/>
          <w:sz w:val="22"/>
          <w:szCs w:val="22"/>
          <w:highlight w:val="yellow"/>
        </w:rPr>
        <w:t xml:space="preserve">La </w:t>
      </w:r>
      <w:r w:rsidR="00C5021E">
        <w:rPr>
          <w:rFonts w:ascii="Palatino Linotype" w:hAnsi="Palatino Linotype"/>
          <w:sz w:val="22"/>
          <w:szCs w:val="22"/>
          <w:highlight w:val="yellow"/>
        </w:rPr>
        <w:t>Procuraduría Metropolitana</w:t>
      </w:r>
      <w:r w:rsidR="00703797">
        <w:rPr>
          <w:rFonts w:ascii="Palatino Linotype" w:hAnsi="Palatino Linotype"/>
          <w:sz w:val="22"/>
          <w:szCs w:val="22"/>
          <w:highlight w:val="yellow"/>
        </w:rPr>
        <w:t xml:space="preserve">, </w:t>
      </w:r>
      <w:r w:rsidRPr="00311D72">
        <w:rPr>
          <w:rFonts w:ascii="Palatino Linotype" w:hAnsi="Palatino Linotype"/>
          <w:sz w:val="22"/>
          <w:szCs w:val="22"/>
          <w:highlight w:val="yellow"/>
        </w:rPr>
        <w:t>solicit</w:t>
      </w:r>
      <w:r w:rsidR="00703797">
        <w:rPr>
          <w:rFonts w:ascii="Palatino Linotype" w:hAnsi="Palatino Linotype"/>
          <w:sz w:val="22"/>
          <w:szCs w:val="22"/>
          <w:highlight w:val="yellow"/>
        </w:rPr>
        <w:t>ó</w:t>
      </w:r>
      <w:r w:rsidRPr="00311D72">
        <w:rPr>
          <w:rFonts w:ascii="Palatino Linotype" w:hAnsi="Palatino Linotype"/>
          <w:sz w:val="22"/>
          <w:szCs w:val="22"/>
          <w:highlight w:val="yellow"/>
        </w:rPr>
        <w:t xml:space="preserve"> a</w:t>
      </w:r>
      <w:r w:rsidR="00C5021E">
        <w:rPr>
          <w:rFonts w:ascii="Palatino Linotype" w:hAnsi="Palatino Linotype"/>
          <w:sz w:val="22"/>
          <w:szCs w:val="22"/>
          <w:highlight w:val="yellow"/>
        </w:rPr>
        <w:t xml:space="preserve"> </w:t>
      </w:r>
      <w:r w:rsidRPr="00311D72">
        <w:rPr>
          <w:rFonts w:ascii="Palatino Linotype" w:hAnsi="Palatino Linotype"/>
          <w:sz w:val="22"/>
          <w:szCs w:val="22"/>
          <w:highlight w:val="yellow"/>
        </w:rPr>
        <w:t>l</w:t>
      </w:r>
      <w:r w:rsidR="00C5021E">
        <w:rPr>
          <w:rFonts w:ascii="Palatino Linotype" w:hAnsi="Palatino Linotype"/>
          <w:sz w:val="22"/>
          <w:szCs w:val="22"/>
          <w:highlight w:val="yellow"/>
        </w:rPr>
        <w:t>a Administración Zonal Eloy Alfaro</w:t>
      </w:r>
      <w:r w:rsidRPr="00311D72">
        <w:rPr>
          <w:rFonts w:ascii="Palatino Linotype" w:hAnsi="Palatino Linotype"/>
          <w:sz w:val="22"/>
          <w:szCs w:val="22"/>
          <w:highlight w:val="yellow"/>
        </w:rPr>
        <w:t xml:space="preserve">: </w:t>
      </w:r>
      <w:r w:rsidR="0041376B">
        <w:rPr>
          <w:rFonts w:ascii="Palatino Linotype" w:hAnsi="Palatino Linotype"/>
          <w:sz w:val="22"/>
          <w:szCs w:val="22"/>
          <w:highlight w:val="yellow"/>
        </w:rPr>
        <w:t>(…)</w:t>
      </w:r>
      <w:r w:rsidR="00C5021E">
        <w:rPr>
          <w:rFonts w:ascii="Palatino Linotype" w:hAnsi="Palatino Linotype"/>
          <w:sz w:val="22"/>
          <w:szCs w:val="22"/>
          <w:highlight w:val="yellow"/>
        </w:rPr>
        <w:t xml:space="preserve"> </w:t>
      </w:r>
      <w:r w:rsidR="00C5021E" w:rsidRPr="00C5021E">
        <w:rPr>
          <w:rFonts w:ascii="Palatino Linotype" w:hAnsi="Palatino Linotype"/>
          <w:sz w:val="22"/>
          <w:szCs w:val="22"/>
          <w:highlight w:val="yellow"/>
        </w:rPr>
        <w:t>realice el Análisis de factibilidad de acuerdo con el fraccionamiento dispuesto en la sentencia dictada por la Unidad Judicial de Familia, Mujer, Niñez y Adolescencia, el 5 de mayo del 2004, tomando en cuenta el régimen jurídico aplicable a la fecha, de la sentencia respecto al cumplimiento de lote y frente mínimo y área verde</w:t>
      </w:r>
      <w:r w:rsidR="00C5021E">
        <w:rPr>
          <w:rFonts w:ascii="Palatino Linotype" w:hAnsi="Palatino Linotype"/>
          <w:sz w:val="22"/>
          <w:szCs w:val="22"/>
          <w:highlight w:val="yellow"/>
        </w:rPr>
        <w:t xml:space="preserve"> (…)</w:t>
      </w:r>
      <w:r w:rsidRPr="00311D72">
        <w:rPr>
          <w:rFonts w:ascii="Palatino Linotype" w:eastAsiaTheme="minorHAnsi" w:hAnsi="Palatino Linotype"/>
          <w:sz w:val="22"/>
          <w:szCs w:val="22"/>
          <w:highlight w:val="yellow"/>
          <w:lang w:val="es-EC" w:eastAsia="en-US"/>
        </w:rPr>
        <w:t xml:space="preserve">; </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72855F2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41376B">
        <w:rPr>
          <w:rFonts w:ascii="Palatino Linotype" w:eastAsiaTheme="minorHAnsi" w:hAnsi="Palatino Linotype"/>
          <w:sz w:val="22"/>
          <w:szCs w:val="22"/>
          <w:highlight w:val="yellow"/>
          <w:lang w:val="es-EC" w:eastAsia="en-US"/>
        </w:rPr>
        <w:t>GADDMQ-AZEA-AZ-2021-00</w:t>
      </w:r>
      <w:r w:rsidR="00703797">
        <w:rPr>
          <w:rFonts w:ascii="Palatino Linotype" w:eastAsiaTheme="minorHAnsi" w:hAnsi="Palatino Linotype"/>
          <w:sz w:val="22"/>
          <w:szCs w:val="22"/>
          <w:highlight w:val="yellow"/>
          <w:lang w:val="es-EC" w:eastAsia="en-US"/>
        </w:rPr>
        <w:t>00</w:t>
      </w:r>
      <w:r w:rsidRPr="00311D72">
        <w:rPr>
          <w:rFonts w:ascii="Palatino Linotype" w:hAnsi="Palatino Linotype"/>
          <w:sz w:val="22"/>
          <w:szCs w:val="22"/>
          <w:highlight w:val="yellow"/>
        </w:rPr>
        <w:t>, de</w:t>
      </w:r>
      <w:r w:rsidR="00703797">
        <w:rPr>
          <w:rFonts w:ascii="Palatino Linotype" w:hAnsi="Palatino Linotype"/>
          <w:sz w:val="22"/>
          <w:szCs w:val="22"/>
          <w:highlight w:val="yellow"/>
        </w:rPr>
        <w:t xml:space="preserve"> </w:t>
      </w:r>
      <w:r w:rsidR="006D1E88">
        <w:rPr>
          <w:rFonts w:ascii="Palatino Linotype" w:hAnsi="Palatino Linotype"/>
          <w:sz w:val="22"/>
          <w:szCs w:val="22"/>
          <w:highlight w:val="yellow"/>
        </w:rPr>
        <w:t>1</w:t>
      </w:r>
      <w:r w:rsidR="00703797">
        <w:rPr>
          <w:rFonts w:ascii="Palatino Linotype" w:hAnsi="Palatino Linotype"/>
          <w:sz w:val="22"/>
          <w:szCs w:val="22"/>
          <w:highlight w:val="yellow"/>
        </w:rPr>
        <w:t>5</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 xml:space="preserve">de </w:t>
      </w:r>
      <w:r w:rsidR="00703797">
        <w:rPr>
          <w:rFonts w:ascii="Palatino Linotype" w:hAnsi="Palatino Linotype"/>
          <w:sz w:val="22"/>
          <w:szCs w:val="22"/>
          <w:highlight w:val="yellow"/>
        </w:rPr>
        <w:t>mayo</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 xml:space="preserve">Abg. Lida </w:t>
      </w:r>
      <w:proofErr w:type="spellStart"/>
      <w:r w:rsidR="0041376B">
        <w:rPr>
          <w:rFonts w:ascii="Palatino Linotype" w:hAnsi="Palatino Linotype"/>
          <w:sz w:val="22"/>
          <w:szCs w:val="22"/>
          <w:highlight w:val="yellow"/>
        </w:rPr>
        <w:t>Justinne</w:t>
      </w:r>
      <w:proofErr w:type="spellEnd"/>
      <w:r w:rsidR="0041376B">
        <w:rPr>
          <w:rFonts w:ascii="Palatino Linotype" w:hAnsi="Palatino Linotype"/>
          <w:sz w:val="22"/>
          <w:szCs w:val="22"/>
          <w:highlight w:val="yellow"/>
        </w:rPr>
        <w:t xml:space="preserv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GADDMQ-AZEA-DGT-UGU-2021-00</w:t>
      </w:r>
      <w:r w:rsidR="00703797">
        <w:rPr>
          <w:rFonts w:ascii="Palatino Linotype" w:hAnsi="Palatino Linotype"/>
          <w:sz w:val="22"/>
          <w:szCs w:val="22"/>
          <w:highlight w:val="yellow"/>
        </w:rPr>
        <w:t>8</w:t>
      </w:r>
      <w:r w:rsidR="00C5021E">
        <w:rPr>
          <w:rFonts w:ascii="Palatino Linotype" w:hAnsi="Palatino Linotype"/>
          <w:sz w:val="22"/>
          <w:szCs w:val="22"/>
          <w:highlight w:val="yellow"/>
        </w:rPr>
        <w:t>0</w:t>
      </w:r>
      <w:r w:rsidR="0041376B">
        <w:rPr>
          <w:rFonts w:ascii="Palatino Linotype" w:hAnsi="Palatino Linotype"/>
          <w:sz w:val="22"/>
          <w:szCs w:val="22"/>
          <w:highlight w:val="yellow"/>
        </w:rPr>
        <w:t>-M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Nro. </w:t>
      </w:r>
      <w:r w:rsidR="00C5021E">
        <w:rPr>
          <w:rFonts w:ascii="Palatino Linotype" w:hAnsi="Palatino Linotype"/>
          <w:sz w:val="22"/>
          <w:szCs w:val="22"/>
          <w:highlight w:val="yellow"/>
        </w:rPr>
        <w:t>9491</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w:t>
      </w:r>
      <w:r w:rsidR="00C5021E">
        <w:rPr>
          <w:rFonts w:ascii="Palatino Linotype" w:hAnsi="Palatino Linotype"/>
          <w:sz w:val="22"/>
          <w:szCs w:val="22"/>
          <w:highlight w:val="yellow"/>
        </w:rPr>
        <w:t>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6D1E88">
        <w:rPr>
          <w:rFonts w:ascii="Palatino Linotype" w:hAnsi="Palatino Linotype"/>
          <w:sz w:val="22"/>
          <w:szCs w:val="22"/>
          <w:highlight w:val="yellow"/>
        </w:rPr>
        <w:t>mayo</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w:t>
      </w:r>
      <w:proofErr w:type="spellStart"/>
      <w:r w:rsidR="0041376B">
        <w:rPr>
          <w:rFonts w:ascii="Palatino Linotype" w:hAnsi="Palatino Linotype"/>
          <w:sz w:val="22"/>
          <w:szCs w:val="22"/>
          <w:highlight w:val="yellow"/>
        </w:rPr>
        <w:t>Ati</w:t>
      </w:r>
      <w:proofErr w:type="spellEnd"/>
      <w:r w:rsidR="0041376B">
        <w:rPr>
          <w:rFonts w:ascii="Palatino Linotype" w:hAnsi="Palatino Linotype"/>
          <w:sz w:val="22"/>
          <w:szCs w:val="22"/>
          <w:highlight w:val="yellow"/>
        </w:rPr>
        <w:t xml:space="preserve"> </w:t>
      </w:r>
      <w:proofErr w:type="spellStart"/>
      <w:r w:rsidR="0041376B">
        <w:rPr>
          <w:rFonts w:ascii="Palatino Linotype" w:hAnsi="Palatino Linotype"/>
          <w:sz w:val="22"/>
          <w:szCs w:val="22"/>
          <w:highlight w:val="yellow"/>
        </w:rPr>
        <w:t>Pilaquinga</w:t>
      </w:r>
      <w:proofErr w:type="spellEnd"/>
      <w:r w:rsidR="0041376B">
        <w:rPr>
          <w:rFonts w:ascii="Palatino Linotype" w:hAnsi="Palatino Linotype"/>
          <w:sz w:val="22"/>
          <w:szCs w:val="22"/>
          <w:highlight w:val="yellow"/>
        </w:rPr>
        <w:t>,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w:t>
      </w:r>
      <w:r w:rsidR="00C5021E">
        <w:rPr>
          <w:rFonts w:ascii="Palatino Linotype" w:hAnsi="Palatino Linotype"/>
          <w:i/>
          <w:sz w:val="22"/>
          <w:szCs w:val="22"/>
          <w:highlight w:val="yellow"/>
        </w:rPr>
        <w:t xml:space="preserve"> </w:t>
      </w:r>
      <w:r w:rsidR="00C5021E" w:rsidRPr="00C5021E">
        <w:rPr>
          <w:rFonts w:ascii="Palatino Linotype" w:hAnsi="Palatino Linotype"/>
          <w:i/>
          <w:sz w:val="22"/>
          <w:szCs w:val="22"/>
          <w:highlight w:val="yellow"/>
        </w:rPr>
        <w:t xml:space="preserve">revisado la Ley de Régimen Municipal, y Ordenanza Metropolitana No. 095 publicada en el R.O. 137 de 10 de octubre de 2003 “ORDENANZA SUSTITUTIVA A LA ORDENANZA No. 085 DEL NUEVO RÉGIMEN DEL SUELO DEL DISTRITO METROPOLITANO DE QUITO” (vigentes a la fecha del 5 de mayo del 2004 en la que se dictó la sentencia del Juicio de Partición No. 17309-2002-0445) art. II.137 textualmente registra: “…Todo fraccionamiento o habilitación del suelo contemplará áreas para espacios verdes y para equipamiento comunal. …El área verde no será inferior al 10% de la superficie útil (de lotes) del terreno a dividirse,…”; art. II 128 Casos en que el establecimiento de áreas verdes y equipamiento comunal no es exigible, </w:t>
      </w:r>
      <w:r w:rsidR="00C5021E" w:rsidRPr="00C5021E">
        <w:rPr>
          <w:rFonts w:ascii="Palatino Linotype" w:hAnsi="Palatino Linotype"/>
          <w:b/>
          <w:i/>
          <w:sz w:val="22"/>
          <w:szCs w:val="22"/>
          <w:highlight w:val="yellow"/>
        </w:rPr>
        <w:t xml:space="preserve">no establece excepción para fraccionamiento o subdivisiones judiciales. </w:t>
      </w:r>
      <w:r w:rsidR="00C5021E" w:rsidRPr="00C5021E">
        <w:rPr>
          <w:rFonts w:ascii="Palatino Linotype" w:hAnsi="Palatino Linotype"/>
          <w:i/>
          <w:sz w:val="22"/>
          <w:szCs w:val="22"/>
          <w:highlight w:val="yellow"/>
        </w:rPr>
        <w:t xml:space="preserve">Por tanto, en virtud a lo anotado para el predio No. 09491 es factible autorizar su fraccionamiento judicial siempre y cuando aporte el 10% para área verde comunal” </w:t>
      </w:r>
      <w:r w:rsidR="00172627" w:rsidRPr="00172627">
        <w:rPr>
          <w:rFonts w:ascii="Palatino Linotype" w:hAnsi="Palatino Linotype"/>
          <w:i/>
          <w:sz w:val="22"/>
          <w:szCs w:val="22"/>
          <w:highlight w:val="yellow"/>
        </w:rPr>
        <w:t xml:space="preserve"> </w:t>
      </w:r>
      <w:r w:rsidR="0041376B" w:rsidRPr="0041376B">
        <w:rPr>
          <w:rFonts w:ascii="Palatino Linotype" w:hAnsi="Palatino Linotype"/>
          <w:i/>
          <w:sz w:val="22"/>
          <w:szCs w:val="22"/>
          <w:highlight w:val="yellow"/>
        </w:rPr>
        <w:t>(…)”</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45450B85"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lastRenderedPageBreak/>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0F0AED">
        <w:rPr>
          <w:rFonts w:ascii="Palatino Linotype" w:hAnsi="Palatino Linotype"/>
          <w:sz w:val="22"/>
          <w:szCs w:val="22"/>
          <w:highlight w:val="yellow"/>
          <w:lang w:val="es-EC"/>
        </w:rPr>
        <w:t>00</w:t>
      </w:r>
      <w:r w:rsidR="00366625" w:rsidRPr="00366625">
        <w:rPr>
          <w:rFonts w:ascii="Palatino Linotype" w:hAnsi="Palatino Linotype"/>
          <w:sz w:val="22"/>
          <w:szCs w:val="22"/>
          <w:highlight w:val="yellow"/>
        </w:rPr>
        <w:t xml:space="preserve">, de </w:t>
      </w:r>
      <w:r w:rsidR="00172627">
        <w:rPr>
          <w:rFonts w:ascii="Palatino Linotype" w:hAnsi="Palatino Linotype"/>
          <w:sz w:val="22"/>
          <w:szCs w:val="22"/>
          <w:highlight w:val="yellow"/>
        </w:rPr>
        <w:t>1</w:t>
      </w:r>
      <w:r w:rsidR="000F0AED">
        <w:rPr>
          <w:rFonts w:ascii="Palatino Linotype" w:hAnsi="Palatino Linotype"/>
          <w:sz w:val="22"/>
          <w:szCs w:val="22"/>
          <w:highlight w:val="yellow"/>
        </w:rPr>
        <w:t>5</w:t>
      </w:r>
      <w:r w:rsidR="00366625" w:rsidRPr="00366625">
        <w:rPr>
          <w:rFonts w:ascii="Palatino Linotype" w:hAnsi="Palatino Linotype"/>
          <w:sz w:val="22"/>
          <w:szCs w:val="22"/>
          <w:highlight w:val="yellow"/>
        </w:rPr>
        <w:t xml:space="preserve"> de </w:t>
      </w:r>
      <w:r w:rsidR="000F0AED">
        <w:rPr>
          <w:rFonts w:ascii="Palatino Linotype" w:hAnsi="Palatino Linotype"/>
          <w:sz w:val="22"/>
          <w:szCs w:val="22"/>
          <w:highlight w:val="yellow"/>
        </w:rPr>
        <w:t>mayo</w:t>
      </w:r>
      <w:r w:rsidR="00366625" w:rsidRPr="00366625">
        <w:rPr>
          <w:rFonts w:ascii="Palatino Linotype" w:hAnsi="Palatino Linotype"/>
          <w:sz w:val="22"/>
          <w:szCs w:val="22"/>
          <w:highlight w:val="yellow"/>
        </w:rPr>
        <w:t xml:space="preserve"> de 2021, la Abg. Lida </w:t>
      </w:r>
      <w:proofErr w:type="spellStart"/>
      <w:r w:rsidR="00366625" w:rsidRPr="00366625">
        <w:rPr>
          <w:rFonts w:ascii="Palatino Linotype" w:hAnsi="Palatino Linotype"/>
          <w:sz w:val="22"/>
          <w:szCs w:val="22"/>
          <w:highlight w:val="yellow"/>
        </w:rPr>
        <w:t>Justinne</w:t>
      </w:r>
      <w:proofErr w:type="spellEnd"/>
      <w:r w:rsidR="00366625" w:rsidRPr="00366625">
        <w:rPr>
          <w:rFonts w:ascii="Palatino Linotype" w:hAnsi="Palatino Linotype"/>
          <w:sz w:val="22"/>
          <w:szCs w:val="22"/>
          <w:highlight w:val="yellow"/>
        </w:rPr>
        <w:t xml:space="preserv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No. 1</w:t>
      </w:r>
      <w:r w:rsidR="00C5021E">
        <w:rPr>
          <w:rFonts w:ascii="Palatino Linotype" w:hAnsi="Palatino Linotype"/>
          <w:sz w:val="22"/>
          <w:szCs w:val="22"/>
          <w:highlight w:val="yellow"/>
        </w:rPr>
        <w:t>17</w:t>
      </w:r>
      <w:r w:rsidR="00366625">
        <w:rPr>
          <w:rFonts w:ascii="Palatino Linotype" w:hAnsi="Palatino Linotype"/>
          <w:sz w:val="22"/>
          <w:szCs w:val="22"/>
          <w:highlight w:val="yellow"/>
        </w:rPr>
        <w:t>-DJ-2021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w:t>
      </w:r>
      <w:r w:rsidR="00172627">
        <w:rPr>
          <w:rFonts w:ascii="Palatino Linotype" w:hAnsi="Palatino Linotype"/>
          <w:sz w:val="22"/>
          <w:szCs w:val="22"/>
          <w:highlight w:val="yellow"/>
        </w:rPr>
        <w:t>11</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w:t>
      </w:r>
      <w:r w:rsidR="000F0AED">
        <w:rPr>
          <w:rFonts w:ascii="Palatino Linotype" w:hAnsi="Palatino Linotype"/>
          <w:sz w:val="22"/>
          <w:szCs w:val="22"/>
          <w:highlight w:val="yellow"/>
        </w:rPr>
        <w:t>mayo</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 xml:space="preserve">la Dra. Silvia Lorena </w:t>
      </w:r>
      <w:proofErr w:type="spellStart"/>
      <w:r w:rsidR="00366625">
        <w:rPr>
          <w:rFonts w:ascii="Palatino Linotype" w:hAnsi="Palatino Linotype"/>
          <w:sz w:val="22"/>
          <w:szCs w:val="22"/>
          <w:highlight w:val="yellow"/>
        </w:rPr>
        <w:t>Gaibor</w:t>
      </w:r>
      <w:proofErr w:type="spellEnd"/>
      <w:r w:rsidR="00366625">
        <w:rPr>
          <w:rFonts w:ascii="Palatino Linotype" w:hAnsi="Palatino Linotype"/>
          <w:sz w:val="22"/>
          <w:szCs w:val="22"/>
          <w:highlight w:val="yellow"/>
        </w:rPr>
        <w:t xml:space="preserve"> Villota, Directora Jurídica de la AZEA</w:t>
      </w:r>
      <w:r w:rsidRPr="00311D72">
        <w:rPr>
          <w:rFonts w:ascii="Palatino Linotype" w:hAnsi="Palatino Linotype"/>
          <w:sz w:val="22"/>
          <w:szCs w:val="22"/>
          <w:highlight w:val="yellow"/>
        </w:rPr>
        <w:t xml:space="preserve">, que en lo principal, indica: </w:t>
      </w:r>
      <w:r w:rsidR="00366625">
        <w:rPr>
          <w:rFonts w:ascii="Palatino Linotype" w:hAnsi="Palatino Linotype"/>
          <w:sz w:val="22"/>
          <w:szCs w:val="22"/>
          <w:highlight w:val="yellow"/>
        </w:rPr>
        <w:t>“(…)</w:t>
      </w:r>
      <w:r w:rsidR="00C5021E">
        <w:rPr>
          <w:rFonts w:ascii="Palatino Linotype" w:hAnsi="Palatino Linotype"/>
          <w:sz w:val="22"/>
          <w:szCs w:val="22"/>
          <w:highlight w:val="yellow"/>
        </w:rPr>
        <w:t xml:space="preserve"> </w:t>
      </w:r>
      <w:r w:rsidR="00C5021E" w:rsidRPr="00C5021E">
        <w:rPr>
          <w:rFonts w:ascii="Palatino Linotype" w:hAnsi="Palatino Linotype"/>
          <w:sz w:val="22"/>
          <w:szCs w:val="22"/>
          <w:highlight w:val="yellow"/>
        </w:rPr>
        <w:t xml:space="preserve">esta Dirección Jurídica, para dar estricto cumplimiento a la Sentencia dictada el 5 de mayo del 2004, por la Unidad Judicial de Familia, Mujer, Niñez y Adolescencia, emite </w:t>
      </w:r>
      <w:r w:rsidR="00C5021E" w:rsidRPr="00C5021E">
        <w:rPr>
          <w:rFonts w:ascii="Palatino Linotype" w:hAnsi="Palatino Linotype"/>
          <w:b/>
          <w:sz w:val="22"/>
          <w:szCs w:val="22"/>
          <w:highlight w:val="yellow"/>
        </w:rPr>
        <w:t xml:space="preserve">INFORME LEGAL FAVORABLE </w:t>
      </w:r>
      <w:r w:rsidR="00C5021E" w:rsidRPr="00C5021E">
        <w:rPr>
          <w:rFonts w:ascii="Palatino Linotype" w:hAnsi="Palatino Linotype"/>
          <w:sz w:val="22"/>
          <w:szCs w:val="22"/>
          <w:highlight w:val="yellow"/>
        </w:rPr>
        <w:t xml:space="preserve">para que el Concejo Metropolitano, en acatamiento de la sentencia que es de cumplimiento obligatorio, conforme lo dispone el </w:t>
      </w:r>
      <w:r w:rsidR="00C5021E" w:rsidRPr="00C5021E">
        <w:rPr>
          <w:rFonts w:ascii="Palatino Linotype" w:hAnsi="Palatino Linotype"/>
          <w:sz w:val="22"/>
          <w:szCs w:val="22"/>
          <w:highlight w:val="yellow"/>
          <w:lang w:val="es-EC"/>
        </w:rPr>
        <w:t>numeral 4 del artículo 86 de la Constitución, autorice</w:t>
      </w:r>
      <w:r w:rsidR="00C5021E" w:rsidRPr="00C5021E">
        <w:rPr>
          <w:rFonts w:ascii="Palatino Linotype" w:hAnsi="Palatino Linotype"/>
          <w:sz w:val="22"/>
          <w:szCs w:val="22"/>
          <w:highlight w:val="yellow"/>
        </w:rPr>
        <w:t xml:space="preserve"> la Partición Judicial del lote de terreno con predio No. 9491, ubicado en la parroquia La Ferroviaria, Cantón Quito, de propiedad del señor </w:t>
      </w:r>
      <w:r w:rsidR="00C5021E" w:rsidRPr="00C5021E">
        <w:rPr>
          <w:rFonts w:ascii="Palatino Linotype" w:hAnsi="Palatino Linotype"/>
          <w:b/>
          <w:sz w:val="22"/>
          <w:szCs w:val="22"/>
          <w:highlight w:val="yellow"/>
        </w:rPr>
        <w:t xml:space="preserve">ALMEIDA GALLO LUIS FERNANDO, </w:t>
      </w:r>
      <w:r w:rsidR="00C5021E" w:rsidRPr="00C5021E">
        <w:rPr>
          <w:rFonts w:ascii="Palatino Linotype" w:hAnsi="Palatino Linotype"/>
          <w:sz w:val="22"/>
          <w:szCs w:val="22"/>
          <w:highlight w:val="yellow"/>
        </w:rPr>
        <w:t>cambiando las condiciones de este inmueble en particular, estableciendo una excepción a las condiciones generales establecidas para el cumplimiento del 10% del área verde comunal</w:t>
      </w:r>
      <w:r w:rsidR="00366625">
        <w:rPr>
          <w:rFonts w:ascii="Palatino Linotype" w:hAnsi="Palatino Linotype"/>
          <w:b/>
          <w:sz w:val="22"/>
          <w:szCs w:val="22"/>
          <w:highlight w:val="yellow"/>
        </w:rPr>
        <w:t>”.</w:t>
      </w:r>
    </w:p>
    <w:bookmarkEnd w:id="1"/>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11D72">
        <w:rPr>
          <w:rFonts w:ascii="Palatino Linotype" w:eastAsiaTheme="minorHAnsi" w:hAnsi="Palatino Linotype"/>
          <w:sz w:val="22"/>
          <w:szCs w:val="22"/>
          <w:lang w:val="es-EC" w:eastAsia="en-US"/>
        </w:rPr>
        <w:t>el …</w:t>
      </w:r>
      <w:proofErr w:type="gramEnd"/>
      <w:r w:rsidRPr="00311D72">
        <w:rPr>
          <w:rFonts w:ascii="Palatino Linotype" w:eastAsiaTheme="minorHAnsi" w:hAnsi="Palatino Linotype"/>
          <w:sz w:val="22"/>
          <w:szCs w:val="22"/>
          <w:lang w:val="es-EC" w:eastAsia="en-US"/>
        </w:rPr>
        <w:t xml:space="preserve">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66C0788E"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emitido por la Comisión de Uso de Suelo; y, por tanto</w:t>
      </w:r>
      <w:proofErr w:type="gramStart"/>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w:t>
      </w:r>
      <w:proofErr w:type="gramEnd"/>
      <w:r w:rsidRPr="00311D72">
        <w:rPr>
          <w:rFonts w:ascii="Palatino Linotype" w:eastAsiaTheme="minorHAnsi" w:hAnsi="Palatino Linotype"/>
          <w:sz w:val="22"/>
          <w:szCs w:val="22"/>
          <w:highlight w:val="yellow"/>
          <w:lang w:val="es-EC" w:eastAsia="en-US"/>
        </w:rPr>
        <w:t xml:space="preserve"> la partición del predio Nro.</w:t>
      </w:r>
      <w:r w:rsidR="000F0AED">
        <w:rPr>
          <w:rFonts w:ascii="Palatino Linotype" w:eastAsiaTheme="minorHAnsi" w:hAnsi="Palatino Linotype"/>
          <w:sz w:val="22"/>
          <w:szCs w:val="22"/>
          <w:highlight w:val="yellow"/>
          <w:lang w:val="es-EC" w:eastAsia="en-US"/>
        </w:rPr>
        <w:t xml:space="preserve"> </w:t>
      </w:r>
      <w:r w:rsidR="00C5021E">
        <w:rPr>
          <w:rFonts w:ascii="Palatino Linotype" w:eastAsiaTheme="minorHAnsi" w:hAnsi="Palatino Linotype"/>
          <w:sz w:val="22"/>
          <w:szCs w:val="22"/>
          <w:highlight w:val="yellow"/>
          <w:lang w:val="es-EC" w:eastAsia="en-US"/>
        </w:rPr>
        <w:t>9491</w:t>
      </w:r>
      <w:r w:rsidR="000F0AED">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ubicado en la parroquia</w:t>
      </w:r>
      <w:r w:rsidR="000F0AED">
        <w:rPr>
          <w:rFonts w:ascii="Palatino Linotype" w:hAnsi="Palatino Linotype"/>
          <w:sz w:val="22"/>
          <w:szCs w:val="22"/>
          <w:highlight w:val="yellow"/>
        </w:rPr>
        <w:t xml:space="preserve"> </w:t>
      </w:r>
      <w:r w:rsidR="00C5021E">
        <w:rPr>
          <w:rFonts w:ascii="Palatino Linotype" w:hAnsi="Palatino Linotype"/>
          <w:sz w:val="22"/>
          <w:szCs w:val="22"/>
          <w:highlight w:val="yellow"/>
        </w:rPr>
        <w:t>La Ferroviaria</w:t>
      </w:r>
      <w:r w:rsidR="000F0AED">
        <w:rPr>
          <w:rFonts w:ascii="Palatino Linotype" w:hAnsi="Palatino Linotype"/>
          <w:sz w:val="22"/>
          <w:szCs w:val="22"/>
          <w:highlight w:val="yellow"/>
        </w:rPr>
        <w:t>,</w:t>
      </w:r>
      <w:r w:rsidR="00B22984">
        <w:rPr>
          <w:rFonts w:ascii="Palatino Linotype" w:hAnsi="Palatino Linotype"/>
          <w:sz w:val="22"/>
          <w:szCs w:val="22"/>
          <w:highlight w:val="yellow"/>
        </w:rPr>
        <w:t xml:space="preserve"> Barrio </w:t>
      </w:r>
      <w:r w:rsidR="00C5021E">
        <w:rPr>
          <w:rFonts w:ascii="Palatino Linotype" w:hAnsi="Palatino Linotype"/>
          <w:sz w:val="22"/>
          <w:szCs w:val="22"/>
          <w:highlight w:val="yellow"/>
        </w:rPr>
        <w:t>Ferroviaria Alta</w:t>
      </w:r>
      <w:r w:rsidR="00B22984">
        <w:rPr>
          <w:rFonts w:ascii="Palatino Linotype" w:hAnsi="Palatino Linotype"/>
          <w:sz w:val="22"/>
          <w:szCs w:val="22"/>
          <w:highlight w:val="yellow"/>
        </w:rPr>
        <w:t>,</w:t>
      </w:r>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w:t>
      </w:r>
      <w:r w:rsidR="000F0AED">
        <w:rPr>
          <w:rFonts w:ascii="Palatino Linotype" w:hAnsi="Palatino Linotype"/>
          <w:sz w:val="22"/>
          <w:szCs w:val="22"/>
          <w:highlight w:val="yellow"/>
        </w:rPr>
        <w:t xml:space="preserve"> </w:t>
      </w:r>
      <w:r w:rsidR="008849C5">
        <w:rPr>
          <w:rFonts w:ascii="Palatino Linotype" w:hAnsi="Palatino Linotype"/>
          <w:sz w:val="22"/>
          <w:szCs w:val="22"/>
          <w:highlight w:val="yellow"/>
        </w:rPr>
        <w:t xml:space="preserve">La </w:t>
      </w:r>
      <w:r w:rsidR="00C5021E">
        <w:rPr>
          <w:rFonts w:ascii="Palatino Linotype" w:hAnsi="Palatino Linotype"/>
          <w:sz w:val="22"/>
          <w:szCs w:val="22"/>
          <w:highlight w:val="yellow"/>
        </w:rPr>
        <w:t>Procuraduría Metropolitana</w:t>
      </w:r>
      <w:bookmarkStart w:id="2" w:name="_GoBack"/>
      <w:bookmarkEnd w:id="2"/>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 ….</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09652DBD"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849C5">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w:t>
      </w:r>
      <w:r w:rsidR="00ED4866">
        <w:rPr>
          <w:rFonts w:ascii="Palatino Linotype" w:eastAsiaTheme="minorHAnsi" w:hAnsi="Palatino Linotype"/>
          <w:sz w:val="22"/>
          <w:szCs w:val="22"/>
          <w:highlight w:val="yellow"/>
          <w:lang w:val="es-EC" w:eastAsia="en-US"/>
        </w:rPr>
        <w:t>Z</w:t>
      </w:r>
      <w:r w:rsidR="008E728D" w:rsidRPr="00311D72">
        <w:rPr>
          <w:rFonts w:ascii="Palatino Linotype" w:eastAsiaTheme="minorHAnsi" w:hAnsi="Palatino Linotype"/>
          <w:sz w:val="22"/>
          <w:szCs w:val="22"/>
          <w:highlight w:val="yellow"/>
          <w:lang w:val="es-EC" w:eastAsia="en-US"/>
        </w:rPr>
        <w:t>onal</w:t>
      </w:r>
      <w:r w:rsidR="008849C5">
        <w:rPr>
          <w:rFonts w:ascii="Palatino Linotype" w:eastAsiaTheme="minorHAnsi" w:hAnsi="Palatino Linotype"/>
          <w:sz w:val="22"/>
          <w:szCs w:val="22"/>
          <w:highlight w:val="yellow"/>
          <w:lang w:val="es-EC" w:eastAsia="en-US"/>
        </w:rPr>
        <w:t xml:space="preserve"> Eloy Alfaro</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lastRenderedPageBreak/>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w:t>
      </w:r>
      <w:proofErr w:type="gramStart"/>
      <w:r w:rsidRPr="00311D72">
        <w:rPr>
          <w:rFonts w:ascii="Palatino Linotype" w:hAnsi="Palatino Linotype"/>
          <w:sz w:val="22"/>
          <w:szCs w:val="22"/>
        </w:rPr>
        <w:t>el …</w:t>
      </w:r>
      <w:proofErr w:type="gramEnd"/>
      <w:r w:rsidRPr="00311D72">
        <w:rPr>
          <w:rFonts w:ascii="Palatino Linotype" w:hAnsi="Palatino Linotype"/>
          <w:sz w:val="22"/>
          <w:szCs w:val="22"/>
        </w:rPr>
        <w:t xml:space="preserve">; y, suscrita por el 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w:t>
      </w:r>
      <w:proofErr w:type="gramStart"/>
      <w:r w:rsidRPr="00311D72">
        <w:rPr>
          <w:rFonts w:ascii="Palatino Linotype" w:hAnsi="Palatino Linotype"/>
          <w:sz w:val="22"/>
          <w:szCs w:val="22"/>
        </w:rPr>
        <w:t>, …</w:t>
      </w:r>
      <w:proofErr w:type="gramEnd"/>
      <w:r w:rsidRPr="00311D72">
        <w:rPr>
          <w:rFonts w:ascii="Palatino Linotype" w:hAnsi="Palatino Linotype"/>
          <w:sz w:val="22"/>
          <w:szCs w:val="22"/>
        </w:rPr>
        <w:t>..</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Abg. Damaris Ortiz </w:t>
      </w:r>
      <w:proofErr w:type="spellStart"/>
      <w:r w:rsidRPr="00311D72">
        <w:rPr>
          <w:rFonts w:ascii="Palatino Linotype" w:hAnsi="Palatino Linotype"/>
          <w:sz w:val="22"/>
          <w:szCs w:val="22"/>
        </w:rPr>
        <w:t>Pasuy</w:t>
      </w:r>
      <w:proofErr w:type="spellEnd"/>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C30B" w14:textId="77777777" w:rsidR="00856649" w:rsidRDefault="00856649">
      <w:r>
        <w:separator/>
      </w:r>
    </w:p>
  </w:endnote>
  <w:endnote w:type="continuationSeparator" w:id="0">
    <w:p w14:paraId="49366F2E" w14:textId="77777777" w:rsidR="00856649" w:rsidRDefault="0085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C5021E">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C5021E">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856649">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398A" w14:textId="77777777" w:rsidR="00856649" w:rsidRDefault="00856649">
      <w:r>
        <w:separator/>
      </w:r>
    </w:p>
  </w:footnote>
  <w:footnote w:type="continuationSeparator" w:id="0">
    <w:p w14:paraId="5034CF09" w14:textId="77777777" w:rsidR="00856649" w:rsidRDefault="0085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EF16"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8566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30FB9"/>
    <w:rsid w:val="00062B3B"/>
    <w:rsid w:val="000647AF"/>
    <w:rsid w:val="00071BF4"/>
    <w:rsid w:val="00091491"/>
    <w:rsid w:val="000F0AED"/>
    <w:rsid w:val="00172627"/>
    <w:rsid w:val="001C6930"/>
    <w:rsid w:val="002828E1"/>
    <w:rsid w:val="002B60E7"/>
    <w:rsid w:val="00305453"/>
    <w:rsid w:val="00311D72"/>
    <w:rsid w:val="00366625"/>
    <w:rsid w:val="004036DC"/>
    <w:rsid w:val="0041376B"/>
    <w:rsid w:val="004F2391"/>
    <w:rsid w:val="00534C2D"/>
    <w:rsid w:val="005E2176"/>
    <w:rsid w:val="00645561"/>
    <w:rsid w:val="006D1E88"/>
    <w:rsid w:val="00703797"/>
    <w:rsid w:val="00856649"/>
    <w:rsid w:val="008849C5"/>
    <w:rsid w:val="00897D43"/>
    <w:rsid w:val="008B57E8"/>
    <w:rsid w:val="008E728D"/>
    <w:rsid w:val="009841A8"/>
    <w:rsid w:val="00A77B25"/>
    <w:rsid w:val="00AC0A11"/>
    <w:rsid w:val="00B22984"/>
    <w:rsid w:val="00B22CC7"/>
    <w:rsid w:val="00BC4625"/>
    <w:rsid w:val="00BD3013"/>
    <w:rsid w:val="00C248F2"/>
    <w:rsid w:val="00C5021E"/>
    <w:rsid w:val="00C565D4"/>
    <w:rsid w:val="00CA466D"/>
    <w:rsid w:val="00CE26DA"/>
    <w:rsid w:val="00D050F7"/>
    <w:rsid w:val="00D11E9E"/>
    <w:rsid w:val="00D12701"/>
    <w:rsid w:val="00DE1FC1"/>
    <w:rsid w:val="00E321A2"/>
    <w:rsid w:val="00ED4866"/>
    <w:rsid w:val="00ED6E2F"/>
    <w:rsid w:val="00EF56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1732</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Oscar Alexandro Jumbo Jumbo</cp:lastModifiedBy>
  <cp:revision>12</cp:revision>
  <cp:lastPrinted>2021-01-08T14:50:00Z</cp:lastPrinted>
  <dcterms:created xsi:type="dcterms:W3CDTF">2021-04-26T18:57:00Z</dcterms:created>
  <dcterms:modified xsi:type="dcterms:W3CDTF">2021-05-13T15:40:00Z</dcterms:modified>
</cp:coreProperties>
</file>