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CA6C" w14:textId="7687140B" w:rsidR="00C926A0" w:rsidRPr="00043E5E" w:rsidRDefault="00C926A0" w:rsidP="00327A8D">
      <w:pPr>
        <w:autoSpaceDE w:val="0"/>
        <w:autoSpaceDN w:val="0"/>
        <w:adjustRightInd w:val="0"/>
        <w:jc w:val="center"/>
        <w:rPr>
          <w:rFonts w:ascii="Palatino Linotype" w:eastAsiaTheme="minorHAnsi" w:hAnsi="Palatino Linotype"/>
          <w:b/>
          <w:sz w:val="22"/>
          <w:szCs w:val="22"/>
          <w:lang w:eastAsia="en-US"/>
        </w:rPr>
      </w:pPr>
      <w:bookmarkStart w:id="0" w:name="_GoBack"/>
      <w:r w:rsidRPr="00043E5E">
        <w:rPr>
          <w:rFonts w:ascii="Palatino Linotype" w:eastAsiaTheme="minorHAnsi" w:hAnsi="Palatino Linotype"/>
          <w:b/>
          <w:sz w:val="22"/>
          <w:szCs w:val="22"/>
          <w:lang w:eastAsia="en-US"/>
        </w:rPr>
        <w:t>EL CONCEJO METROPOLITANO DE QUITO</w:t>
      </w:r>
    </w:p>
    <w:p w14:paraId="21148F6A" w14:textId="77777777" w:rsidR="00C926A0" w:rsidRPr="00043E5E" w:rsidRDefault="00C926A0" w:rsidP="00327A8D">
      <w:pPr>
        <w:autoSpaceDE w:val="0"/>
        <w:autoSpaceDN w:val="0"/>
        <w:adjustRightInd w:val="0"/>
        <w:jc w:val="center"/>
        <w:rPr>
          <w:rFonts w:ascii="Palatino Linotype" w:eastAsiaTheme="minorHAnsi" w:hAnsi="Palatino Linotype"/>
          <w:b/>
          <w:sz w:val="22"/>
          <w:szCs w:val="22"/>
          <w:lang w:eastAsia="en-US"/>
        </w:rPr>
      </w:pPr>
    </w:p>
    <w:p w14:paraId="2CCEAADA" w14:textId="77777777" w:rsidR="00C926A0" w:rsidRPr="00043E5E" w:rsidRDefault="00C926A0" w:rsidP="00327A8D">
      <w:pPr>
        <w:autoSpaceDE w:val="0"/>
        <w:autoSpaceDN w:val="0"/>
        <w:adjustRightInd w:val="0"/>
        <w:jc w:val="center"/>
        <w:rPr>
          <w:rFonts w:ascii="Palatino Linotype" w:eastAsiaTheme="minorHAnsi" w:hAnsi="Palatino Linotype"/>
          <w:b/>
          <w:sz w:val="22"/>
          <w:szCs w:val="22"/>
          <w:lang w:eastAsia="en-US"/>
        </w:rPr>
      </w:pPr>
      <w:r w:rsidRPr="00043E5E">
        <w:rPr>
          <w:rFonts w:ascii="Palatino Linotype" w:eastAsiaTheme="minorHAnsi" w:hAnsi="Palatino Linotype"/>
          <w:b/>
          <w:sz w:val="22"/>
          <w:szCs w:val="22"/>
          <w:lang w:eastAsia="en-US"/>
        </w:rPr>
        <w:t>CONSIDERANDO:</w:t>
      </w:r>
    </w:p>
    <w:p w14:paraId="0F7D42C4" w14:textId="77777777" w:rsidR="00327A8D" w:rsidRPr="00043E5E" w:rsidRDefault="00327A8D" w:rsidP="00327A8D">
      <w:pPr>
        <w:autoSpaceDE w:val="0"/>
        <w:autoSpaceDN w:val="0"/>
        <w:adjustRightInd w:val="0"/>
        <w:jc w:val="center"/>
        <w:rPr>
          <w:rFonts w:ascii="Palatino Linotype" w:eastAsiaTheme="minorHAnsi" w:hAnsi="Palatino Linotype"/>
          <w:b/>
          <w:sz w:val="22"/>
          <w:szCs w:val="22"/>
          <w:lang w:eastAsia="en-US"/>
        </w:rPr>
      </w:pPr>
    </w:p>
    <w:p w14:paraId="53771D50" w14:textId="24206A0A" w:rsidR="00C926A0" w:rsidRPr="00043E5E" w:rsidRDefault="00C926A0" w:rsidP="00327A8D">
      <w:pPr>
        <w:autoSpaceDE w:val="0"/>
        <w:autoSpaceDN w:val="0"/>
        <w:adjustRightInd w:val="0"/>
        <w:ind w:left="705" w:hanging="705"/>
        <w:jc w:val="both"/>
        <w:rPr>
          <w:rFonts w:ascii="Palatino Linotype" w:eastAsiaTheme="minorHAnsi" w:hAnsi="Palatino Linotype"/>
          <w:i/>
          <w:iCs/>
          <w:sz w:val="22"/>
          <w:szCs w:val="22"/>
          <w:lang w:eastAsia="en-US"/>
        </w:rPr>
      </w:pPr>
      <w:r w:rsidRPr="00043E5E">
        <w:rPr>
          <w:rFonts w:ascii="Palatino Linotype" w:eastAsiaTheme="minorHAnsi" w:hAnsi="Palatino Linotype"/>
          <w:b/>
          <w:bCs/>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 el artículo 240 de la Constitución de República del Ecuador, en adelante Constitución, establece: “</w:t>
      </w:r>
      <w:r w:rsidRPr="00043E5E">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00327A8D" w:rsidRPr="00043E5E">
        <w:rPr>
          <w:rFonts w:ascii="Palatino Linotype" w:eastAsiaTheme="minorHAnsi" w:hAnsi="Palatino Linotype"/>
          <w:i/>
          <w:iCs/>
          <w:sz w:val="22"/>
          <w:szCs w:val="22"/>
          <w:lang w:eastAsia="en-US"/>
        </w:rPr>
        <w:t>;</w:t>
      </w:r>
    </w:p>
    <w:p w14:paraId="1BAC642D"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F8BCB38" w14:textId="0A90C7D8"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la Constitución de la República del Ecuador en su artículo 266, determina: </w:t>
      </w:r>
      <w:r w:rsidRPr="00043E5E">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043E5E">
        <w:rPr>
          <w:rFonts w:ascii="Palatino Linotype" w:eastAsiaTheme="minorHAnsi" w:hAnsi="Palatino Linotype"/>
          <w:sz w:val="22"/>
          <w:szCs w:val="22"/>
          <w:lang w:eastAsia="en-US"/>
        </w:rPr>
        <w:t>;</w:t>
      </w:r>
    </w:p>
    <w:p w14:paraId="70FFF803" w14:textId="3EE3C12C"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F5E8E0E" w14:textId="7AF84F06" w:rsidR="00693708" w:rsidRPr="00043E5E" w:rsidRDefault="00693708" w:rsidP="00DD607C">
      <w:pPr>
        <w:autoSpaceDE w:val="0"/>
        <w:autoSpaceDN w:val="0"/>
        <w:adjustRightInd w:val="0"/>
        <w:ind w:left="709" w:hanging="709"/>
        <w:jc w:val="both"/>
        <w:rPr>
          <w:rFonts w:ascii="Palatino Linotype" w:eastAsiaTheme="minorHAnsi" w:hAnsi="Palatino Linotype"/>
          <w:i/>
          <w:sz w:val="22"/>
          <w:szCs w:val="22"/>
          <w:lang w:eastAsia="en-US"/>
        </w:rPr>
      </w:pPr>
      <w:r w:rsidRPr="00043E5E">
        <w:rPr>
          <w:rFonts w:ascii="Palatino Linotype" w:eastAsiaTheme="minorHAnsi" w:hAnsi="Palatino Linotype"/>
          <w:sz w:val="22"/>
          <w:szCs w:val="22"/>
          <w:lang w:eastAsia="en-US"/>
        </w:rPr>
        <w:t>Que</w:t>
      </w:r>
      <w:r w:rsidRPr="00043E5E">
        <w:rPr>
          <w:rFonts w:ascii="Palatino Linotype" w:eastAsiaTheme="minorHAnsi" w:hAnsi="Palatino Linotype"/>
          <w:sz w:val="22"/>
          <w:szCs w:val="22"/>
          <w:lang w:eastAsia="en-US"/>
        </w:rPr>
        <w:tab/>
        <w:t xml:space="preserve">el literal d) del artículo 57, del Código Orgánico de Organización Territorial, Autonomía y Descentralización, en adelante COOTAD, manifiesta: </w:t>
      </w:r>
      <w:r w:rsidRPr="00043E5E">
        <w:rPr>
          <w:rFonts w:ascii="Palatino Linotype" w:eastAsiaTheme="minorHAnsi" w:hAnsi="Palatino Linotype"/>
          <w:i/>
          <w:sz w:val="22"/>
          <w:szCs w:val="22"/>
          <w:lang w:eastAsia="en-US"/>
        </w:rPr>
        <w:t>"</w:t>
      </w:r>
      <w:r w:rsidR="00DD607C" w:rsidRPr="00043E5E">
        <w:rPr>
          <w:rFonts w:ascii="Palatino Linotype" w:eastAsiaTheme="minorHAnsi" w:hAnsi="Palatino Linotype"/>
          <w:i/>
          <w:sz w:val="22"/>
          <w:szCs w:val="22"/>
          <w:lang w:eastAsia="en-US"/>
        </w:rPr>
        <w:t>Expedir acuerdos o resoluciones, en el ámbito de competencia del gobierno autónomo descentralizado municipal, para regular temas institucionales específicos o reconocer derechos particulares</w:t>
      </w:r>
      <w:r w:rsidRPr="00043E5E">
        <w:rPr>
          <w:rFonts w:ascii="Palatino Linotype" w:eastAsiaTheme="minorHAnsi" w:hAnsi="Palatino Linotype"/>
          <w:i/>
          <w:sz w:val="22"/>
          <w:szCs w:val="22"/>
          <w:lang w:eastAsia="en-US"/>
        </w:rPr>
        <w:t>";</w:t>
      </w:r>
    </w:p>
    <w:p w14:paraId="42768682" w14:textId="77777777" w:rsidR="00693708" w:rsidRPr="00043E5E" w:rsidRDefault="00693708" w:rsidP="00327A8D">
      <w:pPr>
        <w:autoSpaceDE w:val="0"/>
        <w:autoSpaceDN w:val="0"/>
        <w:adjustRightInd w:val="0"/>
        <w:ind w:left="709" w:hanging="709"/>
        <w:jc w:val="both"/>
        <w:rPr>
          <w:rFonts w:ascii="Palatino Linotype" w:eastAsiaTheme="minorHAnsi" w:hAnsi="Palatino Linotype"/>
          <w:sz w:val="22"/>
          <w:szCs w:val="22"/>
          <w:lang w:eastAsia="en-US"/>
        </w:rPr>
      </w:pPr>
    </w:p>
    <w:p w14:paraId="26DA6EAC" w14:textId="6F4F6482" w:rsidR="00C926A0" w:rsidRPr="00043E5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043E5E">
        <w:rPr>
          <w:rFonts w:ascii="Palatino Linotype" w:eastAsiaTheme="minorHAnsi" w:hAnsi="Palatino Linotype"/>
          <w:b/>
          <w:bCs/>
          <w:sz w:val="22"/>
          <w:szCs w:val="22"/>
          <w:lang w:eastAsia="en-US"/>
        </w:rPr>
        <w:t>Que</w:t>
      </w:r>
      <w:r w:rsidR="00327A8D" w:rsidRPr="00043E5E">
        <w:rPr>
          <w:rFonts w:ascii="Palatino Linotype" w:eastAsiaTheme="minorHAnsi" w:hAnsi="Palatino Linotype"/>
          <w:sz w:val="22"/>
          <w:szCs w:val="22"/>
          <w:lang w:eastAsia="en-US"/>
        </w:rPr>
        <w:tab/>
      </w:r>
      <w:r w:rsidRPr="00043E5E">
        <w:rPr>
          <w:rFonts w:ascii="Palatino Linotype" w:eastAsiaTheme="minorHAnsi" w:hAnsi="Palatino Linotype"/>
          <w:sz w:val="22"/>
          <w:szCs w:val="22"/>
          <w:lang w:eastAsia="en-US"/>
        </w:rPr>
        <w:t xml:space="preserve">el literal c) del artículo 84, del Código Orgánico de Organización Territorial, Autonomía y Descentralización, en adelante COOTAD, manifiesta: </w:t>
      </w:r>
      <w:r w:rsidRPr="00043E5E">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4D47F66"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07282767" w14:textId="53CFD486"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los literales a) y d) del artículo 87 del Código Orgánico de Organización Territorial Autonomía y Descentralización, en adelante, “COOTAD”, establecen como atribuciones del Concejo Metropolitano, ejercer la facultad normativa a través de ordenanzas, acuerdos y resoluciones, en el ámbito de competencia del gobierno autónomo descentralizado metropolitano, para regular temas institucionales específicos o reconocer derechos particulares; </w:t>
      </w:r>
    </w:p>
    <w:p w14:paraId="2A7C4880"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CF6252C" w14:textId="6718F7E9"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conforme establece el artículo 87, literal v) del COOTAD, al Concejo Metropolitano le corresponde: </w:t>
      </w:r>
      <w:r w:rsidRPr="00043E5E">
        <w:rPr>
          <w:rFonts w:ascii="Palatino Linotype" w:eastAsiaTheme="minorHAnsi" w:hAnsi="Palatino Linotype"/>
          <w:i/>
          <w:sz w:val="22"/>
          <w:szCs w:val="22"/>
          <w:lang w:eastAsia="en-US"/>
        </w:rPr>
        <w:t xml:space="preserve">“… v) Regular y controlar el uso del suelo en el territorio del distrito </w:t>
      </w:r>
      <w:r w:rsidRPr="00043E5E">
        <w:rPr>
          <w:rFonts w:ascii="Palatino Linotype" w:eastAsiaTheme="minorHAnsi" w:hAnsi="Palatino Linotype"/>
          <w:i/>
          <w:sz w:val="22"/>
          <w:szCs w:val="22"/>
          <w:lang w:eastAsia="en-US"/>
        </w:rPr>
        <w:lastRenderedPageBreak/>
        <w:t>metropolitano, de conformidad con las leyes sobre la materia, y establecer el régimen urbanístico de la tierra”;</w:t>
      </w:r>
      <w:r w:rsidRPr="00043E5E">
        <w:rPr>
          <w:rFonts w:ascii="Palatino Linotype" w:eastAsiaTheme="minorHAnsi" w:hAnsi="Palatino Linotype"/>
          <w:sz w:val="22"/>
          <w:szCs w:val="22"/>
          <w:lang w:eastAsia="en-US"/>
        </w:rPr>
        <w:t xml:space="preserve"> </w:t>
      </w:r>
    </w:p>
    <w:p w14:paraId="09FCFE8D"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49BE1A8C" w14:textId="43EBA0AD" w:rsidR="00C926A0" w:rsidRPr="00043E5E" w:rsidRDefault="00C926A0" w:rsidP="00327A8D">
      <w:pPr>
        <w:autoSpaceDE w:val="0"/>
        <w:autoSpaceDN w:val="0"/>
        <w:adjustRightInd w:val="0"/>
        <w:ind w:left="709" w:hanging="709"/>
        <w:jc w:val="both"/>
        <w:rPr>
          <w:rFonts w:ascii="Palatino Linotype" w:eastAsiaTheme="minorHAnsi" w:hAnsi="Palatino Linotype"/>
          <w:i/>
          <w:iCs/>
          <w:sz w:val="22"/>
          <w:szCs w:val="22"/>
          <w:lang w:eastAsia="en-US"/>
        </w:rPr>
      </w:pPr>
      <w:r w:rsidRPr="00043E5E">
        <w:rPr>
          <w:rFonts w:ascii="Palatino Linotype" w:eastAsiaTheme="minorHAnsi" w:hAnsi="Palatino Linotype"/>
          <w:b/>
          <w:bCs/>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el artículo 323 del COOTAD establece: “</w:t>
      </w:r>
      <w:r w:rsidRPr="00043E5E">
        <w:rPr>
          <w:rFonts w:ascii="Palatino Linotype" w:eastAsiaTheme="minorHAnsi" w:hAnsi="Palatino Linotype"/>
          <w:i/>
          <w:iCs/>
          <w:sz w:val="22"/>
          <w:szCs w:val="22"/>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327A8D" w:rsidRPr="00043E5E">
        <w:rPr>
          <w:rFonts w:ascii="Palatino Linotype" w:eastAsiaTheme="minorHAnsi" w:hAnsi="Palatino Linotype"/>
          <w:i/>
          <w:iCs/>
          <w:sz w:val="22"/>
          <w:szCs w:val="22"/>
          <w:lang w:eastAsia="en-US"/>
        </w:rPr>
        <w:t>;</w:t>
      </w:r>
    </w:p>
    <w:p w14:paraId="1D0D56F6"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23CDD6A3" w14:textId="3C5A741B"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00327A8D" w:rsidRPr="00043E5E">
        <w:rPr>
          <w:rFonts w:ascii="Palatino Linotype" w:eastAsiaTheme="minorHAnsi" w:hAnsi="Palatino Linotype"/>
          <w:sz w:val="22"/>
          <w:szCs w:val="22"/>
          <w:lang w:eastAsia="en-US"/>
        </w:rPr>
        <w:tab/>
      </w:r>
      <w:r w:rsidRPr="00043E5E">
        <w:rPr>
          <w:rFonts w:ascii="Palatino Linotype" w:eastAsiaTheme="minorHAnsi" w:hAnsi="Palatino Linotype"/>
          <w:sz w:val="22"/>
          <w:szCs w:val="22"/>
          <w:lang w:eastAsia="en-US"/>
        </w:rPr>
        <w:t xml:space="preserve">el artículo 326 del COOTAD determina que los órganos legislativos de los gobiernos autónomos </w:t>
      </w:r>
      <w:r w:rsidR="00FB22AA" w:rsidRPr="00043E5E">
        <w:rPr>
          <w:rFonts w:ascii="Palatino Linotype" w:eastAsiaTheme="minorHAnsi" w:hAnsi="Palatino Linotype"/>
          <w:sz w:val="22"/>
          <w:szCs w:val="22"/>
          <w:lang w:eastAsia="en-US"/>
        </w:rPr>
        <w:t>descentralizados</w:t>
      </w:r>
      <w:r w:rsidRPr="00043E5E">
        <w:rPr>
          <w:rFonts w:ascii="Palatino Linotype" w:eastAsiaTheme="minorHAnsi" w:hAnsi="Palatino Linotype"/>
          <w:sz w:val="22"/>
          <w:szCs w:val="22"/>
          <w:lang w:eastAsia="en-US"/>
        </w:rPr>
        <w:t xml:space="preserve"> conformarán comisiones de trabajo las que emitirán conclusiones y recomendaciones que serán consideradas como base para la discusión y aprobación de sus decisiones; </w:t>
      </w:r>
    </w:p>
    <w:p w14:paraId="2AAFF8B1"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3BE47119" w14:textId="64376ECC" w:rsidR="00C926A0" w:rsidRPr="00043E5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r w:rsidRPr="00043E5E">
        <w:rPr>
          <w:rFonts w:ascii="Palatino Linotype" w:eastAsiaTheme="minorHAnsi" w:hAnsi="Palatino Linotype"/>
          <w:b/>
          <w:sz w:val="22"/>
          <w:szCs w:val="22"/>
          <w:lang w:eastAsia="en-US"/>
        </w:rPr>
        <w:t>Que</w:t>
      </w:r>
      <w:r w:rsidR="00327A8D" w:rsidRPr="00043E5E">
        <w:rPr>
          <w:rFonts w:ascii="Palatino Linotype" w:eastAsiaTheme="minorHAnsi" w:hAnsi="Palatino Linotype"/>
          <w:sz w:val="22"/>
          <w:szCs w:val="22"/>
          <w:lang w:eastAsia="en-US"/>
        </w:rPr>
        <w:tab/>
      </w:r>
      <w:r w:rsidRPr="00043E5E">
        <w:rPr>
          <w:rFonts w:ascii="Palatino Linotype" w:eastAsiaTheme="minorHAnsi" w:hAnsi="Palatino Linotype"/>
          <w:sz w:val="22"/>
          <w:szCs w:val="22"/>
          <w:lang w:eastAsia="en-US"/>
        </w:rPr>
        <w:t xml:space="preserve">el artículo 424 del COOTAD señala: </w:t>
      </w:r>
      <w:r w:rsidRPr="00043E5E">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14:paraId="45D39AE8" w14:textId="77777777" w:rsidR="00C926A0" w:rsidRPr="00043E5E" w:rsidRDefault="00C926A0" w:rsidP="00327A8D">
      <w:pPr>
        <w:autoSpaceDE w:val="0"/>
        <w:autoSpaceDN w:val="0"/>
        <w:adjustRightInd w:val="0"/>
        <w:ind w:left="709" w:hanging="709"/>
        <w:jc w:val="both"/>
        <w:rPr>
          <w:rFonts w:ascii="Palatino Linotype" w:eastAsiaTheme="minorHAnsi" w:hAnsi="Palatino Linotype"/>
          <w:i/>
          <w:sz w:val="22"/>
          <w:szCs w:val="22"/>
          <w:lang w:eastAsia="en-US"/>
        </w:rPr>
      </w:pPr>
    </w:p>
    <w:p w14:paraId="61EA936A" w14:textId="3DA262D9"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00327A8D" w:rsidRPr="00043E5E">
        <w:rPr>
          <w:rFonts w:ascii="Palatino Linotype" w:eastAsiaTheme="minorHAnsi" w:hAnsi="Palatino Linotype"/>
          <w:sz w:val="22"/>
          <w:szCs w:val="22"/>
          <w:lang w:eastAsia="en-US"/>
        </w:rPr>
        <w:tab/>
      </w:r>
      <w:r w:rsidRPr="00043E5E">
        <w:rPr>
          <w:rFonts w:ascii="Palatino Linotype" w:eastAsiaTheme="minorHAnsi" w:hAnsi="Palatino Linotype"/>
          <w:sz w:val="22"/>
          <w:szCs w:val="22"/>
          <w:lang w:eastAsia="en-US"/>
        </w:rPr>
        <w:t xml:space="preserve">el artículo 472 del COOTAD señala que: </w:t>
      </w:r>
      <w:r w:rsidRPr="00043E5E">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043E5E">
        <w:rPr>
          <w:rFonts w:ascii="Palatino Linotype" w:eastAsiaTheme="minorHAnsi" w:hAnsi="Palatino Linotype"/>
          <w:sz w:val="22"/>
          <w:szCs w:val="22"/>
          <w:lang w:eastAsia="en-US"/>
        </w:rPr>
        <w:t>;</w:t>
      </w:r>
    </w:p>
    <w:p w14:paraId="56DD8537" w14:textId="77777777" w:rsidR="00B10E7C" w:rsidRPr="00043E5E" w:rsidRDefault="00B10E7C" w:rsidP="00327A8D">
      <w:pPr>
        <w:autoSpaceDE w:val="0"/>
        <w:autoSpaceDN w:val="0"/>
        <w:adjustRightInd w:val="0"/>
        <w:ind w:left="709" w:hanging="709"/>
        <w:jc w:val="both"/>
        <w:rPr>
          <w:rFonts w:ascii="Palatino Linotype" w:eastAsiaTheme="minorHAnsi" w:hAnsi="Palatino Linotype"/>
          <w:sz w:val="22"/>
          <w:szCs w:val="22"/>
          <w:lang w:eastAsia="en-US"/>
        </w:rPr>
      </w:pPr>
    </w:p>
    <w:p w14:paraId="3630C45A" w14:textId="215D9CEE" w:rsidR="00B10E7C" w:rsidRPr="00043E5E" w:rsidRDefault="00B10E7C" w:rsidP="00B10E7C">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ab/>
        <w:t xml:space="preserve">el artículo 473 del COOTAD señala que: </w:t>
      </w:r>
      <w:r w:rsidRPr="00043E5E">
        <w:rPr>
          <w:rFonts w:ascii="Palatino Linotype" w:eastAsiaTheme="minorHAnsi" w:hAnsi="Palatino Linotype"/>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w:t>
      </w:r>
      <w:r w:rsidRPr="00043E5E">
        <w:rPr>
          <w:rFonts w:ascii="Palatino Linotype" w:eastAsiaTheme="minorHAnsi" w:hAnsi="Palatino Linotype"/>
          <w:i/>
          <w:sz w:val="22"/>
          <w:szCs w:val="22"/>
          <w:lang w:eastAsia="en-US"/>
        </w:rPr>
        <w:lastRenderedPageBreak/>
        <w:t>interesados pedirán al gobierno municipal o metropolitano la autorización respectiva, sin la cual no podrá realizarse la partición.”</w:t>
      </w:r>
      <w:r w:rsidRPr="00043E5E">
        <w:rPr>
          <w:rFonts w:ascii="Palatino Linotype" w:eastAsiaTheme="minorHAnsi" w:hAnsi="Palatino Linotype"/>
          <w:sz w:val="22"/>
          <w:szCs w:val="22"/>
          <w:lang w:eastAsia="en-US"/>
        </w:rPr>
        <w:t>;</w:t>
      </w:r>
    </w:p>
    <w:p w14:paraId="7F26413D"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p>
    <w:p w14:paraId="79A1CB66" w14:textId="19B6F766" w:rsidR="00FE4F27" w:rsidRPr="00043E5E"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ab/>
        <w:t xml:space="preserve">el artículo 2410 del Código Civil Ecuatoriano determina que: </w:t>
      </w:r>
      <w:r w:rsidRPr="00043E5E">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14:paraId="4F050D34" w14:textId="77777777" w:rsidR="00FE4F27" w:rsidRPr="00043E5E" w:rsidRDefault="00FE4F27" w:rsidP="00FE4F27">
      <w:pPr>
        <w:autoSpaceDE w:val="0"/>
        <w:autoSpaceDN w:val="0"/>
        <w:adjustRightInd w:val="0"/>
        <w:jc w:val="both"/>
        <w:rPr>
          <w:rFonts w:ascii="Palatino Linotype" w:hAnsi="Palatino Linotype"/>
          <w:sz w:val="22"/>
          <w:szCs w:val="22"/>
        </w:rPr>
      </w:pPr>
    </w:p>
    <w:p w14:paraId="0FD85531" w14:textId="1B3DD25B" w:rsidR="00FE4F27" w:rsidRPr="00043E5E"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b/>
          <w:sz w:val="22"/>
          <w:szCs w:val="22"/>
          <w:lang w:eastAsia="en-US"/>
        </w:rPr>
        <w:tab/>
      </w:r>
      <w:r w:rsidRPr="00043E5E">
        <w:rPr>
          <w:rFonts w:ascii="Palatino Linotype" w:eastAsiaTheme="minorHAnsi" w:hAnsi="Palatino Linotype"/>
          <w:sz w:val="22"/>
          <w:szCs w:val="22"/>
          <w:lang w:eastAsia="en-US"/>
        </w:rPr>
        <w:t>el numeral 1, del artículo 2 de la Ley de Régimen para el Distrito Metropolitano de Quito, determina, como finalidad, que el Municipio del Distrito Metropolitano de Quito: “</w:t>
      </w:r>
      <w:r w:rsidRPr="00043E5E">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043E5E">
        <w:rPr>
          <w:rFonts w:ascii="Palatino Linotype" w:eastAsiaTheme="minorHAnsi" w:hAnsi="Palatino Linotype"/>
          <w:sz w:val="22"/>
          <w:szCs w:val="22"/>
          <w:lang w:eastAsia="en-US"/>
        </w:rPr>
        <w:t>;</w:t>
      </w:r>
    </w:p>
    <w:p w14:paraId="7948EF58" w14:textId="77777777" w:rsidR="00FE4F27" w:rsidRPr="00043E5E" w:rsidRDefault="00FE4F27" w:rsidP="00FE4F27">
      <w:pPr>
        <w:autoSpaceDE w:val="0"/>
        <w:autoSpaceDN w:val="0"/>
        <w:adjustRightInd w:val="0"/>
        <w:ind w:left="709" w:hanging="709"/>
        <w:jc w:val="both"/>
        <w:rPr>
          <w:rFonts w:ascii="Palatino Linotype" w:eastAsiaTheme="minorHAnsi" w:hAnsi="Palatino Linotype"/>
          <w:sz w:val="22"/>
          <w:szCs w:val="22"/>
          <w:lang w:eastAsia="en-US"/>
        </w:rPr>
      </w:pPr>
    </w:p>
    <w:p w14:paraId="7E130C29" w14:textId="2DBBBFC8" w:rsidR="00FE4F27" w:rsidRPr="00043E5E" w:rsidRDefault="00FE4F27" w:rsidP="00FE4F27">
      <w:pPr>
        <w:autoSpaceDE w:val="0"/>
        <w:autoSpaceDN w:val="0"/>
        <w:adjustRightInd w:val="0"/>
        <w:ind w:left="709" w:hanging="709"/>
        <w:jc w:val="both"/>
        <w:rPr>
          <w:rFonts w:ascii="Palatino Linotype" w:hAnsi="Palatino Linotype"/>
          <w:sz w:val="22"/>
          <w:szCs w:val="22"/>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que: </w:t>
      </w:r>
      <w:r w:rsidRPr="00043E5E">
        <w:rPr>
          <w:rFonts w:ascii="Palatino Linotype" w:eastAsiaTheme="minorHAnsi" w:hAnsi="Palatino Linotype"/>
          <w:i/>
          <w:sz w:val="22"/>
          <w:szCs w:val="22"/>
          <w:lang w:eastAsia="en-US"/>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w:t>
      </w:r>
    </w:p>
    <w:p w14:paraId="3BC67136" w14:textId="77777777" w:rsidR="00FE4F27" w:rsidRPr="00043E5E" w:rsidRDefault="00FE4F27" w:rsidP="00FE4F27">
      <w:pPr>
        <w:autoSpaceDE w:val="0"/>
        <w:autoSpaceDN w:val="0"/>
        <w:adjustRightInd w:val="0"/>
        <w:ind w:left="709" w:hanging="709"/>
        <w:jc w:val="both"/>
        <w:rPr>
          <w:rFonts w:ascii="Palatino Linotype" w:hAnsi="Palatino Linotype"/>
          <w:sz w:val="22"/>
          <w:szCs w:val="22"/>
        </w:rPr>
      </w:pPr>
    </w:p>
    <w:p w14:paraId="46F2093F" w14:textId="16B92384" w:rsidR="00FE4F27" w:rsidRPr="00043E5E" w:rsidRDefault="00FE4F27" w:rsidP="00FE4F27">
      <w:pPr>
        <w:autoSpaceDE w:val="0"/>
        <w:autoSpaceDN w:val="0"/>
        <w:adjustRightInd w:val="0"/>
        <w:ind w:left="709" w:hanging="709"/>
        <w:jc w:val="both"/>
        <w:rPr>
          <w:rFonts w:ascii="Palatino Linotype" w:eastAsiaTheme="minorHAnsi" w:hAnsi="Palatino Linotype"/>
          <w:i/>
          <w:sz w:val="22"/>
          <w:szCs w:val="22"/>
          <w:lang w:eastAsia="en-US"/>
        </w:rPr>
      </w:pPr>
      <w:r w:rsidRPr="00043E5E">
        <w:rPr>
          <w:rFonts w:ascii="Palatino Linotype" w:eastAsiaTheme="minorHAnsi" w:hAnsi="Palatino Linotype"/>
          <w:b/>
          <w:sz w:val="22"/>
          <w:szCs w:val="22"/>
          <w:lang w:eastAsia="en-US"/>
        </w:rPr>
        <w:t>Que</w:t>
      </w:r>
      <w:r w:rsidRPr="00043E5E">
        <w:rPr>
          <w:rFonts w:ascii="Palatino Linotype" w:eastAsiaTheme="minorHAnsi" w:hAnsi="Palatino Linotype"/>
          <w:sz w:val="22"/>
          <w:szCs w:val="22"/>
          <w:lang w:eastAsia="en-US"/>
        </w:rPr>
        <w:t xml:space="preserve"> </w:t>
      </w:r>
      <w:r w:rsidRPr="00043E5E">
        <w:rPr>
          <w:rFonts w:ascii="Palatino Linotype" w:eastAsiaTheme="minorHAnsi" w:hAnsi="Palatino Linotype"/>
          <w:sz w:val="22"/>
          <w:szCs w:val="22"/>
          <w:lang w:eastAsia="en-US"/>
        </w:rPr>
        <w:tab/>
        <w:t xml:space="preserve">el Código Municipal en su artículo 2567 establece: </w:t>
      </w:r>
      <w:r w:rsidRPr="00043E5E">
        <w:rPr>
          <w:rFonts w:ascii="Palatino Linotype" w:eastAsiaTheme="minorHAnsi" w:hAnsi="Palatino Linotype"/>
          <w:i/>
          <w:sz w:val="22"/>
          <w:szCs w:val="22"/>
          <w:lang w:eastAsia="en-US"/>
        </w:rPr>
        <w:t>“En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En el caso de la sentencia ejecutoriada dictada dentro del juicio de prescripción extraordinaria adquisitiva de dominio, de una parte, de un lote que obliga a un fraccionamiento, se deberá calcular el aporte del 15% del área útil adquirida mediante sentencia. (…)”</w:t>
      </w:r>
      <w:r w:rsidRPr="00043E5E">
        <w:rPr>
          <w:rFonts w:ascii="Palatino Linotype" w:eastAsiaTheme="minorHAnsi" w:hAnsi="Palatino Linotype"/>
          <w:sz w:val="22"/>
          <w:szCs w:val="22"/>
          <w:lang w:eastAsia="en-US"/>
        </w:rPr>
        <w:t>;</w:t>
      </w:r>
      <w:r w:rsidRPr="00043E5E">
        <w:rPr>
          <w:rFonts w:ascii="Palatino Linotype" w:eastAsiaTheme="minorHAnsi" w:hAnsi="Palatino Linotype"/>
          <w:i/>
          <w:sz w:val="22"/>
          <w:szCs w:val="22"/>
          <w:lang w:eastAsia="en-US"/>
        </w:rPr>
        <w:t xml:space="preserve">  </w:t>
      </w:r>
    </w:p>
    <w:p w14:paraId="4E598D8D" w14:textId="77777777"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highlight w:val="yellow"/>
          <w:lang w:eastAsia="en-US"/>
        </w:rPr>
      </w:pPr>
    </w:p>
    <w:p w14:paraId="5C9847FE" w14:textId="7D824AAC" w:rsidR="00027D50" w:rsidRPr="00043E5E" w:rsidRDefault="00027D50" w:rsidP="00327A8D">
      <w:pPr>
        <w:autoSpaceDE w:val="0"/>
        <w:autoSpaceDN w:val="0"/>
        <w:adjustRightInd w:val="0"/>
        <w:ind w:left="708" w:hanging="708"/>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Que</w:t>
      </w:r>
      <w:r w:rsidR="00327A8D" w:rsidRPr="00043E5E">
        <w:rPr>
          <w:rFonts w:ascii="Palatino Linotype" w:eastAsiaTheme="minorHAnsi" w:hAnsi="Palatino Linotype"/>
          <w:sz w:val="22"/>
          <w:szCs w:val="22"/>
          <w:lang w:eastAsia="en-US"/>
        </w:rPr>
        <w:tab/>
      </w:r>
      <w:r w:rsidRPr="00043E5E">
        <w:rPr>
          <w:rFonts w:ascii="Palatino Linotype" w:eastAsiaTheme="minorHAnsi" w:hAnsi="Palatino Linotype"/>
          <w:sz w:val="22"/>
          <w:szCs w:val="22"/>
          <w:lang w:eastAsia="en-US"/>
        </w:rPr>
        <w:t>mediante oficio Nro.</w:t>
      </w:r>
      <w:r w:rsidRPr="00043E5E">
        <w:rPr>
          <w:rFonts w:ascii="Palatino Linotype" w:hAnsi="Palatino Linotype"/>
          <w:sz w:val="22"/>
          <w:szCs w:val="22"/>
        </w:rPr>
        <w:t xml:space="preserve"> 2950-2010 de 31 de octubre de 2011</w:t>
      </w:r>
      <w:r w:rsidRPr="00043E5E">
        <w:rPr>
          <w:rFonts w:ascii="Palatino Linotype" w:eastAsiaTheme="minorHAnsi" w:hAnsi="Palatino Linotype"/>
          <w:sz w:val="22"/>
          <w:szCs w:val="22"/>
          <w:lang w:eastAsia="en-US"/>
        </w:rPr>
        <w:t xml:space="preserve"> la Procuraduría Metropolitana emitió un </w:t>
      </w:r>
      <w:r w:rsidRPr="00043E5E">
        <w:rPr>
          <w:rFonts w:ascii="Palatino Linotype" w:hAnsi="Palatino Linotype"/>
          <w:sz w:val="22"/>
          <w:szCs w:val="22"/>
        </w:rPr>
        <w:t xml:space="preserve">pronunciamiento en forma general, respecto al marco legal y operativo para todos los casos de </w:t>
      </w:r>
      <w:r w:rsidRPr="00043E5E">
        <w:rPr>
          <w:rFonts w:ascii="Palatino Linotype" w:eastAsiaTheme="minorHAnsi" w:hAnsi="Palatino Linotype"/>
          <w:sz w:val="22"/>
          <w:szCs w:val="22"/>
          <w:lang w:eastAsia="en-US"/>
        </w:rPr>
        <w:t>prescripción extraordinaria adquisitiva de dominio;</w:t>
      </w:r>
    </w:p>
    <w:p w14:paraId="0A77A64B" w14:textId="77777777" w:rsidR="009859A6" w:rsidRPr="00043E5E" w:rsidRDefault="009859A6" w:rsidP="00327A8D">
      <w:pPr>
        <w:autoSpaceDE w:val="0"/>
        <w:autoSpaceDN w:val="0"/>
        <w:adjustRightInd w:val="0"/>
        <w:ind w:left="708" w:hanging="708"/>
        <w:jc w:val="both"/>
        <w:rPr>
          <w:rFonts w:ascii="Palatino Linotype" w:eastAsiaTheme="minorHAnsi" w:hAnsi="Palatino Linotype"/>
          <w:sz w:val="22"/>
          <w:szCs w:val="22"/>
          <w:lang w:eastAsia="en-US"/>
        </w:rPr>
      </w:pPr>
    </w:p>
    <w:p w14:paraId="75301EA2" w14:textId="2FA1A494" w:rsidR="00FB0612" w:rsidRPr="00043E5E" w:rsidRDefault="007E108B" w:rsidP="00FB0612">
      <w:pPr>
        <w:autoSpaceDE w:val="0"/>
        <w:autoSpaceDN w:val="0"/>
        <w:adjustRightInd w:val="0"/>
        <w:ind w:left="708" w:hanging="708"/>
        <w:jc w:val="both"/>
        <w:rPr>
          <w:rFonts w:ascii="Palatino Linotype" w:eastAsiaTheme="minorHAnsi" w:hAnsi="Palatino Linotype"/>
          <w:bCs/>
          <w:sz w:val="22"/>
          <w:szCs w:val="22"/>
          <w:lang w:eastAsia="en-US"/>
        </w:rPr>
      </w:pPr>
      <w:r w:rsidRPr="00043E5E">
        <w:rPr>
          <w:rFonts w:ascii="Palatino Linotype" w:eastAsiaTheme="minorHAnsi" w:hAnsi="Palatino Linotype"/>
          <w:b/>
          <w:sz w:val="22"/>
          <w:szCs w:val="22"/>
          <w:lang w:eastAsia="en-US"/>
        </w:rPr>
        <w:lastRenderedPageBreak/>
        <w:t xml:space="preserve">Que </w:t>
      </w:r>
      <w:r w:rsidR="00CD51C7" w:rsidRPr="00043E5E">
        <w:rPr>
          <w:rFonts w:ascii="Palatino Linotype" w:eastAsiaTheme="minorHAnsi" w:hAnsi="Palatino Linotype"/>
          <w:b/>
          <w:sz w:val="22"/>
          <w:szCs w:val="22"/>
          <w:lang w:eastAsia="en-US"/>
        </w:rPr>
        <w:t xml:space="preserve"> </w:t>
      </w:r>
      <w:r w:rsidRPr="00043E5E">
        <w:rPr>
          <w:rFonts w:ascii="Palatino Linotype" w:eastAsiaTheme="minorHAnsi" w:hAnsi="Palatino Linotype"/>
          <w:b/>
          <w:sz w:val="22"/>
          <w:szCs w:val="22"/>
          <w:lang w:eastAsia="en-US"/>
        </w:rPr>
        <w:t xml:space="preserve"> </w:t>
      </w:r>
      <w:r w:rsidR="00CD51C7" w:rsidRPr="00043E5E">
        <w:rPr>
          <w:rFonts w:ascii="Palatino Linotype" w:eastAsiaTheme="minorHAnsi" w:hAnsi="Palatino Linotype"/>
          <w:b/>
          <w:sz w:val="22"/>
          <w:szCs w:val="22"/>
          <w:lang w:eastAsia="en-US"/>
        </w:rPr>
        <w:t xml:space="preserve"> </w:t>
      </w:r>
      <w:r w:rsidRPr="00043E5E">
        <w:rPr>
          <w:rFonts w:ascii="Palatino Linotype" w:eastAsiaTheme="minorHAnsi" w:hAnsi="Palatino Linotype"/>
          <w:bCs/>
          <w:sz w:val="22"/>
          <w:szCs w:val="22"/>
          <w:lang w:eastAsia="en-US"/>
        </w:rPr>
        <w:t>median</w:t>
      </w:r>
      <w:r w:rsidR="00696649" w:rsidRPr="00043E5E">
        <w:rPr>
          <w:rFonts w:ascii="Palatino Linotype" w:eastAsiaTheme="minorHAnsi" w:hAnsi="Palatino Linotype"/>
          <w:bCs/>
          <w:sz w:val="22"/>
          <w:szCs w:val="22"/>
          <w:lang w:eastAsia="en-US"/>
        </w:rPr>
        <w:t xml:space="preserve">te sentencia dictada el </w:t>
      </w:r>
      <w:r w:rsidR="00FE0EAD" w:rsidRPr="00043E5E">
        <w:rPr>
          <w:rFonts w:ascii="Palatino Linotype" w:eastAsiaTheme="minorHAnsi" w:hAnsi="Palatino Linotype"/>
          <w:bCs/>
          <w:sz w:val="22"/>
          <w:szCs w:val="22"/>
          <w:lang w:eastAsia="en-US"/>
        </w:rPr>
        <w:t xml:space="preserve">28 </w:t>
      </w:r>
      <w:r w:rsidRPr="00043E5E">
        <w:rPr>
          <w:rFonts w:ascii="Palatino Linotype" w:eastAsiaTheme="minorHAnsi" w:hAnsi="Palatino Linotype"/>
          <w:bCs/>
          <w:sz w:val="22"/>
          <w:szCs w:val="22"/>
          <w:lang w:eastAsia="en-US"/>
        </w:rPr>
        <w:t xml:space="preserve">de </w:t>
      </w:r>
      <w:r w:rsidR="00FE0EAD" w:rsidRPr="00043E5E">
        <w:rPr>
          <w:rFonts w:ascii="Palatino Linotype" w:eastAsiaTheme="minorHAnsi" w:hAnsi="Palatino Linotype"/>
          <w:bCs/>
          <w:sz w:val="22"/>
          <w:szCs w:val="22"/>
          <w:lang w:eastAsia="en-US"/>
        </w:rPr>
        <w:t xml:space="preserve">junio </w:t>
      </w:r>
      <w:r w:rsidRPr="00043E5E">
        <w:rPr>
          <w:rFonts w:ascii="Palatino Linotype" w:eastAsiaTheme="minorHAnsi" w:hAnsi="Palatino Linotype"/>
          <w:bCs/>
          <w:sz w:val="22"/>
          <w:szCs w:val="22"/>
          <w:lang w:eastAsia="en-US"/>
        </w:rPr>
        <w:t xml:space="preserve">del </w:t>
      </w:r>
      <w:r w:rsidR="00FE0EAD" w:rsidRPr="00043E5E">
        <w:rPr>
          <w:rFonts w:ascii="Palatino Linotype" w:eastAsiaTheme="minorHAnsi" w:hAnsi="Palatino Linotype"/>
          <w:bCs/>
          <w:sz w:val="22"/>
          <w:szCs w:val="22"/>
          <w:lang w:eastAsia="en-US"/>
        </w:rPr>
        <w:t>2015</w:t>
      </w:r>
      <w:r w:rsidRPr="00043E5E">
        <w:rPr>
          <w:rFonts w:ascii="Palatino Linotype" w:eastAsiaTheme="minorHAnsi" w:hAnsi="Palatino Linotype"/>
          <w:bCs/>
          <w:sz w:val="22"/>
          <w:szCs w:val="22"/>
          <w:lang w:eastAsia="en-US"/>
        </w:rPr>
        <w:t xml:space="preserve">, el Juez de la Unidad Judicial </w:t>
      </w:r>
      <w:r w:rsidR="00825292" w:rsidRPr="00043E5E">
        <w:rPr>
          <w:rFonts w:ascii="Palatino Linotype" w:eastAsiaTheme="minorHAnsi" w:hAnsi="Palatino Linotype"/>
          <w:bCs/>
          <w:sz w:val="22"/>
          <w:szCs w:val="22"/>
          <w:lang w:eastAsia="en-US"/>
        </w:rPr>
        <w:t>Civ</w:t>
      </w:r>
      <w:r w:rsidR="004E5798" w:rsidRPr="00043E5E">
        <w:rPr>
          <w:rFonts w:ascii="Palatino Linotype" w:eastAsiaTheme="minorHAnsi" w:hAnsi="Palatino Linotype"/>
          <w:bCs/>
          <w:sz w:val="22"/>
          <w:szCs w:val="22"/>
          <w:lang w:eastAsia="en-US"/>
        </w:rPr>
        <w:t>i</w:t>
      </w:r>
      <w:r w:rsidR="00825292" w:rsidRPr="00043E5E">
        <w:rPr>
          <w:rFonts w:ascii="Palatino Linotype" w:eastAsiaTheme="minorHAnsi" w:hAnsi="Palatino Linotype"/>
          <w:bCs/>
          <w:sz w:val="22"/>
          <w:szCs w:val="22"/>
          <w:lang w:eastAsia="en-US"/>
        </w:rPr>
        <w:t xml:space="preserve">l </w:t>
      </w:r>
      <w:r w:rsidRPr="00043E5E">
        <w:rPr>
          <w:rFonts w:ascii="Palatino Linotype" w:eastAsiaTheme="minorHAnsi" w:hAnsi="Palatino Linotype"/>
          <w:bCs/>
          <w:sz w:val="22"/>
          <w:szCs w:val="22"/>
          <w:lang w:eastAsia="en-US"/>
        </w:rPr>
        <w:t xml:space="preserve">con Sede en la Parroquia </w:t>
      </w:r>
      <w:r w:rsidR="00825292" w:rsidRPr="00043E5E">
        <w:rPr>
          <w:rFonts w:ascii="Palatino Linotype" w:eastAsiaTheme="minorHAnsi" w:hAnsi="Palatino Linotype"/>
          <w:bCs/>
          <w:sz w:val="22"/>
          <w:szCs w:val="22"/>
          <w:lang w:eastAsia="en-US"/>
        </w:rPr>
        <w:t xml:space="preserve">Iñaquito </w:t>
      </w:r>
      <w:r w:rsidRPr="00043E5E">
        <w:rPr>
          <w:rFonts w:ascii="Palatino Linotype" w:eastAsiaTheme="minorHAnsi" w:hAnsi="Palatino Linotype"/>
          <w:bCs/>
          <w:sz w:val="22"/>
          <w:szCs w:val="22"/>
          <w:lang w:eastAsia="en-US"/>
        </w:rPr>
        <w:t xml:space="preserve">del Distrito Metropolitano de Quito, provincia de Pichincha, dentro del Juicio Nro. </w:t>
      </w:r>
      <w:r w:rsidR="00825292" w:rsidRPr="00043E5E">
        <w:rPr>
          <w:rFonts w:ascii="Palatino Linotype" w:eastAsiaTheme="minorHAnsi" w:hAnsi="Palatino Linotype"/>
          <w:bCs/>
          <w:sz w:val="22"/>
          <w:szCs w:val="22"/>
          <w:lang w:eastAsia="en-US"/>
        </w:rPr>
        <w:t>17306-2012-0294,</w:t>
      </w:r>
      <w:r w:rsidRPr="00043E5E">
        <w:rPr>
          <w:rFonts w:ascii="Palatino Linotype" w:eastAsiaTheme="minorHAnsi" w:hAnsi="Palatino Linotype"/>
          <w:bCs/>
          <w:sz w:val="22"/>
          <w:szCs w:val="22"/>
          <w:lang w:eastAsia="en-US"/>
        </w:rPr>
        <w:t xml:space="preserve"> resolvió: “(...)</w:t>
      </w:r>
      <w:r w:rsidR="00F72AA1" w:rsidRPr="00043E5E">
        <w:rPr>
          <w:rFonts w:ascii="Palatino Linotype" w:eastAsiaTheme="minorHAnsi" w:hAnsi="Palatino Linotype"/>
          <w:bCs/>
          <w:sz w:val="22"/>
          <w:szCs w:val="22"/>
          <w:lang w:eastAsia="en-US"/>
        </w:rPr>
        <w:t xml:space="preserve"> </w:t>
      </w:r>
      <w:r w:rsidR="004E5798" w:rsidRPr="00043E5E">
        <w:rPr>
          <w:rFonts w:ascii="Palatino Linotype" w:hAnsi="Palatino Linotype"/>
          <w:i/>
          <w:iCs/>
          <w:sz w:val="22"/>
          <w:szCs w:val="22"/>
        </w:rPr>
        <w:t>se acepta la demanda y en consecuencia</w:t>
      </w:r>
      <w:r w:rsidR="004E5798" w:rsidRPr="00043E5E">
        <w:rPr>
          <w:rFonts w:ascii="Palatino Linotype" w:hAnsi="Palatino Linotype"/>
          <w:i/>
          <w:iCs/>
          <w:sz w:val="22"/>
          <w:szCs w:val="22"/>
        </w:rPr>
        <w:t xml:space="preserve"> </w:t>
      </w:r>
      <w:r w:rsidR="00FB0612" w:rsidRPr="00043E5E">
        <w:rPr>
          <w:rFonts w:ascii="Palatino Linotype" w:hAnsi="Palatino Linotype"/>
          <w:i/>
          <w:iCs/>
          <w:sz w:val="22"/>
          <w:szCs w:val="22"/>
        </w:rPr>
        <w:t>se declara que los señores JUAN JOSE SOTALIN PERALTA y MARIA ALICIA VICENTE PEÑA, han adquirido por prescripción extraordinaria adquisitiva de dominio el inmueble, consistente en el lote de terreno y edificación, ubicado en el Sector de la Estación del Inca, Barrio Llano Grande, Parroquia Calderón, Distrito Metropolitano de Quito, Provincia de Pichincha; cuyos linderos son: Norte.- en 11,05 metros, con calle pública Miramelinda; Sur.- en 10,65 metros, con lote de herederos de Nicolás Toapanta; Este.- en 25,29 metros, con lote de herederos de Nicolás Toapanta; y, Oeste.- en 25,29 metros, con pasaje peatonal; dando una superficie de 269,34 metros cuadrados. Especificaciones constantes del acta de inspección judicial e informe pericial. Ejecutoriada esta sentencia, protocolícese en una de las Notarías de este Cantón, a fin de que sirva de suficiente título de propiedad. Hecho, inscríbase en el Registro de la Propiedad del Distrito Metropolitano de Quito, acorde lo dispuesto por el Art. 2413 del Código Civil vigente, así como también se dispone cancelar la inscripción de esta demanda, para lo cual se le notificará al Registro de la Propiedad del D</w:t>
      </w:r>
      <w:r w:rsidR="00FB0612" w:rsidRPr="00043E5E">
        <w:rPr>
          <w:rFonts w:ascii="Palatino Linotype" w:hAnsi="Palatino Linotype"/>
          <w:i/>
          <w:iCs/>
          <w:sz w:val="22"/>
          <w:szCs w:val="22"/>
        </w:rPr>
        <w:t>istrito Metropolitano de Quito</w:t>
      </w:r>
      <w:r w:rsidR="00FB0612" w:rsidRPr="00043E5E">
        <w:rPr>
          <w:rFonts w:ascii="Palatino Linotype" w:hAnsi="Palatino Linotype"/>
          <w:i/>
          <w:iCs/>
          <w:sz w:val="22"/>
          <w:szCs w:val="22"/>
        </w:rPr>
        <w:t>”.</w:t>
      </w:r>
    </w:p>
    <w:p w14:paraId="590EB915" w14:textId="77777777" w:rsidR="00027D50" w:rsidRPr="00043E5E" w:rsidRDefault="00027D50" w:rsidP="00327A8D">
      <w:pPr>
        <w:autoSpaceDE w:val="0"/>
        <w:autoSpaceDN w:val="0"/>
        <w:adjustRightInd w:val="0"/>
        <w:ind w:left="708" w:hanging="708"/>
        <w:jc w:val="both"/>
        <w:rPr>
          <w:rFonts w:ascii="Palatino Linotype" w:eastAsiaTheme="minorHAnsi" w:hAnsi="Palatino Linotype"/>
          <w:bCs/>
          <w:sz w:val="22"/>
          <w:szCs w:val="22"/>
          <w:lang w:eastAsia="en-US"/>
        </w:rPr>
      </w:pPr>
    </w:p>
    <w:p w14:paraId="24DF445B" w14:textId="6C7C0AD4" w:rsidR="001F733D" w:rsidRPr="00043E5E" w:rsidRDefault="0013405F" w:rsidP="00327A8D">
      <w:pPr>
        <w:pStyle w:val="Default"/>
        <w:ind w:left="708" w:hanging="708"/>
        <w:jc w:val="both"/>
        <w:rPr>
          <w:sz w:val="22"/>
          <w:szCs w:val="22"/>
        </w:rPr>
      </w:pPr>
      <w:r w:rsidRPr="00043E5E">
        <w:rPr>
          <w:b/>
          <w:sz w:val="22"/>
          <w:szCs w:val="22"/>
        </w:rPr>
        <w:t>Que</w:t>
      </w:r>
      <w:r w:rsidR="00327A8D" w:rsidRPr="00043E5E">
        <w:rPr>
          <w:sz w:val="22"/>
          <w:szCs w:val="22"/>
        </w:rPr>
        <w:tab/>
      </w:r>
      <w:r w:rsidRPr="00043E5E">
        <w:rPr>
          <w:sz w:val="22"/>
          <w:szCs w:val="22"/>
        </w:rPr>
        <w:t>m</w:t>
      </w:r>
      <w:r w:rsidR="001F733D" w:rsidRPr="00043E5E">
        <w:rPr>
          <w:sz w:val="22"/>
          <w:szCs w:val="22"/>
        </w:rPr>
        <w:t>ediante oficio GADDMQ-PM-2021-03</w:t>
      </w:r>
      <w:r w:rsidR="00AC0982" w:rsidRPr="00043E5E">
        <w:rPr>
          <w:sz w:val="22"/>
          <w:szCs w:val="22"/>
        </w:rPr>
        <w:t>96-O de 29 de enero de 2021, el</w:t>
      </w:r>
      <w:r w:rsidR="001F733D" w:rsidRPr="00043E5E">
        <w:rPr>
          <w:sz w:val="22"/>
          <w:szCs w:val="22"/>
        </w:rPr>
        <w:t xml:space="preserve"> Dr. Edison Yépez Vinueza, Subp</w:t>
      </w:r>
      <w:r w:rsidR="00E2458D" w:rsidRPr="00043E5E">
        <w:rPr>
          <w:sz w:val="22"/>
          <w:szCs w:val="22"/>
        </w:rPr>
        <w:t xml:space="preserve">rocurador Metropolitano, señala: </w:t>
      </w:r>
      <w:r w:rsidR="001F733D" w:rsidRPr="00043E5E">
        <w:rPr>
          <w:sz w:val="22"/>
          <w:szCs w:val="22"/>
        </w:rPr>
        <w:t xml:space="preserve"> </w:t>
      </w:r>
    </w:p>
    <w:p w14:paraId="244E15DA" w14:textId="77777777" w:rsidR="001F733D" w:rsidRPr="00043E5E" w:rsidRDefault="001F733D" w:rsidP="00327A8D">
      <w:pPr>
        <w:tabs>
          <w:tab w:val="left" w:pos="426"/>
        </w:tabs>
        <w:ind w:left="1416" w:right="566"/>
        <w:jc w:val="both"/>
        <w:rPr>
          <w:rFonts w:ascii="Palatino Linotype" w:hAnsi="Palatino Linotype"/>
          <w:i/>
          <w:sz w:val="22"/>
          <w:szCs w:val="22"/>
        </w:rPr>
      </w:pPr>
    </w:p>
    <w:p w14:paraId="62A907E9" w14:textId="77777777" w:rsidR="001F733D" w:rsidRPr="00043E5E" w:rsidRDefault="001F733D" w:rsidP="00327A8D">
      <w:pPr>
        <w:tabs>
          <w:tab w:val="left" w:pos="284"/>
        </w:tabs>
        <w:ind w:left="708"/>
        <w:jc w:val="both"/>
        <w:rPr>
          <w:rFonts w:ascii="Palatino Linotype" w:hAnsi="Palatino Linotype"/>
          <w:i/>
          <w:sz w:val="22"/>
          <w:szCs w:val="22"/>
        </w:rPr>
      </w:pPr>
      <w:r w:rsidRPr="00043E5E">
        <w:rPr>
          <w:rFonts w:ascii="Palatino Linotype" w:hAnsi="Palatino Linotype"/>
          <w:i/>
          <w:sz w:val="22"/>
          <w:szCs w:val="22"/>
        </w:rPr>
        <w:t>“(…) Mediante oficio No. 2950-2010 de 31 de octubre de 2011, la Procuraduría Metropolitana absuelve la consulta planteada por la Secretaría de Coordinación Territorial y Participación Ciudadana, para los casos de fraccionamiento producidos a causa de las sentencias dictadas en juicios de prescripción adquisitiva de dominio y se pronunció respecto del procedimiento a seguir para el cumplimiento y ejecución de dichas sentencias.</w:t>
      </w:r>
    </w:p>
    <w:p w14:paraId="09A16CEF" w14:textId="77777777" w:rsidR="001F733D" w:rsidRPr="00043E5E" w:rsidRDefault="001F733D" w:rsidP="00327A8D">
      <w:pPr>
        <w:tabs>
          <w:tab w:val="left" w:pos="284"/>
        </w:tabs>
        <w:ind w:left="708"/>
        <w:jc w:val="both"/>
        <w:rPr>
          <w:rFonts w:ascii="Palatino Linotype" w:hAnsi="Palatino Linotype"/>
          <w:i/>
          <w:sz w:val="22"/>
          <w:szCs w:val="22"/>
        </w:rPr>
      </w:pPr>
      <w:r w:rsidRPr="00043E5E">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14:paraId="10DCC6E6" w14:textId="77777777" w:rsidR="001F733D" w:rsidRPr="00043E5E" w:rsidRDefault="001F733D" w:rsidP="00327A8D">
      <w:pPr>
        <w:tabs>
          <w:tab w:val="left" w:pos="284"/>
        </w:tabs>
        <w:ind w:left="708"/>
        <w:jc w:val="both"/>
        <w:rPr>
          <w:rFonts w:ascii="Palatino Linotype" w:hAnsi="Palatino Linotype"/>
          <w:i/>
          <w:sz w:val="22"/>
          <w:szCs w:val="22"/>
        </w:rPr>
      </w:pPr>
      <w:r w:rsidRPr="00043E5E">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14:paraId="00C71045" w14:textId="77777777" w:rsidR="001F733D" w:rsidRPr="00043E5E" w:rsidRDefault="001F733D" w:rsidP="00327A8D">
      <w:pPr>
        <w:tabs>
          <w:tab w:val="left" w:pos="284"/>
        </w:tabs>
        <w:ind w:left="708"/>
        <w:jc w:val="both"/>
        <w:rPr>
          <w:rFonts w:ascii="Palatino Linotype" w:hAnsi="Palatino Linotype"/>
          <w:i/>
          <w:sz w:val="22"/>
          <w:szCs w:val="22"/>
        </w:rPr>
      </w:pPr>
      <w:r w:rsidRPr="00043E5E">
        <w:rPr>
          <w:rFonts w:ascii="Palatino Linotype" w:hAnsi="Palatino Linotype"/>
          <w:i/>
          <w:sz w:val="22"/>
          <w:szCs w:val="22"/>
        </w:rPr>
        <w:t>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w:t>
      </w:r>
      <w:r w:rsidR="00327A8D" w:rsidRPr="00043E5E">
        <w:rPr>
          <w:rFonts w:ascii="Palatino Linotype" w:hAnsi="Palatino Linotype"/>
          <w:i/>
          <w:sz w:val="22"/>
          <w:szCs w:val="22"/>
        </w:rPr>
        <w:t>no de los casos en particular.”;</w:t>
      </w:r>
    </w:p>
    <w:p w14:paraId="6FC7C8B5" w14:textId="17489787" w:rsidR="001F733D" w:rsidRPr="00043E5E" w:rsidRDefault="00607035" w:rsidP="0041222E">
      <w:pPr>
        <w:tabs>
          <w:tab w:val="left" w:pos="709"/>
        </w:tabs>
        <w:ind w:left="709" w:hanging="796"/>
        <w:jc w:val="both"/>
        <w:rPr>
          <w:rFonts w:ascii="Palatino Linotype" w:hAnsi="Palatino Linotype"/>
          <w:sz w:val="22"/>
          <w:szCs w:val="22"/>
        </w:rPr>
      </w:pPr>
      <w:r w:rsidRPr="00043E5E">
        <w:rPr>
          <w:rFonts w:ascii="Palatino Linotype" w:hAnsi="Palatino Linotype"/>
          <w:b/>
          <w:sz w:val="22"/>
          <w:szCs w:val="22"/>
        </w:rPr>
        <w:lastRenderedPageBreak/>
        <w:t>Que</w:t>
      </w:r>
      <w:r w:rsidRPr="00043E5E">
        <w:rPr>
          <w:rFonts w:ascii="Palatino Linotype" w:hAnsi="Palatino Linotype"/>
          <w:sz w:val="22"/>
          <w:szCs w:val="22"/>
        </w:rPr>
        <w:t xml:space="preserve">, </w:t>
      </w:r>
      <w:r w:rsidR="0041222E" w:rsidRPr="00043E5E">
        <w:rPr>
          <w:rFonts w:ascii="Palatino Linotype" w:hAnsi="Palatino Linotype"/>
          <w:sz w:val="22"/>
          <w:szCs w:val="22"/>
        </w:rPr>
        <w:t>m</w:t>
      </w:r>
      <w:r w:rsidR="0041222E" w:rsidRPr="00043E5E">
        <w:rPr>
          <w:rFonts w:ascii="Palatino Linotype" w:hAnsi="Palatino Linotype"/>
          <w:sz w:val="22"/>
          <w:szCs w:val="22"/>
        </w:rPr>
        <w:t>ediante solicitud de 30 de marzo de 2023, el señor Juan José Sotalín Peralta, solicita a la Administración Calderón, autorizar se proceda al catastro del lote de terreno adquirido mediante prescripción extraordinaria adquisitiva de dominio misma, que se encuentra ejecutoriada por el Ministerio de la Ley, sobre uno fracción de terreno del lote signad</w:t>
      </w:r>
      <w:r w:rsidR="00E506C6" w:rsidRPr="00043E5E">
        <w:rPr>
          <w:rFonts w:ascii="Palatino Linotype" w:hAnsi="Palatino Linotype"/>
          <w:sz w:val="22"/>
          <w:szCs w:val="22"/>
        </w:rPr>
        <w:t>o con el número de predio 40069;</w:t>
      </w:r>
    </w:p>
    <w:p w14:paraId="60DC616B" w14:textId="77777777" w:rsidR="00607035" w:rsidRPr="00043E5E" w:rsidRDefault="00607035" w:rsidP="0041222E">
      <w:pPr>
        <w:tabs>
          <w:tab w:val="left" w:pos="709"/>
        </w:tabs>
        <w:ind w:left="709" w:hanging="796"/>
        <w:jc w:val="both"/>
        <w:rPr>
          <w:rFonts w:ascii="Palatino Linotype" w:hAnsi="Palatino Linotype"/>
          <w:sz w:val="22"/>
          <w:szCs w:val="22"/>
        </w:rPr>
      </w:pPr>
    </w:p>
    <w:p w14:paraId="455A9183" w14:textId="44CB7CD0" w:rsidR="00992458" w:rsidRPr="00043E5E" w:rsidRDefault="00992458" w:rsidP="00CD51C7">
      <w:pPr>
        <w:pStyle w:val="Default"/>
        <w:jc w:val="both"/>
        <w:rPr>
          <w:sz w:val="22"/>
          <w:szCs w:val="22"/>
          <w:lang w:val="es-EC"/>
        </w:rPr>
      </w:pPr>
    </w:p>
    <w:p w14:paraId="7048441B" w14:textId="1E82FA09" w:rsidR="00975CA7" w:rsidRPr="00043E5E" w:rsidRDefault="00804355" w:rsidP="00804355">
      <w:pPr>
        <w:autoSpaceDE w:val="0"/>
        <w:autoSpaceDN w:val="0"/>
        <w:adjustRightInd w:val="0"/>
        <w:ind w:left="708" w:hanging="708"/>
        <w:jc w:val="both"/>
        <w:rPr>
          <w:rFonts w:ascii="Palatino Linotype" w:hAnsi="Palatino Linotype"/>
          <w:sz w:val="22"/>
          <w:szCs w:val="22"/>
          <w:lang w:val="es-ES_tradnl"/>
        </w:rPr>
      </w:pPr>
      <w:r w:rsidRPr="00043E5E">
        <w:rPr>
          <w:rFonts w:ascii="Palatino Linotype" w:eastAsiaTheme="minorHAnsi" w:hAnsi="Palatino Linotype" w:cs="Palatino Linotype"/>
          <w:b/>
          <w:color w:val="000000"/>
          <w:sz w:val="22"/>
          <w:szCs w:val="22"/>
          <w:lang w:eastAsia="en-US"/>
        </w:rPr>
        <w:t xml:space="preserve">Que, </w:t>
      </w:r>
      <w:r w:rsidRPr="00043E5E">
        <w:rPr>
          <w:rFonts w:ascii="Palatino Linotype" w:hAnsi="Palatino Linotype"/>
          <w:sz w:val="22"/>
          <w:szCs w:val="22"/>
          <w:lang w:val="es-ES_tradnl"/>
        </w:rPr>
        <w:t>m</w:t>
      </w:r>
      <w:r w:rsidR="00975CA7" w:rsidRPr="00043E5E">
        <w:rPr>
          <w:rFonts w:ascii="Palatino Linotype" w:hAnsi="Palatino Linotype"/>
          <w:sz w:val="22"/>
          <w:szCs w:val="22"/>
          <w:lang w:val="es-ES_tradnl"/>
        </w:rPr>
        <w:t xml:space="preserve">ediante memorando No. GADDMQ-AZCA-2023-0273-M, de 26 de junio de 2023, la Administración Zonal Calderón, remite los siguientes informes, para conocimiento de la Comisión de Uso de Suelo:  </w:t>
      </w:r>
    </w:p>
    <w:p w14:paraId="1F69A317" w14:textId="77777777" w:rsidR="00975CA7" w:rsidRPr="00043E5E" w:rsidRDefault="00975CA7" w:rsidP="00975CA7">
      <w:pPr>
        <w:autoSpaceDE w:val="0"/>
        <w:autoSpaceDN w:val="0"/>
        <w:adjustRightInd w:val="0"/>
        <w:ind w:left="1069"/>
        <w:jc w:val="both"/>
        <w:rPr>
          <w:rFonts w:ascii="Palatino Linotype" w:hAnsi="Palatino Linotype"/>
          <w:sz w:val="22"/>
          <w:szCs w:val="22"/>
          <w:lang w:val="es-ES_tradnl"/>
        </w:rPr>
      </w:pPr>
    </w:p>
    <w:p w14:paraId="32A276C2" w14:textId="3315F69E" w:rsidR="00975CA7" w:rsidRPr="00043E5E" w:rsidRDefault="00E26C80" w:rsidP="00975CA7">
      <w:pPr>
        <w:autoSpaceDE w:val="0"/>
        <w:autoSpaceDN w:val="0"/>
        <w:adjustRightInd w:val="0"/>
        <w:ind w:left="1069"/>
        <w:jc w:val="both"/>
        <w:rPr>
          <w:rFonts w:ascii="Palatino Linotype" w:hAnsi="Palatino Linotype"/>
          <w:i/>
          <w:sz w:val="22"/>
          <w:szCs w:val="22"/>
          <w:lang w:val="es-ES_tradnl" w:eastAsia="es-EC"/>
        </w:rPr>
      </w:pPr>
      <w:r w:rsidRPr="00043E5E">
        <w:rPr>
          <w:rFonts w:ascii="Palatino Linotype" w:hAnsi="Palatino Linotype"/>
          <w:b/>
          <w:i/>
          <w:sz w:val="22"/>
          <w:szCs w:val="22"/>
          <w:lang w:val="es-ES_tradnl"/>
        </w:rPr>
        <w:t xml:space="preserve">“(…) </w:t>
      </w:r>
      <w:r w:rsidR="00975CA7" w:rsidRPr="00043E5E">
        <w:rPr>
          <w:rFonts w:ascii="Palatino Linotype" w:hAnsi="Palatino Linotype"/>
          <w:b/>
          <w:i/>
          <w:sz w:val="22"/>
          <w:szCs w:val="22"/>
          <w:lang w:val="es-ES_tradnl"/>
        </w:rPr>
        <w:t>2.6.1.</w:t>
      </w:r>
      <w:r w:rsidR="00975CA7" w:rsidRPr="00043E5E">
        <w:rPr>
          <w:rFonts w:ascii="Palatino Linotype" w:hAnsi="Palatino Linotype"/>
          <w:i/>
          <w:sz w:val="22"/>
          <w:szCs w:val="22"/>
          <w:lang w:val="es-ES_tradnl"/>
        </w:rPr>
        <w:t xml:space="preserve"> </w:t>
      </w:r>
      <w:r w:rsidR="00975CA7" w:rsidRPr="00043E5E">
        <w:rPr>
          <w:rFonts w:ascii="Palatino Linotype" w:hAnsi="Palatino Linotype"/>
          <w:i/>
          <w:sz w:val="22"/>
          <w:szCs w:val="22"/>
          <w:lang w:val="es-ES_tradnl" w:eastAsia="es-EC"/>
        </w:rPr>
        <w:t xml:space="preserve">Mediante informe técnico Nro. AZCA-DGT-2023-005, de 13 de junio de 2023, el Ing. Israel Jiménez, funcionario de la Administración Zonal Calderón, señala: </w:t>
      </w:r>
    </w:p>
    <w:p w14:paraId="1DB2BC4E" w14:textId="77777777" w:rsidR="00975CA7" w:rsidRPr="00043E5E" w:rsidRDefault="00975CA7" w:rsidP="00975CA7">
      <w:pPr>
        <w:autoSpaceDE w:val="0"/>
        <w:autoSpaceDN w:val="0"/>
        <w:adjustRightInd w:val="0"/>
        <w:ind w:left="1069"/>
        <w:jc w:val="both"/>
        <w:rPr>
          <w:rFonts w:ascii="Palatino Linotype" w:hAnsi="Palatino Linotype"/>
          <w:b/>
          <w:bCs/>
          <w:i/>
          <w:iCs/>
          <w:sz w:val="22"/>
          <w:szCs w:val="22"/>
          <w:lang w:val="es-ES_tradnl" w:eastAsia="es-EC"/>
        </w:rPr>
      </w:pPr>
    </w:p>
    <w:p w14:paraId="6CEECF47" w14:textId="77777777" w:rsidR="00975CA7" w:rsidRPr="00043E5E" w:rsidRDefault="00975CA7" w:rsidP="00975CA7">
      <w:pPr>
        <w:pStyle w:val="Default"/>
        <w:ind w:left="361" w:firstLine="708"/>
        <w:rPr>
          <w:rFonts w:cs="Calibri"/>
          <w:b/>
          <w:i/>
          <w:sz w:val="22"/>
          <w:szCs w:val="22"/>
          <w:lang w:val="es-EC" w:eastAsia="es-EC"/>
        </w:rPr>
      </w:pPr>
      <w:r w:rsidRPr="00043E5E">
        <w:rPr>
          <w:b/>
          <w:bCs/>
          <w:i/>
          <w:iCs/>
          <w:sz w:val="22"/>
          <w:szCs w:val="22"/>
          <w:lang w:val="es-ES_tradnl" w:eastAsia="es-EC"/>
        </w:rPr>
        <w:t xml:space="preserve">“(…) </w:t>
      </w:r>
      <w:r w:rsidRPr="00043E5E">
        <w:rPr>
          <w:rFonts w:cs="Calibri"/>
          <w:b/>
          <w:i/>
          <w:sz w:val="22"/>
          <w:szCs w:val="22"/>
          <w:lang w:val="es-EC" w:eastAsia="es-EC"/>
        </w:rPr>
        <w:t>Análisis de la Prescripción Adquisitiva de Dominio</w:t>
      </w:r>
    </w:p>
    <w:p w14:paraId="2092D9EB" w14:textId="77777777" w:rsidR="00975CA7" w:rsidRPr="00043E5E" w:rsidRDefault="00975CA7" w:rsidP="00975CA7">
      <w:pPr>
        <w:autoSpaceDE w:val="0"/>
        <w:autoSpaceDN w:val="0"/>
        <w:adjustRightInd w:val="0"/>
        <w:ind w:left="361" w:firstLine="708"/>
        <w:rPr>
          <w:rFonts w:ascii="Palatino Linotype" w:hAnsi="Palatino Linotype" w:cs="Calibri"/>
          <w:b/>
          <w:i/>
          <w:color w:val="212121"/>
          <w:sz w:val="22"/>
          <w:szCs w:val="22"/>
          <w:lang w:eastAsia="es-EC"/>
        </w:rPr>
      </w:pPr>
      <w:r w:rsidRPr="00043E5E">
        <w:rPr>
          <w:rFonts w:ascii="Palatino Linotype" w:hAnsi="Palatino Linotype" w:cs="Calibri"/>
          <w:b/>
          <w:i/>
          <w:color w:val="212121"/>
          <w:sz w:val="22"/>
          <w:szCs w:val="22"/>
          <w:lang w:eastAsia="es-EC"/>
        </w:rPr>
        <w:t>Descripción del Juicio</w:t>
      </w:r>
    </w:p>
    <w:p w14:paraId="3CBEE16A" w14:textId="77777777" w:rsidR="00975CA7" w:rsidRPr="00043E5E" w:rsidRDefault="00975CA7" w:rsidP="00975CA7">
      <w:pPr>
        <w:autoSpaceDE w:val="0"/>
        <w:autoSpaceDN w:val="0"/>
        <w:adjustRightInd w:val="0"/>
        <w:ind w:left="361" w:firstLine="708"/>
        <w:rPr>
          <w:rFonts w:ascii="Palatino Linotype" w:hAnsi="Palatino Linotype" w:cs="Calibri"/>
          <w:b/>
          <w:i/>
          <w:color w:val="212121"/>
          <w:sz w:val="22"/>
          <w:szCs w:val="22"/>
          <w:lang w:eastAsia="es-EC"/>
        </w:rPr>
      </w:pPr>
    </w:p>
    <w:p w14:paraId="01DA7F92" w14:textId="77777777" w:rsidR="00975CA7" w:rsidRPr="00043E5E" w:rsidRDefault="00975CA7" w:rsidP="00975CA7">
      <w:pPr>
        <w:pStyle w:val="Default"/>
        <w:ind w:left="1069"/>
        <w:jc w:val="both"/>
        <w:rPr>
          <w:rFonts w:cs="Calibri"/>
          <w:i/>
          <w:sz w:val="22"/>
          <w:szCs w:val="22"/>
          <w:lang w:val="es-EC" w:eastAsia="es-EC"/>
        </w:rPr>
      </w:pPr>
      <w:r w:rsidRPr="00043E5E">
        <w:rPr>
          <w:rFonts w:cs="Calibri"/>
          <w:i/>
          <w:iCs/>
          <w:color w:val="212121"/>
          <w:sz w:val="22"/>
          <w:szCs w:val="22"/>
          <w:lang w:eastAsia="es-EC"/>
        </w:rPr>
        <w:t xml:space="preserve">“(…) se acepta la demanda y en consecuencia se declara que los señores JUAN JOSE SOTALIN PERALTA Y MARIA ALICIA VICENTE PEÑA, han adquirido por prescripción extraordinaria adquisitiva de dominio el inmueble, consistente en el lote de terreno y edificación, ubicado en el sector de la Estación del Inca, barrio Llano Grande, Parroquia de Calderón, Distrito Metropolitano de Quito, Provincia de Pichincha; cuyos linderos son: Norte.- en 11,05 metros, con la calle pública Miramelinda; Sur; en 10,65 metros, con lote de </w:t>
      </w:r>
      <w:r w:rsidRPr="00043E5E">
        <w:rPr>
          <w:rFonts w:cs="Calibri"/>
          <w:i/>
          <w:iCs/>
          <w:color w:val="212121"/>
          <w:sz w:val="22"/>
          <w:szCs w:val="22"/>
          <w:lang w:val="es-EC" w:eastAsia="es-EC"/>
        </w:rPr>
        <w:t xml:space="preserve">herederos de Nicolás Toapanta; Este.- en 25,29 metros, con lote de herederos de Nicolás Toapanta; Oeste.- en 25,29 metros, con pasaje peatonal; dando una superficie de 269,34 metros cuadrados. Especificaciones constantes del acta de inspección judicial e informe pericial.” </w:t>
      </w:r>
    </w:p>
    <w:p w14:paraId="365CB245" w14:textId="77777777" w:rsidR="00975CA7" w:rsidRPr="00043E5E" w:rsidRDefault="00975CA7" w:rsidP="00975CA7">
      <w:pPr>
        <w:autoSpaceDE w:val="0"/>
        <w:autoSpaceDN w:val="0"/>
        <w:adjustRightInd w:val="0"/>
        <w:ind w:left="1069"/>
        <w:jc w:val="both"/>
        <w:rPr>
          <w:rFonts w:ascii="Palatino Linotype" w:hAnsi="Palatino Linotype" w:cs="Calibri"/>
          <w:b/>
          <w:i/>
          <w:color w:val="212121"/>
          <w:sz w:val="22"/>
          <w:szCs w:val="22"/>
          <w:lang w:eastAsia="es-EC"/>
        </w:rPr>
      </w:pPr>
      <w:r w:rsidRPr="00043E5E">
        <w:rPr>
          <w:rFonts w:ascii="Palatino Linotype" w:hAnsi="Palatino Linotype" w:cs="Calibri"/>
          <w:b/>
          <w:i/>
          <w:color w:val="212121"/>
          <w:sz w:val="22"/>
          <w:szCs w:val="22"/>
          <w:lang w:eastAsia="es-EC"/>
        </w:rPr>
        <w:t xml:space="preserve">Prescripción Adquisitiva de Dominio Área Observaciones </w:t>
      </w:r>
    </w:p>
    <w:p w14:paraId="1D2FDDAF" w14:textId="77777777" w:rsidR="00975CA7" w:rsidRPr="00043E5E" w:rsidRDefault="00975CA7" w:rsidP="00975CA7">
      <w:pPr>
        <w:numPr>
          <w:ilvl w:val="0"/>
          <w:numId w:val="2"/>
        </w:numPr>
        <w:autoSpaceDE w:val="0"/>
        <w:autoSpaceDN w:val="0"/>
        <w:adjustRightInd w:val="0"/>
        <w:ind w:left="178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No. 17306-2012-0294 </w:t>
      </w:r>
    </w:p>
    <w:p w14:paraId="50583A2C" w14:textId="77777777" w:rsidR="00975CA7" w:rsidRPr="00043E5E" w:rsidRDefault="00975CA7" w:rsidP="00975CA7">
      <w:pPr>
        <w:numPr>
          <w:ilvl w:val="0"/>
          <w:numId w:val="2"/>
        </w:numPr>
        <w:autoSpaceDE w:val="0"/>
        <w:autoSpaceDN w:val="0"/>
        <w:adjustRightInd w:val="0"/>
        <w:ind w:left="178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Perito: Ing. José Mario Valladares Marcillo </w:t>
      </w:r>
    </w:p>
    <w:p w14:paraId="63BC7B48" w14:textId="77777777" w:rsidR="00975CA7" w:rsidRPr="00043E5E" w:rsidRDefault="00975CA7" w:rsidP="00975CA7">
      <w:pPr>
        <w:numPr>
          <w:ilvl w:val="0"/>
          <w:numId w:val="2"/>
        </w:numPr>
        <w:autoSpaceDE w:val="0"/>
        <w:autoSpaceDN w:val="0"/>
        <w:adjustRightInd w:val="0"/>
        <w:ind w:left="1789"/>
        <w:jc w:val="both"/>
        <w:rPr>
          <w:rFonts w:ascii="Palatino Linotype" w:hAnsi="Palatino Linotype" w:cs="Calibri"/>
          <w:i/>
          <w:color w:val="000000"/>
          <w:sz w:val="22"/>
          <w:szCs w:val="22"/>
          <w:lang w:eastAsia="es-EC"/>
        </w:rPr>
      </w:pPr>
      <w:r w:rsidRPr="00043E5E">
        <w:rPr>
          <w:rFonts w:ascii="Palatino Linotype" w:hAnsi="Palatino Linotype" w:cs="Calibri"/>
          <w:i/>
          <w:color w:val="212121"/>
          <w:sz w:val="22"/>
          <w:szCs w:val="22"/>
          <w:lang w:eastAsia="es-EC"/>
        </w:rPr>
        <w:t xml:space="preserve">Lote 269.34 m2 No Cumple </w:t>
      </w:r>
    </w:p>
    <w:p w14:paraId="50D25611" w14:textId="77777777" w:rsidR="00975CA7" w:rsidRPr="00043E5E" w:rsidRDefault="00975CA7" w:rsidP="00975CA7">
      <w:pPr>
        <w:numPr>
          <w:ilvl w:val="0"/>
          <w:numId w:val="2"/>
        </w:numPr>
        <w:autoSpaceDE w:val="0"/>
        <w:autoSpaceDN w:val="0"/>
        <w:adjustRightInd w:val="0"/>
        <w:ind w:left="178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Frente </w:t>
      </w:r>
      <w:r w:rsidRPr="00043E5E">
        <w:rPr>
          <w:rFonts w:ascii="Palatino Linotype" w:hAnsi="Palatino Linotype" w:cs="Calibri"/>
          <w:i/>
          <w:color w:val="212121"/>
          <w:sz w:val="22"/>
          <w:szCs w:val="22"/>
          <w:lang w:eastAsia="es-EC"/>
        </w:rPr>
        <w:t xml:space="preserve">11.05m No Cumple”  </w:t>
      </w:r>
    </w:p>
    <w:p w14:paraId="303CAD02" w14:textId="77777777" w:rsidR="00975CA7" w:rsidRPr="00043E5E" w:rsidRDefault="00975CA7" w:rsidP="00975CA7">
      <w:pPr>
        <w:autoSpaceDE w:val="0"/>
        <w:autoSpaceDN w:val="0"/>
        <w:adjustRightInd w:val="0"/>
        <w:ind w:left="1069"/>
        <w:jc w:val="both"/>
        <w:rPr>
          <w:rFonts w:ascii="Palatino Linotype" w:hAnsi="Palatino Linotype"/>
          <w:b/>
          <w:i/>
          <w:sz w:val="22"/>
          <w:szCs w:val="22"/>
          <w:lang w:eastAsia="es-EC"/>
        </w:rPr>
      </w:pPr>
    </w:p>
    <w:p w14:paraId="22C5EF9C" w14:textId="77777777" w:rsidR="00975CA7" w:rsidRPr="00043E5E" w:rsidRDefault="00975CA7" w:rsidP="00975CA7">
      <w:pPr>
        <w:numPr>
          <w:ilvl w:val="0"/>
          <w:numId w:val="2"/>
        </w:numPr>
        <w:autoSpaceDE w:val="0"/>
        <w:autoSpaceDN w:val="0"/>
        <w:adjustRightInd w:val="0"/>
        <w:ind w:left="1789"/>
        <w:jc w:val="both"/>
        <w:rPr>
          <w:rFonts w:ascii="Palatino Linotype" w:hAnsi="Palatino Linotype"/>
          <w:i/>
          <w:color w:val="000000"/>
          <w:sz w:val="22"/>
          <w:szCs w:val="22"/>
          <w:lang w:eastAsia="es-EC"/>
        </w:rPr>
      </w:pPr>
      <w:r w:rsidRPr="00043E5E">
        <w:rPr>
          <w:rFonts w:ascii="Palatino Linotype" w:hAnsi="Palatino Linotype"/>
          <w:b/>
          <w:i/>
          <w:color w:val="000000"/>
          <w:sz w:val="22"/>
          <w:szCs w:val="22"/>
          <w:lang w:eastAsia="es-EC"/>
        </w:rPr>
        <w:t>“Análisis, contribución del 15% del área útil adjudicada adquirida mediante sentencia</w:t>
      </w:r>
      <w:r w:rsidRPr="00043E5E">
        <w:rPr>
          <w:rFonts w:ascii="Palatino Linotype" w:hAnsi="Palatino Linotype"/>
          <w:i/>
          <w:color w:val="000000"/>
          <w:sz w:val="22"/>
          <w:szCs w:val="22"/>
          <w:lang w:eastAsia="es-EC"/>
        </w:rPr>
        <w:t xml:space="preserve"> </w:t>
      </w:r>
    </w:p>
    <w:p w14:paraId="1E85EAE5" w14:textId="77777777" w:rsidR="00975CA7" w:rsidRPr="00043E5E" w:rsidRDefault="00975CA7" w:rsidP="00975CA7">
      <w:pPr>
        <w:autoSpaceDE w:val="0"/>
        <w:autoSpaceDN w:val="0"/>
        <w:adjustRightInd w:val="0"/>
        <w:ind w:left="1069"/>
        <w:jc w:val="both"/>
        <w:rPr>
          <w:rFonts w:ascii="Palatino Linotype" w:hAnsi="Palatino Linotype"/>
          <w:i/>
          <w:color w:val="212121"/>
          <w:sz w:val="22"/>
          <w:szCs w:val="22"/>
          <w:lang w:eastAsia="es-EC"/>
        </w:rPr>
      </w:pPr>
    </w:p>
    <w:p w14:paraId="12912803"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212121"/>
          <w:sz w:val="22"/>
          <w:szCs w:val="22"/>
          <w:lang w:eastAsia="es-EC"/>
        </w:rPr>
        <w:t xml:space="preserve">En el caso que nos ocupa, el 15% del área útil prescrita 269.34 m2 corresponde a 40.40 m2, lo cual es inferior al lote mínimo vigente (400m2), razón por la que el actor de la </w:t>
      </w:r>
      <w:r w:rsidRPr="00043E5E">
        <w:rPr>
          <w:rFonts w:ascii="Palatino Linotype" w:hAnsi="Palatino Linotype" w:cs="Calibri"/>
          <w:i/>
          <w:color w:val="212121"/>
          <w:sz w:val="22"/>
          <w:szCs w:val="22"/>
          <w:lang w:eastAsia="es-EC"/>
        </w:rPr>
        <w:lastRenderedPageBreak/>
        <w:t xml:space="preserve">demanda deberá compensar en valor monetario de acuerdo al avalúo catastral vigente a la fecha de la emisión del título de crédito correspondiente. </w:t>
      </w:r>
    </w:p>
    <w:p w14:paraId="65B8C63E"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Conforme lo señalado en memorando Nro. </w:t>
      </w:r>
      <w:r w:rsidRPr="00043E5E">
        <w:rPr>
          <w:rFonts w:ascii="Palatino Linotype" w:hAnsi="Palatino Linotype"/>
          <w:b/>
          <w:bCs/>
          <w:i/>
          <w:color w:val="000000"/>
          <w:sz w:val="22"/>
          <w:szCs w:val="22"/>
          <w:lang w:eastAsia="es-EC"/>
        </w:rPr>
        <w:t xml:space="preserve">GADDMQ-AZCA-DGT-UC-2023-0033-M </w:t>
      </w:r>
      <w:r w:rsidRPr="00043E5E">
        <w:rPr>
          <w:rFonts w:ascii="Palatino Linotype" w:hAnsi="Palatino Linotype" w:cs="Calibri"/>
          <w:i/>
          <w:color w:val="000000"/>
          <w:sz w:val="22"/>
          <w:szCs w:val="22"/>
          <w:lang w:eastAsia="es-EC"/>
        </w:rPr>
        <w:t xml:space="preserve">de fecha 12 de junio de 2023 emitida por la Unidad Desconcentrada de Catastros, mediante el cual se emite la información valorativa para el predio 400690, se detalla cuadro remitido por la mencionada unidad”. </w:t>
      </w:r>
    </w:p>
    <w:p w14:paraId="7C9A197A"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p>
    <w:p w14:paraId="3ED05F2C" w14:textId="77777777" w:rsidR="00975CA7" w:rsidRPr="00043E5E" w:rsidRDefault="00975CA7" w:rsidP="00975CA7">
      <w:pPr>
        <w:pStyle w:val="Default"/>
        <w:ind w:left="1069"/>
        <w:jc w:val="both"/>
        <w:rPr>
          <w:rFonts w:cs="Calibri"/>
          <w:i/>
          <w:sz w:val="22"/>
          <w:szCs w:val="22"/>
          <w:lang w:val="es-EC" w:eastAsia="es-EC"/>
        </w:rPr>
      </w:pPr>
      <w:r w:rsidRPr="00043E5E">
        <w:rPr>
          <w:rFonts w:cs="Calibri"/>
          <w:i/>
          <w:sz w:val="22"/>
          <w:szCs w:val="22"/>
          <w:lang w:eastAsia="es-EC"/>
        </w:rPr>
        <w:t>“</w:t>
      </w:r>
      <w:r w:rsidRPr="00043E5E">
        <w:rPr>
          <w:rFonts w:cs="Calibri"/>
          <w:i/>
          <w:color w:val="212121"/>
          <w:sz w:val="22"/>
          <w:szCs w:val="22"/>
          <w:lang w:val="es-EC" w:eastAsia="es-EC"/>
        </w:rPr>
        <w:t xml:space="preserve">Por tanto, el valor por compensación del 15% del área útil adjudicada mediante sentencia a la fecha de hoy es la que se detalla a continuación pudiendo esta cambiar si cambia el avaluó catastral. </w:t>
      </w:r>
    </w:p>
    <w:p w14:paraId="5ADFEC94"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212121"/>
          <w:sz w:val="22"/>
          <w:szCs w:val="22"/>
          <w:lang w:eastAsia="es-EC"/>
        </w:rPr>
        <w:t xml:space="preserve">1.- El cálculo se realiza en función del Avalúo del Terreno y no al AIVA Se utiliza el Avalúo del terreno ya que el sistema SLUM en el cual se ingresa las Subdivisiones por prescripción utiliza los valores de: el Avalúo del Terreno, Área del Terreno y Área Prescrita </w:t>
      </w:r>
    </w:p>
    <w:p w14:paraId="5B83E28C" w14:textId="77777777" w:rsidR="00975CA7" w:rsidRPr="00043E5E" w:rsidRDefault="00975CA7" w:rsidP="00975CA7">
      <w:pPr>
        <w:autoSpaceDE w:val="0"/>
        <w:autoSpaceDN w:val="0"/>
        <w:adjustRightInd w:val="0"/>
        <w:ind w:left="1069"/>
        <w:jc w:val="both"/>
        <w:rPr>
          <w:rFonts w:ascii="Palatino Linotype" w:hAnsi="Palatino Linotype" w:cs="Calibri"/>
          <w:i/>
          <w:color w:val="212121"/>
          <w:sz w:val="22"/>
          <w:szCs w:val="22"/>
          <w:lang w:eastAsia="es-EC"/>
        </w:rPr>
      </w:pPr>
      <w:r w:rsidRPr="00043E5E">
        <w:rPr>
          <w:rFonts w:ascii="Palatino Linotype" w:hAnsi="Palatino Linotype" w:cs="Calibri"/>
          <w:i/>
          <w:color w:val="212121"/>
          <w:sz w:val="22"/>
          <w:szCs w:val="22"/>
          <w:lang w:eastAsia="es-EC"/>
        </w:rPr>
        <w:t xml:space="preserve">2.- La fórmula con la cual se calcula la compensación es la siguiente. </w:t>
      </w:r>
    </w:p>
    <w:p w14:paraId="6D970D91" w14:textId="77777777" w:rsidR="00975CA7" w:rsidRPr="00043E5E" w:rsidRDefault="00975CA7" w:rsidP="00975CA7">
      <w:pPr>
        <w:autoSpaceDE w:val="0"/>
        <w:autoSpaceDN w:val="0"/>
        <w:adjustRightInd w:val="0"/>
        <w:ind w:left="1069"/>
        <w:jc w:val="both"/>
        <w:rPr>
          <w:rFonts w:ascii="Palatino Linotype" w:hAnsi="Palatino Linotype" w:cs="Calibri"/>
          <w:i/>
          <w:color w:val="212121"/>
          <w:sz w:val="22"/>
          <w:szCs w:val="22"/>
          <w:lang w:eastAsia="es-EC"/>
        </w:rPr>
      </w:pPr>
      <w:r w:rsidRPr="00043E5E">
        <w:rPr>
          <w:rFonts w:ascii="Palatino Linotype" w:hAnsi="Palatino Linotype" w:cs="Calibri"/>
          <w:i/>
          <w:color w:val="212121"/>
          <w:sz w:val="22"/>
          <w:szCs w:val="22"/>
          <w:lang w:eastAsia="es-EC"/>
        </w:rPr>
        <w:t xml:space="preserve">(Avalúo del Terreno / Área del Terreno) * (Área de prescripción) * (15% Contribución) </w:t>
      </w:r>
    </w:p>
    <w:p w14:paraId="56F0656A"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212121"/>
          <w:sz w:val="22"/>
          <w:szCs w:val="22"/>
          <w:lang w:eastAsia="es-EC"/>
        </w:rPr>
        <w:t xml:space="preserve">Por tanto, el valor por compensación del 15% del área útil adjudicada mediante sentencia a la fecha de hoy es la que se detalla a continuación pudiendo esta cambiar si cambia el avaluó catastral. </w:t>
      </w:r>
    </w:p>
    <w:p w14:paraId="5F6F8985"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212121"/>
          <w:sz w:val="22"/>
          <w:szCs w:val="22"/>
          <w:lang w:eastAsia="es-EC"/>
        </w:rPr>
        <w:t xml:space="preserve">3.- Con la fórmula mencionada, el área prescrita y los valores emitidos por catastros se realizó el cálculo: </w:t>
      </w:r>
    </w:p>
    <w:p w14:paraId="54FB9060"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(490815,90 usd / 6237,89 m2) * (269,34 m2) * (0,15) = 3178,87usd </w:t>
      </w:r>
    </w:p>
    <w:p w14:paraId="51DEA3A4" w14:textId="77777777" w:rsidR="00975CA7" w:rsidRPr="00043E5E" w:rsidRDefault="00975CA7" w:rsidP="00975CA7">
      <w:pPr>
        <w:autoSpaceDE w:val="0"/>
        <w:autoSpaceDN w:val="0"/>
        <w:adjustRightInd w:val="0"/>
        <w:ind w:left="1069"/>
        <w:jc w:val="both"/>
        <w:rPr>
          <w:rFonts w:ascii="Palatino Linotype" w:hAnsi="Palatino Linotype" w:cs="Calibri"/>
          <w:i/>
          <w:color w:val="212121"/>
          <w:sz w:val="22"/>
          <w:szCs w:val="22"/>
          <w:lang w:eastAsia="es-EC"/>
        </w:rPr>
      </w:pPr>
      <w:r w:rsidRPr="00043E5E">
        <w:rPr>
          <w:rFonts w:ascii="Palatino Linotype" w:hAnsi="Palatino Linotype" w:cs="Calibri"/>
          <w:i/>
          <w:color w:val="212121"/>
          <w:sz w:val="22"/>
          <w:szCs w:val="22"/>
          <w:lang w:eastAsia="es-EC"/>
        </w:rPr>
        <w:t xml:space="preserve">Por tanto, el valor por compensación del 15 por ciento del área útil adjudicada mediante sentencia a la fecha de hoy es la que se detalla a continuación pudiendo esta cambiar si cambia el avaluó catastral. </w:t>
      </w:r>
    </w:p>
    <w:p w14:paraId="6538B294" w14:textId="77777777" w:rsidR="00975CA7" w:rsidRPr="00043E5E" w:rsidRDefault="00975CA7" w:rsidP="00975CA7">
      <w:pPr>
        <w:autoSpaceDE w:val="0"/>
        <w:autoSpaceDN w:val="0"/>
        <w:adjustRightInd w:val="0"/>
        <w:ind w:left="1069"/>
        <w:jc w:val="both"/>
        <w:rPr>
          <w:rFonts w:ascii="Palatino Linotype" w:hAnsi="Palatino Linotype" w:cs="Calibri"/>
          <w:i/>
          <w:color w:val="212121"/>
          <w:sz w:val="22"/>
          <w:szCs w:val="22"/>
          <w:lang w:eastAsia="es-EC"/>
        </w:rPr>
      </w:pPr>
    </w:p>
    <w:p w14:paraId="4B27B61A" w14:textId="78FA5F7D" w:rsidR="00975CA7" w:rsidRPr="00043E5E" w:rsidRDefault="00975CA7" w:rsidP="00975CA7">
      <w:pPr>
        <w:autoSpaceDE w:val="0"/>
        <w:autoSpaceDN w:val="0"/>
        <w:adjustRightInd w:val="0"/>
        <w:ind w:left="1069"/>
        <w:jc w:val="center"/>
        <w:rPr>
          <w:rFonts w:ascii="Palatino Linotype" w:hAnsi="Palatino Linotype" w:cs="Calibri"/>
          <w:i/>
          <w:color w:val="000000"/>
          <w:sz w:val="22"/>
          <w:szCs w:val="22"/>
          <w:lang w:eastAsia="es-EC"/>
        </w:rPr>
      </w:pPr>
      <w:r w:rsidRPr="00043E5E">
        <w:rPr>
          <w:rFonts w:ascii="Palatino Linotype" w:hAnsi="Palatino Linotype" w:cs="Calibri"/>
          <w:i/>
          <w:noProof/>
          <w:color w:val="000000"/>
          <w:sz w:val="22"/>
          <w:szCs w:val="22"/>
          <w:lang w:eastAsia="es-EC"/>
        </w:rPr>
        <w:drawing>
          <wp:inline distT="0" distB="0" distL="0" distR="0" wp14:anchorId="72B3A184" wp14:editId="1A4F8DA9">
            <wp:extent cx="470535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866775"/>
                    </a:xfrm>
                    <a:prstGeom prst="rect">
                      <a:avLst/>
                    </a:prstGeom>
                    <a:noFill/>
                    <a:ln>
                      <a:noFill/>
                    </a:ln>
                  </pic:spPr>
                </pic:pic>
              </a:graphicData>
            </a:graphic>
          </wp:inline>
        </w:drawing>
      </w:r>
    </w:p>
    <w:p w14:paraId="4D81D138" w14:textId="77777777" w:rsidR="00975CA7" w:rsidRPr="00043E5E" w:rsidRDefault="00975CA7" w:rsidP="00975CA7">
      <w:pPr>
        <w:autoSpaceDE w:val="0"/>
        <w:autoSpaceDN w:val="0"/>
        <w:adjustRightInd w:val="0"/>
        <w:ind w:left="1069"/>
        <w:jc w:val="both"/>
        <w:rPr>
          <w:rFonts w:ascii="Palatino Linotype" w:hAnsi="Palatino Linotype"/>
          <w:b/>
          <w:bCs/>
          <w:i/>
          <w:iCs/>
          <w:sz w:val="22"/>
          <w:szCs w:val="22"/>
          <w:lang w:val="es-ES_tradnl" w:eastAsia="es-EC"/>
        </w:rPr>
      </w:pPr>
    </w:p>
    <w:p w14:paraId="08444004" w14:textId="77777777" w:rsidR="00975CA7" w:rsidRPr="00043E5E" w:rsidRDefault="00975CA7" w:rsidP="00975CA7">
      <w:pPr>
        <w:autoSpaceDE w:val="0"/>
        <w:autoSpaceDN w:val="0"/>
        <w:adjustRightInd w:val="0"/>
        <w:ind w:left="1069"/>
        <w:jc w:val="both"/>
        <w:rPr>
          <w:rFonts w:ascii="Palatino Linotype" w:hAnsi="Palatino Linotype"/>
          <w:b/>
          <w:bCs/>
          <w:i/>
          <w:iCs/>
          <w:sz w:val="22"/>
          <w:szCs w:val="22"/>
          <w:lang w:val="es-ES_tradnl" w:eastAsia="es-EC"/>
        </w:rPr>
      </w:pPr>
      <w:r w:rsidRPr="00043E5E">
        <w:rPr>
          <w:rFonts w:ascii="Palatino Linotype" w:hAnsi="Palatino Linotype"/>
          <w:b/>
          <w:bCs/>
          <w:i/>
          <w:iCs/>
          <w:sz w:val="22"/>
          <w:szCs w:val="22"/>
          <w:lang w:val="es-ES_tradnl" w:eastAsia="es-EC"/>
        </w:rPr>
        <w:t>“CONCLUSIONES</w:t>
      </w:r>
    </w:p>
    <w:p w14:paraId="3D5897CB" w14:textId="77777777" w:rsidR="00975CA7" w:rsidRPr="00043E5E" w:rsidRDefault="00975CA7" w:rsidP="00975CA7">
      <w:pPr>
        <w:autoSpaceDE w:val="0"/>
        <w:autoSpaceDN w:val="0"/>
        <w:adjustRightInd w:val="0"/>
        <w:ind w:left="1069"/>
        <w:jc w:val="both"/>
        <w:rPr>
          <w:rFonts w:ascii="Palatino Linotype" w:hAnsi="Palatino Linotype" w:cs="Calibri"/>
          <w:i/>
          <w:sz w:val="22"/>
          <w:szCs w:val="22"/>
          <w:lang w:eastAsia="es-EC"/>
        </w:rPr>
      </w:pPr>
    </w:p>
    <w:p w14:paraId="0AC42562" w14:textId="77777777" w:rsidR="00975CA7" w:rsidRPr="00043E5E" w:rsidRDefault="00975CA7" w:rsidP="00975CA7">
      <w:pPr>
        <w:autoSpaceDE w:val="0"/>
        <w:autoSpaceDN w:val="0"/>
        <w:adjustRightInd w:val="0"/>
        <w:ind w:left="1069"/>
        <w:jc w:val="both"/>
        <w:rPr>
          <w:rFonts w:ascii="Palatino Linotype" w:hAnsi="Palatino Linotype" w:cs="Calibri"/>
          <w:i/>
          <w:color w:val="000000"/>
          <w:sz w:val="22"/>
          <w:szCs w:val="22"/>
          <w:lang w:eastAsia="es-EC"/>
        </w:rPr>
      </w:pPr>
      <w:r w:rsidRPr="00043E5E">
        <w:rPr>
          <w:rFonts w:ascii="Palatino Linotype" w:hAnsi="Palatino Linotype" w:cs="Calibri"/>
          <w:i/>
          <w:color w:val="000000"/>
          <w:sz w:val="22"/>
          <w:szCs w:val="22"/>
          <w:lang w:eastAsia="es-EC"/>
        </w:rPr>
        <w:t xml:space="preserve">Del análisis técnico se desprende que, la prescripción adquisitiva de dominio de una parte del inmueble del predio No. 400690, No Cumple con el ¨Lote mínimo¨ y tampoco cumple con el ¨Frente mínimo¨ establecida en la normativa vigente, razón por la que se emite Informe Técnico Desfavorable.” </w:t>
      </w:r>
    </w:p>
    <w:p w14:paraId="21DAE3E4" w14:textId="77777777" w:rsidR="00975CA7" w:rsidRPr="00043E5E" w:rsidRDefault="00975CA7" w:rsidP="00975CA7">
      <w:pPr>
        <w:autoSpaceDE w:val="0"/>
        <w:autoSpaceDN w:val="0"/>
        <w:adjustRightInd w:val="0"/>
        <w:jc w:val="both"/>
        <w:rPr>
          <w:rFonts w:ascii="Palatino Linotype" w:hAnsi="Palatino Linotype" w:cs="Calibri"/>
          <w:color w:val="000000"/>
          <w:sz w:val="22"/>
          <w:szCs w:val="22"/>
          <w:lang w:eastAsia="es-EC"/>
        </w:rPr>
      </w:pPr>
    </w:p>
    <w:p w14:paraId="656559A6" w14:textId="77777777" w:rsidR="00975CA7" w:rsidRPr="00043E5E" w:rsidRDefault="00975CA7" w:rsidP="00975CA7">
      <w:pPr>
        <w:autoSpaceDE w:val="0"/>
        <w:autoSpaceDN w:val="0"/>
        <w:adjustRightInd w:val="0"/>
        <w:ind w:left="1069"/>
        <w:jc w:val="both"/>
        <w:rPr>
          <w:rFonts w:ascii="Palatino Linotype" w:hAnsi="Palatino Linotype"/>
          <w:i/>
          <w:sz w:val="22"/>
          <w:szCs w:val="22"/>
          <w:lang w:eastAsia="es-EC"/>
        </w:rPr>
      </w:pPr>
      <w:r w:rsidRPr="00043E5E">
        <w:rPr>
          <w:rFonts w:ascii="Palatino Linotype" w:hAnsi="Palatino Linotype"/>
          <w:b/>
          <w:bCs/>
          <w:i/>
          <w:iCs/>
          <w:sz w:val="22"/>
          <w:szCs w:val="22"/>
          <w:lang w:val="es-ES_tradnl" w:eastAsia="es-EC"/>
        </w:rPr>
        <w:lastRenderedPageBreak/>
        <w:t xml:space="preserve">2.6.2. </w:t>
      </w:r>
      <w:r w:rsidRPr="00043E5E">
        <w:rPr>
          <w:rFonts w:ascii="Palatino Linotype" w:hAnsi="Palatino Linotype"/>
          <w:i/>
          <w:sz w:val="22"/>
          <w:szCs w:val="22"/>
          <w:lang w:val="es-ES_tradnl" w:eastAsia="es-EC"/>
        </w:rPr>
        <w:t xml:space="preserve">Mediante memorando Nro. </w:t>
      </w:r>
      <w:r w:rsidRPr="00043E5E">
        <w:rPr>
          <w:rFonts w:ascii="Palatino Linotype" w:hAnsi="Palatino Linotype"/>
          <w:bCs/>
          <w:i/>
          <w:sz w:val="22"/>
          <w:szCs w:val="22"/>
          <w:lang w:eastAsia="es-EC"/>
        </w:rPr>
        <w:t xml:space="preserve">GADDMQ-AZCA-DAJ-2023-0191-M, de 19 de junio de 2023, </w:t>
      </w:r>
      <w:r w:rsidRPr="00043E5E">
        <w:rPr>
          <w:rFonts w:ascii="Palatino Linotype" w:hAnsi="Palatino Linotype"/>
          <w:i/>
          <w:sz w:val="22"/>
          <w:szCs w:val="22"/>
          <w:lang w:eastAsia="es-EC"/>
        </w:rPr>
        <w:t xml:space="preserve">Abg. Lorena Elizabeth Donoso Rivera, Subprocuradora Zonal de la Administración Zonal Calderón, señala: </w:t>
      </w:r>
    </w:p>
    <w:p w14:paraId="7C2D1B81" w14:textId="77777777" w:rsidR="00975CA7" w:rsidRPr="00043E5E" w:rsidRDefault="00975CA7" w:rsidP="00975CA7">
      <w:pPr>
        <w:autoSpaceDE w:val="0"/>
        <w:autoSpaceDN w:val="0"/>
        <w:adjustRightInd w:val="0"/>
        <w:ind w:left="1069"/>
        <w:jc w:val="both"/>
        <w:rPr>
          <w:rFonts w:ascii="Palatino Linotype" w:hAnsi="Palatino Linotype"/>
          <w:i/>
          <w:sz w:val="22"/>
          <w:szCs w:val="22"/>
          <w:lang w:val="es-ES_tradnl" w:eastAsia="es-EC"/>
        </w:rPr>
      </w:pPr>
    </w:p>
    <w:p w14:paraId="69851AC6" w14:textId="77777777" w:rsidR="00975CA7" w:rsidRPr="00043E5E" w:rsidRDefault="00975CA7" w:rsidP="00975CA7">
      <w:pPr>
        <w:autoSpaceDE w:val="0"/>
        <w:autoSpaceDN w:val="0"/>
        <w:adjustRightInd w:val="0"/>
        <w:ind w:left="1069"/>
        <w:jc w:val="both"/>
        <w:rPr>
          <w:rFonts w:ascii="Palatino Linotype" w:hAnsi="Palatino Linotype"/>
          <w:b/>
          <w:i/>
          <w:sz w:val="22"/>
          <w:szCs w:val="22"/>
          <w:lang w:val="es-ES_tradnl" w:eastAsia="es-EC"/>
        </w:rPr>
      </w:pPr>
      <w:r w:rsidRPr="00043E5E">
        <w:rPr>
          <w:rFonts w:ascii="Palatino Linotype" w:hAnsi="Palatino Linotype"/>
          <w:b/>
          <w:i/>
          <w:sz w:val="22"/>
          <w:szCs w:val="22"/>
          <w:lang w:val="es-ES_tradnl" w:eastAsia="es-EC"/>
        </w:rPr>
        <w:t>“(…) CRITERIO</w:t>
      </w:r>
    </w:p>
    <w:p w14:paraId="326101F6" w14:textId="77777777" w:rsidR="00975CA7" w:rsidRPr="00043E5E" w:rsidRDefault="00975CA7" w:rsidP="00975CA7">
      <w:pPr>
        <w:pStyle w:val="Prrafodelista"/>
        <w:autoSpaceDE w:val="0"/>
        <w:autoSpaceDN w:val="0"/>
        <w:adjustRightInd w:val="0"/>
        <w:ind w:left="1069"/>
        <w:jc w:val="both"/>
        <w:rPr>
          <w:rFonts w:ascii="Palatino Linotype" w:hAnsi="Palatino Linotype"/>
          <w:i/>
          <w:sz w:val="22"/>
          <w:szCs w:val="22"/>
          <w:lang w:val="es-ES_tradnl"/>
        </w:rPr>
      </w:pPr>
    </w:p>
    <w:p w14:paraId="5A1C80B3" w14:textId="562B8E3A" w:rsidR="00975CA7" w:rsidRPr="00043E5E" w:rsidRDefault="00975CA7" w:rsidP="00AB0644">
      <w:pPr>
        <w:autoSpaceDE w:val="0"/>
        <w:autoSpaceDN w:val="0"/>
        <w:adjustRightInd w:val="0"/>
        <w:ind w:left="1069"/>
        <w:jc w:val="both"/>
        <w:rPr>
          <w:rFonts w:ascii="Palatino Linotype" w:hAnsi="Palatino Linotype"/>
          <w:sz w:val="22"/>
          <w:szCs w:val="22"/>
        </w:rPr>
      </w:pPr>
      <w:r w:rsidRPr="00043E5E">
        <w:rPr>
          <w:rFonts w:ascii="Palatino Linotype" w:hAnsi="Palatino Linotype"/>
          <w:i/>
          <w:sz w:val="22"/>
          <w:szCs w:val="22"/>
          <w:lang w:eastAsia="es-EC"/>
        </w:rPr>
        <w:t xml:space="preserve">Por lo expuesto, esta Dirección Jurídica acogiendo el informe técnico AZCA-DGT-2023-005 de 13 de junio de 2023, del Jefe de Gestión Urbana y aprobado por la Directora de Gestión Territorial de la Administración Zonal Calderón con memorando Nro. GADDMQ-AZCA-DGT-2023-0686-M de 16 de junio de 2023, en el que indica </w:t>
      </w:r>
      <w:r w:rsidRPr="00043E5E">
        <w:rPr>
          <w:rFonts w:ascii="Palatino Linotype" w:hAnsi="Palatino Linotype"/>
          <w:i/>
          <w:iCs/>
          <w:sz w:val="22"/>
          <w:szCs w:val="22"/>
          <w:lang w:eastAsia="es-EC"/>
        </w:rPr>
        <w:t xml:space="preserve">Del análisis técnico se desprende que, la prescripción adquisitiva de dominio de una parte del inmueble del predio No. 400690, No Cumple con el ¨Lote mínimo¨ y tampoco cumple con el ¨Frente mínimo¨ establecida en la normativa vigente, razón por la que se emite </w:t>
      </w:r>
      <w:r w:rsidRPr="00043E5E">
        <w:rPr>
          <w:rFonts w:ascii="Palatino Linotype" w:hAnsi="Palatino Linotype"/>
          <w:b/>
          <w:bCs/>
          <w:i/>
          <w:iCs/>
          <w:sz w:val="22"/>
          <w:szCs w:val="22"/>
          <w:lang w:eastAsia="es-EC"/>
        </w:rPr>
        <w:t>Informe Técnico Desfavorable”</w:t>
      </w:r>
      <w:r w:rsidRPr="00043E5E">
        <w:rPr>
          <w:rFonts w:ascii="Palatino Linotype" w:hAnsi="Palatino Linotype"/>
          <w:i/>
          <w:iCs/>
          <w:sz w:val="22"/>
          <w:szCs w:val="22"/>
          <w:lang w:eastAsia="es-EC"/>
        </w:rPr>
        <w:t xml:space="preserve">, </w:t>
      </w:r>
      <w:r w:rsidRPr="00043E5E">
        <w:rPr>
          <w:rFonts w:ascii="Palatino Linotype" w:hAnsi="Palatino Linotype"/>
          <w:i/>
          <w:sz w:val="22"/>
          <w:szCs w:val="22"/>
          <w:lang w:eastAsia="es-EC"/>
        </w:rPr>
        <w:t>en este sentido, se deberá proceder conforme lo establece en el COOTAD y la Ordenanza 001</w:t>
      </w:r>
      <w:r w:rsidR="00285F94" w:rsidRPr="00043E5E">
        <w:rPr>
          <w:rFonts w:ascii="Palatino Linotype" w:hAnsi="Palatino Linotype"/>
          <w:i/>
          <w:sz w:val="22"/>
          <w:szCs w:val="22"/>
          <w:lang w:eastAsia="es-EC"/>
        </w:rPr>
        <w:t>”</w:t>
      </w:r>
      <w:r w:rsidRPr="00043E5E">
        <w:rPr>
          <w:rFonts w:ascii="Palatino Linotype" w:hAnsi="Palatino Linotype"/>
          <w:i/>
          <w:sz w:val="22"/>
          <w:szCs w:val="22"/>
          <w:lang w:eastAsia="es-EC"/>
        </w:rPr>
        <w:t>.</w:t>
      </w:r>
    </w:p>
    <w:p w14:paraId="5D17AC3D" w14:textId="39081E17" w:rsidR="00975CA7" w:rsidRPr="00043E5E" w:rsidRDefault="00975CA7" w:rsidP="00CD51C7">
      <w:pPr>
        <w:pStyle w:val="Default"/>
        <w:jc w:val="both"/>
        <w:rPr>
          <w:sz w:val="22"/>
          <w:szCs w:val="22"/>
          <w:lang w:val="es-EC"/>
        </w:rPr>
      </w:pPr>
    </w:p>
    <w:p w14:paraId="7FAF9666" w14:textId="41BA2C51" w:rsidR="00FE1203" w:rsidRPr="00043E5E" w:rsidRDefault="00FE1203" w:rsidP="00327A8D">
      <w:pPr>
        <w:pStyle w:val="Default"/>
        <w:ind w:left="708" w:hanging="708"/>
        <w:jc w:val="both"/>
        <w:rPr>
          <w:sz w:val="22"/>
          <w:szCs w:val="22"/>
        </w:rPr>
      </w:pPr>
      <w:r w:rsidRPr="00043E5E">
        <w:rPr>
          <w:b/>
          <w:sz w:val="22"/>
          <w:szCs w:val="22"/>
        </w:rPr>
        <w:t xml:space="preserve">Que </w:t>
      </w:r>
      <w:r w:rsidRPr="00043E5E">
        <w:rPr>
          <w:b/>
          <w:sz w:val="22"/>
          <w:szCs w:val="22"/>
        </w:rPr>
        <w:tab/>
      </w:r>
      <w:r w:rsidRPr="00043E5E">
        <w:rPr>
          <w:sz w:val="22"/>
          <w:szCs w:val="22"/>
        </w:rPr>
        <w:t>la Comisión de Uso de Su</w:t>
      </w:r>
      <w:r w:rsidR="005C1D48" w:rsidRPr="00043E5E">
        <w:rPr>
          <w:sz w:val="22"/>
          <w:szCs w:val="22"/>
        </w:rPr>
        <w:t xml:space="preserve">elo en ordinaria Nro. </w:t>
      </w:r>
      <w:r w:rsidR="00865AB0" w:rsidRPr="00043E5E">
        <w:rPr>
          <w:sz w:val="22"/>
          <w:szCs w:val="22"/>
        </w:rPr>
        <w:t>004</w:t>
      </w:r>
      <w:r w:rsidR="00764F2A" w:rsidRPr="00043E5E">
        <w:rPr>
          <w:sz w:val="22"/>
          <w:szCs w:val="22"/>
        </w:rPr>
        <w:t xml:space="preserve"> - Ordinaria</w:t>
      </w:r>
      <w:r w:rsidRPr="00043E5E">
        <w:rPr>
          <w:sz w:val="22"/>
          <w:szCs w:val="22"/>
        </w:rPr>
        <w:t xml:space="preserve">, de </w:t>
      </w:r>
      <w:r w:rsidR="00865AB0" w:rsidRPr="00043E5E">
        <w:rPr>
          <w:sz w:val="22"/>
          <w:szCs w:val="22"/>
        </w:rPr>
        <w:t xml:space="preserve">06 </w:t>
      </w:r>
      <w:r w:rsidRPr="00043E5E">
        <w:rPr>
          <w:sz w:val="22"/>
          <w:szCs w:val="22"/>
        </w:rPr>
        <w:t xml:space="preserve">de </w:t>
      </w:r>
      <w:r w:rsidR="00865AB0" w:rsidRPr="00043E5E">
        <w:rPr>
          <w:sz w:val="22"/>
          <w:szCs w:val="22"/>
        </w:rPr>
        <w:t>jul</w:t>
      </w:r>
      <w:r w:rsidR="00764F2A" w:rsidRPr="00043E5E">
        <w:rPr>
          <w:sz w:val="22"/>
          <w:szCs w:val="22"/>
        </w:rPr>
        <w:t xml:space="preserve">io </w:t>
      </w:r>
      <w:r w:rsidRPr="00043E5E">
        <w:rPr>
          <w:sz w:val="22"/>
          <w:szCs w:val="22"/>
        </w:rPr>
        <w:t>de 202</w:t>
      </w:r>
      <w:r w:rsidR="0088782F" w:rsidRPr="00043E5E">
        <w:rPr>
          <w:sz w:val="22"/>
          <w:szCs w:val="22"/>
        </w:rPr>
        <w:t>3</w:t>
      </w:r>
      <w:r w:rsidRPr="00043E5E">
        <w:rPr>
          <w:sz w:val="22"/>
          <w:szCs w:val="22"/>
        </w:rPr>
        <w:t>, analizó los informes técnicos y legale</w:t>
      </w:r>
      <w:r w:rsidR="004553DB" w:rsidRPr="00043E5E">
        <w:rPr>
          <w:sz w:val="22"/>
          <w:szCs w:val="22"/>
        </w:rPr>
        <w:t>s, que reposan en el expediente</w:t>
      </w:r>
      <w:r w:rsidRPr="00043E5E">
        <w:rPr>
          <w:sz w:val="22"/>
          <w:szCs w:val="22"/>
        </w:rPr>
        <w:t>,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w:t>
      </w:r>
      <w:r w:rsidR="00327A8D" w:rsidRPr="00043E5E">
        <w:rPr>
          <w:sz w:val="22"/>
          <w:szCs w:val="22"/>
        </w:rPr>
        <w:t>ón a las condiciones generales;</w:t>
      </w:r>
    </w:p>
    <w:p w14:paraId="0E29D413" w14:textId="77777777" w:rsidR="00035E6C" w:rsidRPr="00043E5E" w:rsidRDefault="00035E6C" w:rsidP="00327A8D">
      <w:pPr>
        <w:autoSpaceDE w:val="0"/>
        <w:autoSpaceDN w:val="0"/>
        <w:adjustRightInd w:val="0"/>
        <w:ind w:left="1416" w:hanging="1416"/>
        <w:jc w:val="both"/>
        <w:rPr>
          <w:rFonts w:ascii="Palatino Linotype" w:eastAsiaTheme="minorHAnsi" w:hAnsi="Palatino Linotype"/>
          <w:sz w:val="22"/>
          <w:szCs w:val="22"/>
          <w:lang w:eastAsia="en-US"/>
        </w:rPr>
      </w:pPr>
    </w:p>
    <w:p w14:paraId="75B98AAE" w14:textId="6CD2A0A0" w:rsidR="00C926A0" w:rsidRPr="00043E5E" w:rsidRDefault="00C926A0" w:rsidP="00327A8D">
      <w:pPr>
        <w:autoSpaceDE w:val="0"/>
        <w:autoSpaceDN w:val="0"/>
        <w:adjustRightInd w:val="0"/>
        <w:ind w:left="709" w:hanging="709"/>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 xml:space="preserve">Que </w:t>
      </w:r>
      <w:r w:rsidRPr="00043E5E">
        <w:rPr>
          <w:rFonts w:ascii="Palatino Linotype" w:eastAsiaTheme="minorHAnsi" w:hAnsi="Palatino Linotype"/>
          <w:b/>
          <w:sz w:val="22"/>
          <w:szCs w:val="22"/>
          <w:lang w:eastAsia="en-US"/>
        </w:rPr>
        <w:tab/>
      </w:r>
      <w:r w:rsidRPr="00043E5E">
        <w:rPr>
          <w:rFonts w:ascii="Palatino Linotype" w:eastAsiaTheme="minorHAnsi" w:hAnsi="Palatino Linotype"/>
          <w:sz w:val="22"/>
          <w:szCs w:val="22"/>
          <w:lang w:eastAsia="en-US"/>
        </w:rPr>
        <w:t>el Concejo Metropolitano de Quito, en sesión pública ordinaria r</w:t>
      </w:r>
      <w:r w:rsidR="00327A8D" w:rsidRPr="00043E5E">
        <w:rPr>
          <w:rFonts w:ascii="Palatino Linotype" w:eastAsiaTheme="minorHAnsi" w:hAnsi="Palatino Linotype"/>
          <w:sz w:val="22"/>
          <w:szCs w:val="22"/>
          <w:lang w:eastAsia="en-US"/>
        </w:rPr>
        <w:t xml:space="preserve">ealizada el </w:t>
      </w:r>
      <w:r w:rsidR="00764F2A" w:rsidRPr="00043E5E">
        <w:rPr>
          <w:rFonts w:ascii="Palatino Linotype" w:eastAsiaTheme="minorHAnsi" w:hAnsi="Palatino Linotype"/>
          <w:sz w:val="22"/>
          <w:szCs w:val="22"/>
          <w:lang w:eastAsia="en-US"/>
        </w:rPr>
        <w:t xml:space="preserve">xx </w:t>
      </w:r>
      <w:r w:rsidR="00327A8D" w:rsidRPr="00043E5E">
        <w:rPr>
          <w:rFonts w:ascii="Palatino Linotype" w:eastAsiaTheme="minorHAnsi" w:hAnsi="Palatino Linotype"/>
          <w:sz w:val="22"/>
          <w:szCs w:val="22"/>
          <w:lang w:eastAsia="en-US"/>
        </w:rPr>
        <w:t xml:space="preserve">de </w:t>
      </w:r>
      <w:r w:rsidR="00764F2A" w:rsidRPr="00043E5E">
        <w:rPr>
          <w:rFonts w:ascii="Palatino Linotype" w:eastAsiaTheme="minorHAnsi" w:hAnsi="Palatino Linotype"/>
          <w:sz w:val="22"/>
          <w:szCs w:val="22"/>
          <w:lang w:eastAsia="en-US"/>
        </w:rPr>
        <w:t xml:space="preserve">xxxx </w:t>
      </w:r>
      <w:r w:rsidR="00327A8D" w:rsidRPr="00043E5E">
        <w:rPr>
          <w:rFonts w:ascii="Palatino Linotype" w:eastAsiaTheme="minorHAnsi" w:hAnsi="Palatino Linotype"/>
          <w:sz w:val="22"/>
          <w:szCs w:val="22"/>
          <w:lang w:eastAsia="en-US"/>
        </w:rPr>
        <w:t xml:space="preserve"> </w:t>
      </w:r>
      <w:r w:rsidR="00764F2A" w:rsidRPr="00043E5E">
        <w:rPr>
          <w:rFonts w:ascii="Palatino Linotype" w:eastAsiaTheme="minorHAnsi" w:hAnsi="Palatino Linotype"/>
          <w:sz w:val="22"/>
          <w:szCs w:val="22"/>
          <w:lang w:eastAsia="en-US"/>
        </w:rPr>
        <w:t>de 2023</w:t>
      </w:r>
      <w:r w:rsidRPr="00043E5E">
        <w:rPr>
          <w:rFonts w:ascii="Palatino Linotype" w:eastAsiaTheme="minorHAnsi" w:hAnsi="Palatino Linotype"/>
          <w:sz w:val="22"/>
          <w:szCs w:val="22"/>
          <w:lang w:eastAsia="en-US"/>
        </w:rPr>
        <w:t>, ana</w:t>
      </w:r>
      <w:r w:rsidR="00144F8A" w:rsidRPr="00043E5E">
        <w:rPr>
          <w:rFonts w:ascii="Palatino Linotype" w:eastAsiaTheme="minorHAnsi" w:hAnsi="Palatino Linotype"/>
          <w:sz w:val="22"/>
          <w:szCs w:val="22"/>
          <w:lang w:eastAsia="en-US"/>
        </w:rPr>
        <w:t>lizó el informe Nro. IC-CUS-202</w:t>
      </w:r>
      <w:r w:rsidR="0088782F" w:rsidRPr="00043E5E">
        <w:rPr>
          <w:rFonts w:ascii="Palatino Linotype" w:eastAsiaTheme="minorHAnsi" w:hAnsi="Palatino Linotype"/>
          <w:sz w:val="22"/>
          <w:szCs w:val="22"/>
          <w:lang w:eastAsia="en-US"/>
        </w:rPr>
        <w:t>3</w:t>
      </w:r>
      <w:r w:rsidR="00745751" w:rsidRPr="00043E5E">
        <w:rPr>
          <w:rFonts w:ascii="Palatino Linotype" w:eastAsiaTheme="minorHAnsi" w:hAnsi="Palatino Linotype"/>
          <w:sz w:val="22"/>
          <w:szCs w:val="22"/>
          <w:lang w:eastAsia="en-US"/>
        </w:rPr>
        <w:t>-</w:t>
      </w:r>
      <w:r w:rsidR="00D51120" w:rsidRPr="00043E5E">
        <w:rPr>
          <w:rFonts w:ascii="Palatino Linotype" w:eastAsiaTheme="minorHAnsi" w:hAnsi="Palatino Linotype"/>
          <w:sz w:val="22"/>
          <w:szCs w:val="22"/>
          <w:lang w:eastAsia="en-US"/>
        </w:rPr>
        <w:t>039</w:t>
      </w:r>
      <w:r w:rsidR="00DB552C" w:rsidRPr="00043E5E">
        <w:rPr>
          <w:rFonts w:ascii="Palatino Linotype" w:eastAsiaTheme="minorHAnsi" w:hAnsi="Palatino Linotype"/>
          <w:sz w:val="22"/>
          <w:szCs w:val="22"/>
          <w:lang w:eastAsia="en-US"/>
        </w:rPr>
        <w:t>,</w:t>
      </w:r>
      <w:r w:rsidRPr="00043E5E">
        <w:rPr>
          <w:rFonts w:ascii="Palatino Linotype" w:eastAsiaTheme="minorHAnsi" w:hAnsi="Palatino Linotype"/>
          <w:sz w:val="22"/>
          <w:szCs w:val="22"/>
          <w:lang w:eastAsia="en-US"/>
        </w:rPr>
        <w:t xml:space="preserve"> emitido p</w:t>
      </w:r>
      <w:r w:rsidR="00327A8D" w:rsidRPr="00043E5E">
        <w:rPr>
          <w:rFonts w:ascii="Palatino Linotype" w:eastAsiaTheme="minorHAnsi" w:hAnsi="Palatino Linotype"/>
          <w:sz w:val="22"/>
          <w:szCs w:val="22"/>
          <w:lang w:eastAsia="en-US"/>
        </w:rPr>
        <w:t>or la Comisión de Uso de Suelo; y,</w:t>
      </w:r>
    </w:p>
    <w:p w14:paraId="6A0A34BD" w14:textId="77777777" w:rsidR="00C926A0" w:rsidRPr="00043E5E" w:rsidRDefault="00C926A0" w:rsidP="00327A8D">
      <w:pPr>
        <w:autoSpaceDE w:val="0"/>
        <w:autoSpaceDN w:val="0"/>
        <w:adjustRightInd w:val="0"/>
        <w:jc w:val="both"/>
        <w:rPr>
          <w:rFonts w:ascii="Palatino Linotype" w:eastAsiaTheme="minorHAnsi" w:hAnsi="Palatino Linotype"/>
          <w:sz w:val="22"/>
          <w:szCs w:val="22"/>
          <w:lang w:eastAsia="en-US"/>
        </w:rPr>
      </w:pPr>
    </w:p>
    <w:p w14:paraId="2496167F" w14:textId="77777777" w:rsidR="00C926A0" w:rsidRPr="00043E5E" w:rsidRDefault="00C926A0" w:rsidP="00327A8D">
      <w:pPr>
        <w:autoSpaceDE w:val="0"/>
        <w:autoSpaceDN w:val="0"/>
        <w:adjustRightInd w:val="0"/>
        <w:jc w:val="both"/>
        <w:rPr>
          <w:rFonts w:ascii="Palatino Linotype" w:eastAsiaTheme="minorHAnsi" w:hAnsi="Palatino Linotype"/>
          <w:b/>
          <w:bCs/>
          <w:sz w:val="22"/>
          <w:szCs w:val="22"/>
          <w:lang w:eastAsia="en-US"/>
        </w:rPr>
      </w:pPr>
      <w:r w:rsidRPr="00043E5E">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14:paraId="2CE9C5D4" w14:textId="77777777" w:rsidR="00C926A0" w:rsidRPr="00043E5E" w:rsidRDefault="00C926A0" w:rsidP="00327A8D">
      <w:pPr>
        <w:autoSpaceDE w:val="0"/>
        <w:autoSpaceDN w:val="0"/>
        <w:adjustRightInd w:val="0"/>
        <w:jc w:val="both"/>
        <w:rPr>
          <w:rFonts w:ascii="Palatino Linotype" w:eastAsiaTheme="minorHAnsi" w:hAnsi="Palatino Linotype"/>
          <w:b/>
          <w:bCs/>
          <w:sz w:val="22"/>
          <w:szCs w:val="22"/>
          <w:lang w:eastAsia="en-US"/>
        </w:rPr>
      </w:pPr>
    </w:p>
    <w:p w14:paraId="174335E1" w14:textId="77777777" w:rsidR="000D4771" w:rsidRPr="00043E5E" w:rsidRDefault="000D4771" w:rsidP="00327A8D">
      <w:pPr>
        <w:autoSpaceDE w:val="0"/>
        <w:autoSpaceDN w:val="0"/>
        <w:adjustRightInd w:val="0"/>
        <w:jc w:val="both"/>
        <w:rPr>
          <w:rFonts w:ascii="Palatino Linotype" w:eastAsiaTheme="minorHAnsi" w:hAnsi="Palatino Linotype"/>
          <w:b/>
          <w:bCs/>
          <w:sz w:val="22"/>
          <w:szCs w:val="22"/>
          <w:lang w:eastAsia="en-US"/>
        </w:rPr>
      </w:pPr>
    </w:p>
    <w:p w14:paraId="1F5718A1" w14:textId="77777777" w:rsidR="00C926A0" w:rsidRPr="00043E5E" w:rsidRDefault="00C926A0" w:rsidP="00327A8D">
      <w:pPr>
        <w:autoSpaceDE w:val="0"/>
        <w:autoSpaceDN w:val="0"/>
        <w:adjustRightInd w:val="0"/>
        <w:jc w:val="center"/>
        <w:rPr>
          <w:rFonts w:ascii="Palatino Linotype" w:eastAsiaTheme="minorHAnsi" w:hAnsi="Palatino Linotype"/>
          <w:b/>
          <w:bCs/>
          <w:sz w:val="22"/>
          <w:szCs w:val="22"/>
          <w:lang w:eastAsia="en-US"/>
        </w:rPr>
      </w:pPr>
      <w:r w:rsidRPr="00043E5E">
        <w:rPr>
          <w:rFonts w:ascii="Palatino Linotype" w:eastAsiaTheme="minorHAnsi" w:hAnsi="Palatino Linotype"/>
          <w:b/>
          <w:bCs/>
          <w:sz w:val="22"/>
          <w:szCs w:val="22"/>
          <w:lang w:eastAsia="en-US"/>
        </w:rPr>
        <w:t>RESUELVE:</w:t>
      </w:r>
    </w:p>
    <w:p w14:paraId="6B589E52" w14:textId="77777777" w:rsidR="00755448" w:rsidRPr="00043E5E" w:rsidRDefault="00755448" w:rsidP="00327A8D">
      <w:pPr>
        <w:autoSpaceDE w:val="0"/>
        <w:autoSpaceDN w:val="0"/>
        <w:adjustRightInd w:val="0"/>
        <w:jc w:val="both"/>
        <w:rPr>
          <w:rFonts w:ascii="Palatino Linotype" w:eastAsiaTheme="minorHAnsi" w:hAnsi="Palatino Linotype"/>
          <w:sz w:val="22"/>
          <w:szCs w:val="22"/>
          <w:lang w:eastAsia="en-US"/>
        </w:rPr>
      </w:pPr>
    </w:p>
    <w:p w14:paraId="6491BC28" w14:textId="5CEEFE31" w:rsidR="00283EDC" w:rsidRPr="00043E5E" w:rsidRDefault="004F7209" w:rsidP="00283EDC">
      <w:pPr>
        <w:autoSpaceDE w:val="0"/>
        <w:autoSpaceDN w:val="0"/>
        <w:adjustRightInd w:val="0"/>
        <w:jc w:val="both"/>
        <w:rPr>
          <w:rFonts w:ascii="Palatino Linotype" w:hAnsi="Palatino Linotype" w:cs="Arial"/>
          <w:sz w:val="22"/>
          <w:szCs w:val="22"/>
        </w:rPr>
      </w:pPr>
      <w:r w:rsidRPr="00043E5E">
        <w:rPr>
          <w:rFonts w:ascii="Palatino Linotype" w:hAnsi="Palatino Linotype" w:cs="Arial"/>
          <w:b/>
          <w:sz w:val="22"/>
          <w:szCs w:val="22"/>
        </w:rPr>
        <w:t>Artículo Único</w:t>
      </w:r>
      <w:r w:rsidR="005F36E3" w:rsidRPr="00043E5E">
        <w:rPr>
          <w:rFonts w:ascii="Palatino Linotype" w:hAnsi="Palatino Linotype" w:cs="Arial"/>
          <w:b/>
          <w:sz w:val="22"/>
          <w:szCs w:val="22"/>
        </w:rPr>
        <w:t>.-</w:t>
      </w:r>
      <w:r w:rsidR="005F36E3" w:rsidRPr="00043E5E">
        <w:rPr>
          <w:rFonts w:ascii="Palatino Linotype" w:hAnsi="Palatino Linotype" w:cs="Arial"/>
          <w:sz w:val="22"/>
          <w:szCs w:val="22"/>
        </w:rPr>
        <w:t xml:space="preserve"> </w:t>
      </w:r>
      <w:r w:rsidR="00CD51C7" w:rsidRPr="00043E5E">
        <w:rPr>
          <w:rFonts w:ascii="Palatino Linotype" w:hAnsi="Palatino Linotype" w:cs="Arial"/>
          <w:sz w:val="22"/>
          <w:szCs w:val="22"/>
        </w:rPr>
        <w:t xml:space="preserve">Autorizar la subdivisión del predio </w:t>
      </w:r>
      <w:r w:rsidR="00D85175" w:rsidRPr="00043E5E">
        <w:rPr>
          <w:rFonts w:ascii="Palatino Linotype" w:hAnsi="Palatino Linotype"/>
          <w:sz w:val="22"/>
          <w:szCs w:val="22"/>
          <w:lang w:val="es-ES_tradnl"/>
        </w:rPr>
        <w:t>400690, clave catastral No. 1281302004000000000, ubicado en la parroquia Calderón</w:t>
      </w:r>
      <w:r w:rsidR="00CD51C7" w:rsidRPr="00043E5E">
        <w:rPr>
          <w:rFonts w:ascii="Palatino Linotype" w:hAnsi="Palatino Linotype" w:cs="Arial"/>
          <w:sz w:val="22"/>
          <w:szCs w:val="22"/>
        </w:rPr>
        <w:t xml:space="preserve">, cambiando las condiciones de ese inmueble en particular y generando una excepción a las condiciones generales, de </w:t>
      </w:r>
      <w:r w:rsidR="00CD51C7" w:rsidRPr="00043E5E">
        <w:rPr>
          <w:rFonts w:ascii="Palatino Linotype" w:hAnsi="Palatino Linotype" w:cs="Arial"/>
          <w:sz w:val="22"/>
          <w:szCs w:val="22"/>
        </w:rPr>
        <w:lastRenderedPageBreak/>
        <w:t xml:space="preserve">conformidad con la sentencia emitida dentro del proceso judicial No. </w:t>
      </w:r>
      <w:r w:rsidR="00D85175" w:rsidRPr="00043E5E">
        <w:rPr>
          <w:rFonts w:ascii="Palatino Linotype" w:hAnsi="Palatino Linotype"/>
          <w:sz w:val="22"/>
          <w:szCs w:val="22"/>
          <w:lang w:eastAsia="es-EC"/>
        </w:rPr>
        <w:t>17306-2012-0294</w:t>
      </w:r>
      <w:r w:rsidR="00CD51C7" w:rsidRPr="00043E5E">
        <w:rPr>
          <w:rFonts w:ascii="Palatino Linotype" w:hAnsi="Palatino Linotype" w:cs="Arial"/>
          <w:sz w:val="22"/>
          <w:szCs w:val="22"/>
        </w:rPr>
        <w:t xml:space="preserve">, mediante la cual </w:t>
      </w:r>
      <w:r w:rsidR="00D85175" w:rsidRPr="00043E5E">
        <w:rPr>
          <w:rFonts w:ascii="Palatino Linotype" w:hAnsi="Palatino Linotype" w:cs="Arial"/>
          <w:sz w:val="22"/>
          <w:szCs w:val="22"/>
        </w:rPr>
        <w:t>el Juez</w:t>
      </w:r>
      <w:r w:rsidR="00CD51C7" w:rsidRPr="00043E5E">
        <w:rPr>
          <w:rFonts w:ascii="Palatino Linotype" w:hAnsi="Palatino Linotype" w:cs="Arial"/>
          <w:sz w:val="22"/>
          <w:szCs w:val="22"/>
        </w:rPr>
        <w:t xml:space="preserve"> de la Unidad Judicial Civil con sede en la parroquia </w:t>
      </w:r>
      <w:r w:rsidR="00D85175" w:rsidRPr="00043E5E">
        <w:rPr>
          <w:rFonts w:ascii="Palatino Linotype" w:hAnsi="Palatino Linotype" w:cs="Arial"/>
          <w:sz w:val="22"/>
          <w:szCs w:val="22"/>
        </w:rPr>
        <w:t xml:space="preserve">Iñaquito </w:t>
      </w:r>
      <w:r w:rsidR="00CD51C7" w:rsidRPr="00043E5E">
        <w:rPr>
          <w:rFonts w:ascii="Palatino Linotype" w:hAnsi="Palatino Linotype" w:cs="Arial"/>
          <w:sz w:val="22"/>
          <w:szCs w:val="22"/>
        </w:rPr>
        <w:t xml:space="preserve">del Distrito Metropolitano de Quito, acepta la demanda y declara la Prescripción Extraordinaria Adquisitiva de Dominio que ha operado a favor de </w:t>
      </w:r>
      <w:r w:rsidR="00C268C2" w:rsidRPr="00043E5E">
        <w:rPr>
          <w:rFonts w:ascii="Palatino Linotype" w:hAnsi="Palatino Linotype"/>
          <w:color w:val="000000"/>
          <w:sz w:val="22"/>
          <w:szCs w:val="22"/>
          <w:lang w:val="es-ES_tradnl"/>
        </w:rPr>
        <w:t xml:space="preserve">los señores </w:t>
      </w:r>
      <w:r w:rsidR="00C268C2" w:rsidRPr="00043E5E">
        <w:rPr>
          <w:rFonts w:ascii="Palatino Linotype" w:hAnsi="Palatino Linotype"/>
          <w:sz w:val="22"/>
          <w:szCs w:val="22"/>
          <w:lang w:val="es-ES_tradnl"/>
        </w:rPr>
        <w:t>Juan José Sotalín Peralta y María Alicia Vicente Peña</w:t>
      </w:r>
      <w:r w:rsidR="00CD51C7" w:rsidRPr="00043E5E">
        <w:rPr>
          <w:rFonts w:ascii="Palatino Linotype" w:hAnsi="Palatino Linotype" w:cs="Arial"/>
          <w:sz w:val="22"/>
          <w:szCs w:val="22"/>
        </w:rPr>
        <w:t xml:space="preserve">, por una superficie de </w:t>
      </w:r>
      <w:r w:rsidR="00C268C2" w:rsidRPr="00043E5E">
        <w:rPr>
          <w:rFonts w:ascii="Palatino Linotype" w:hAnsi="Palatino Linotype"/>
          <w:sz w:val="22"/>
          <w:szCs w:val="22"/>
        </w:rPr>
        <w:t>269, 34</w:t>
      </w:r>
      <w:r w:rsidR="00764F2A" w:rsidRPr="00043E5E">
        <w:rPr>
          <w:rFonts w:ascii="Palatino Linotype" w:hAnsi="Palatino Linotype"/>
          <w:sz w:val="22"/>
          <w:szCs w:val="22"/>
        </w:rPr>
        <w:t xml:space="preserve"> </w:t>
      </w:r>
      <w:r w:rsidR="00CD51C7" w:rsidRPr="00043E5E">
        <w:rPr>
          <w:rFonts w:ascii="Palatino Linotype" w:hAnsi="Palatino Linotype"/>
          <w:sz w:val="22"/>
          <w:szCs w:val="22"/>
        </w:rPr>
        <w:t>m2</w:t>
      </w:r>
      <w:r w:rsidR="00283EDC" w:rsidRPr="00043E5E">
        <w:rPr>
          <w:rFonts w:ascii="Palatino Linotype" w:hAnsi="Palatino Linotype" w:cs="Arial"/>
          <w:sz w:val="22"/>
          <w:szCs w:val="22"/>
        </w:rPr>
        <w:t xml:space="preserve">. </w:t>
      </w:r>
    </w:p>
    <w:p w14:paraId="475C2418" w14:textId="67E8D1F8" w:rsidR="005F36E3" w:rsidRPr="00043E5E" w:rsidRDefault="005F36E3" w:rsidP="00327A8D">
      <w:pPr>
        <w:autoSpaceDE w:val="0"/>
        <w:autoSpaceDN w:val="0"/>
        <w:adjustRightInd w:val="0"/>
        <w:jc w:val="both"/>
        <w:rPr>
          <w:rFonts w:ascii="Palatino Linotype" w:hAnsi="Palatino Linotype" w:cs="Arial"/>
          <w:sz w:val="22"/>
          <w:szCs w:val="22"/>
        </w:rPr>
      </w:pPr>
    </w:p>
    <w:p w14:paraId="34E190F9" w14:textId="793CF783" w:rsidR="005F36E3" w:rsidRPr="00043E5E" w:rsidRDefault="005F36E3" w:rsidP="00327A8D">
      <w:pPr>
        <w:autoSpaceDE w:val="0"/>
        <w:autoSpaceDN w:val="0"/>
        <w:adjustRightInd w:val="0"/>
        <w:jc w:val="both"/>
        <w:rPr>
          <w:rFonts w:ascii="Palatino Linotype" w:hAnsi="Palatino Linotype" w:cs="Arial"/>
          <w:sz w:val="22"/>
          <w:szCs w:val="22"/>
        </w:rPr>
      </w:pPr>
      <w:r w:rsidRPr="00043E5E">
        <w:rPr>
          <w:rFonts w:ascii="Palatino Linotype" w:hAnsi="Palatino Linotype" w:cs="Arial"/>
          <w:sz w:val="22"/>
          <w:szCs w:val="22"/>
        </w:rPr>
        <w:t xml:space="preserve">De conformidad con lo dispuesto en el artículo </w:t>
      </w:r>
      <w:r w:rsidR="00FE4F27" w:rsidRPr="00043E5E">
        <w:rPr>
          <w:rFonts w:ascii="Palatino Linotype" w:hAnsi="Palatino Linotype" w:cs="Arial"/>
          <w:sz w:val="22"/>
          <w:szCs w:val="22"/>
        </w:rPr>
        <w:t>2567</w:t>
      </w:r>
      <w:r w:rsidRPr="00043E5E">
        <w:rPr>
          <w:rFonts w:ascii="Palatino Linotype" w:hAnsi="Palatino Linotype" w:cs="Arial"/>
          <w:sz w:val="22"/>
          <w:szCs w:val="22"/>
        </w:rPr>
        <w:t xml:space="preserve"> del Código Municipal para el Distrito Metropolitano de Quito, </w:t>
      </w:r>
      <w:r w:rsidR="006318A2" w:rsidRPr="00043E5E">
        <w:rPr>
          <w:rFonts w:ascii="Palatino Linotype" w:hAnsi="Palatino Linotype"/>
          <w:color w:val="000000"/>
          <w:sz w:val="22"/>
          <w:szCs w:val="22"/>
          <w:lang w:val="es-ES_tradnl"/>
        </w:rPr>
        <w:t xml:space="preserve">los señores </w:t>
      </w:r>
      <w:r w:rsidR="006318A2" w:rsidRPr="00043E5E">
        <w:rPr>
          <w:rFonts w:ascii="Palatino Linotype" w:hAnsi="Palatino Linotype"/>
          <w:sz w:val="22"/>
          <w:szCs w:val="22"/>
          <w:lang w:val="es-ES_tradnl"/>
        </w:rPr>
        <w:t>Juan José Sotalín Peralta y María Alicia Vicente Peña</w:t>
      </w:r>
      <w:r w:rsidR="00CD51C7" w:rsidRPr="00043E5E">
        <w:rPr>
          <w:rFonts w:ascii="Palatino Linotype" w:hAnsi="Palatino Linotype" w:cs="Arial"/>
          <w:sz w:val="22"/>
          <w:szCs w:val="22"/>
        </w:rPr>
        <w:t>, deberá</w:t>
      </w:r>
      <w:r w:rsidR="008536F4" w:rsidRPr="00043E5E">
        <w:rPr>
          <w:rFonts w:ascii="Palatino Linotype" w:hAnsi="Palatino Linotype" w:cs="Arial"/>
          <w:sz w:val="22"/>
          <w:szCs w:val="22"/>
        </w:rPr>
        <w:t>n</w:t>
      </w:r>
      <w:r w:rsidR="00CD51C7" w:rsidRPr="00043E5E">
        <w:rPr>
          <w:rFonts w:ascii="Palatino Linotype" w:hAnsi="Palatino Linotype" w:cs="Arial"/>
          <w:sz w:val="22"/>
          <w:szCs w:val="22"/>
        </w:rPr>
        <w:t xml:space="preserve"> compensar en valor monetario, la contribución del 15% del área útil adjudicada</w:t>
      </w:r>
      <w:r w:rsidRPr="00043E5E">
        <w:rPr>
          <w:rFonts w:ascii="Palatino Linotype" w:hAnsi="Palatino Linotype" w:cs="Arial"/>
          <w:sz w:val="22"/>
          <w:szCs w:val="22"/>
        </w:rPr>
        <w:t xml:space="preserve">, de acuerdo con el cálculo que realice la </w:t>
      </w:r>
      <w:r w:rsidR="00FE4F27" w:rsidRPr="00043E5E">
        <w:rPr>
          <w:rFonts w:ascii="Palatino Linotype" w:hAnsi="Palatino Linotype" w:cs="Arial"/>
          <w:sz w:val="22"/>
          <w:szCs w:val="22"/>
        </w:rPr>
        <w:t>Administración Zonal competente con base a la normativa vigente.</w:t>
      </w:r>
    </w:p>
    <w:p w14:paraId="4C837BA5" w14:textId="77777777" w:rsidR="005F36E3" w:rsidRPr="00043E5E" w:rsidRDefault="005F36E3" w:rsidP="00327A8D">
      <w:pPr>
        <w:autoSpaceDE w:val="0"/>
        <w:autoSpaceDN w:val="0"/>
        <w:adjustRightInd w:val="0"/>
        <w:jc w:val="both"/>
        <w:rPr>
          <w:rFonts w:ascii="Palatino Linotype" w:eastAsiaTheme="minorHAnsi" w:hAnsi="Palatino Linotype"/>
          <w:sz w:val="22"/>
          <w:szCs w:val="22"/>
          <w:lang w:eastAsia="en-US"/>
        </w:rPr>
      </w:pPr>
    </w:p>
    <w:p w14:paraId="3CF46E53" w14:textId="77777777" w:rsidR="000D4771" w:rsidRPr="00043E5E" w:rsidRDefault="000D4771" w:rsidP="00327A8D">
      <w:pPr>
        <w:autoSpaceDE w:val="0"/>
        <w:autoSpaceDN w:val="0"/>
        <w:adjustRightInd w:val="0"/>
        <w:jc w:val="both"/>
        <w:rPr>
          <w:rFonts w:ascii="Palatino Linotype" w:eastAsiaTheme="minorHAnsi" w:hAnsi="Palatino Linotype"/>
          <w:sz w:val="22"/>
          <w:szCs w:val="22"/>
          <w:lang w:eastAsia="en-US"/>
        </w:rPr>
      </w:pPr>
    </w:p>
    <w:p w14:paraId="6B2B44F3" w14:textId="77777777" w:rsidR="00755448" w:rsidRPr="00043E5E" w:rsidRDefault="00327A8D" w:rsidP="00327A8D">
      <w:pPr>
        <w:autoSpaceDE w:val="0"/>
        <w:autoSpaceDN w:val="0"/>
        <w:adjustRightInd w:val="0"/>
        <w:jc w:val="center"/>
        <w:rPr>
          <w:rFonts w:ascii="Palatino Linotype" w:eastAsiaTheme="minorHAnsi" w:hAnsi="Palatino Linotype"/>
          <w:b/>
          <w:sz w:val="22"/>
          <w:szCs w:val="22"/>
          <w:lang w:eastAsia="en-US"/>
        </w:rPr>
      </w:pPr>
      <w:r w:rsidRPr="00043E5E">
        <w:rPr>
          <w:rFonts w:ascii="Palatino Linotype" w:eastAsiaTheme="minorHAnsi" w:hAnsi="Palatino Linotype"/>
          <w:b/>
          <w:sz w:val="22"/>
          <w:szCs w:val="22"/>
          <w:lang w:eastAsia="en-US"/>
        </w:rPr>
        <w:t>DISPOSICIONES GENERALES:</w:t>
      </w:r>
    </w:p>
    <w:p w14:paraId="76012093" w14:textId="77777777" w:rsidR="00755448" w:rsidRPr="00043E5E" w:rsidRDefault="00755448" w:rsidP="00327A8D">
      <w:pPr>
        <w:autoSpaceDE w:val="0"/>
        <w:autoSpaceDN w:val="0"/>
        <w:adjustRightInd w:val="0"/>
        <w:jc w:val="both"/>
        <w:rPr>
          <w:rFonts w:ascii="Palatino Linotype" w:eastAsiaTheme="minorHAnsi" w:hAnsi="Palatino Linotype"/>
          <w:b/>
          <w:sz w:val="22"/>
          <w:szCs w:val="22"/>
          <w:lang w:eastAsia="en-US"/>
        </w:rPr>
      </w:pPr>
    </w:p>
    <w:p w14:paraId="244BA2D0" w14:textId="4A570BEA" w:rsidR="00755448" w:rsidRPr="00043E5E" w:rsidRDefault="0078423B" w:rsidP="00327A8D">
      <w:pPr>
        <w:autoSpaceDE w:val="0"/>
        <w:autoSpaceDN w:val="0"/>
        <w:adjustRightInd w:val="0"/>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Primera. -</w:t>
      </w:r>
      <w:r w:rsidR="00755448" w:rsidRPr="00043E5E">
        <w:rPr>
          <w:rFonts w:ascii="Palatino Linotype" w:eastAsiaTheme="minorHAnsi" w:hAnsi="Palatino Linotype"/>
          <w:b/>
          <w:sz w:val="22"/>
          <w:szCs w:val="22"/>
          <w:lang w:eastAsia="en-US"/>
        </w:rPr>
        <w:t xml:space="preserve"> </w:t>
      </w:r>
      <w:r w:rsidR="00755448" w:rsidRPr="00043E5E">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14:paraId="04B1BF56" w14:textId="77777777" w:rsidR="00755448" w:rsidRPr="00043E5E" w:rsidRDefault="00755448" w:rsidP="00327A8D">
      <w:pPr>
        <w:autoSpaceDE w:val="0"/>
        <w:autoSpaceDN w:val="0"/>
        <w:adjustRightInd w:val="0"/>
        <w:rPr>
          <w:rFonts w:ascii="Palatino Linotype" w:eastAsiaTheme="minorHAnsi" w:hAnsi="Palatino Linotype"/>
          <w:sz w:val="22"/>
          <w:szCs w:val="22"/>
          <w:lang w:eastAsia="en-US"/>
        </w:rPr>
      </w:pPr>
    </w:p>
    <w:p w14:paraId="3205FB71" w14:textId="328D8CFC" w:rsidR="00755448" w:rsidRPr="00043E5E" w:rsidRDefault="0078423B" w:rsidP="00327A8D">
      <w:pPr>
        <w:autoSpaceDE w:val="0"/>
        <w:autoSpaceDN w:val="0"/>
        <w:adjustRightInd w:val="0"/>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Segunda. -</w:t>
      </w:r>
      <w:r w:rsidR="00755448" w:rsidRPr="00043E5E">
        <w:rPr>
          <w:rFonts w:ascii="Palatino Linotype" w:eastAsiaTheme="minorHAnsi" w:hAnsi="Palatino Linotype"/>
          <w:sz w:val="22"/>
          <w:szCs w:val="22"/>
          <w:lang w:eastAsia="en-US"/>
        </w:rPr>
        <w:t xml:space="preserve"> La p</w:t>
      </w:r>
      <w:r w:rsidR="00FE4F27" w:rsidRPr="00043E5E">
        <w:rPr>
          <w:rFonts w:ascii="Palatino Linotype" w:eastAsiaTheme="minorHAnsi" w:hAnsi="Palatino Linotype"/>
          <w:sz w:val="22"/>
          <w:szCs w:val="22"/>
          <w:lang w:eastAsia="en-US"/>
        </w:rPr>
        <w:t>resente resolución se aprueba con</w:t>
      </w:r>
      <w:r w:rsidR="00755448" w:rsidRPr="00043E5E">
        <w:rPr>
          <w:rFonts w:ascii="Palatino Linotype" w:eastAsiaTheme="minorHAnsi" w:hAnsi="Palatino Linotype"/>
          <w:sz w:val="22"/>
          <w:szCs w:val="22"/>
          <w:lang w:eastAsia="en-US"/>
        </w:rPr>
        <w:t xml:space="preserve"> base a los informes que son de exclusiva responsabilidad de los funcionarios que lo suscriben y realizan.</w:t>
      </w:r>
    </w:p>
    <w:p w14:paraId="2A8BF68B" w14:textId="77777777" w:rsidR="00755448" w:rsidRPr="00043E5E" w:rsidRDefault="00755448" w:rsidP="00327A8D">
      <w:pPr>
        <w:autoSpaceDE w:val="0"/>
        <w:autoSpaceDN w:val="0"/>
        <w:adjustRightInd w:val="0"/>
        <w:rPr>
          <w:rFonts w:ascii="Palatino Linotype" w:eastAsiaTheme="minorHAnsi" w:hAnsi="Palatino Linotype"/>
          <w:sz w:val="22"/>
          <w:szCs w:val="22"/>
          <w:lang w:eastAsia="en-US"/>
        </w:rPr>
      </w:pPr>
    </w:p>
    <w:p w14:paraId="567DF9D4" w14:textId="78908C5F" w:rsidR="00327A8D" w:rsidRPr="00043E5E" w:rsidRDefault="00327A8D" w:rsidP="00327A8D">
      <w:pPr>
        <w:autoSpaceDE w:val="0"/>
        <w:autoSpaceDN w:val="0"/>
        <w:adjustRightInd w:val="0"/>
        <w:jc w:val="both"/>
        <w:rPr>
          <w:rFonts w:ascii="Palatino Linotype" w:eastAsiaTheme="minorHAnsi" w:hAnsi="Palatino Linotype"/>
          <w:sz w:val="22"/>
          <w:szCs w:val="22"/>
          <w:lang w:eastAsia="en-US"/>
        </w:rPr>
      </w:pPr>
      <w:r w:rsidRPr="00043E5E">
        <w:rPr>
          <w:rFonts w:ascii="Palatino Linotype" w:eastAsiaTheme="minorHAnsi" w:hAnsi="Palatino Linotype"/>
          <w:b/>
          <w:sz w:val="22"/>
          <w:szCs w:val="22"/>
          <w:lang w:eastAsia="en-US"/>
        </w:rPr>
        <w:t xml:space="preserve">Disposición </w:t>
      </w:r>
      <w:r w:rsidR="0078423B" w:rsidRPr="00043E5E">
        <w:rPr>
          <w:rFonts w:ascii="Palatino Linotype" w:eastAsiaTheme="minorHAnsi" w:hAnsi="Palatino Linotype"/>
          <w:b/>
          <w:sz w:val="22"/>
          <w:szCs w:val="22"/>
          <w:lang w:eastAsia="en-US"/>
        </w:rPr>
        <w:t>Final. -</w:t>
      </w:r>
      <w:r w:rsidRPr="00043E5E">
        <w:rPr>
          <w:rFonts w:ascii="Palatino Linotype" w:eastAsiaTheme="minorHAnsi" w:hAnsi="Palatino Linotype"/>
          <w:sz w:val="22"/>
          <w:szCs w:val="22"/>
          <w:lang w:eastAsia="en-US"/>
        </w:rPr>
        <w:t xml:space="preserve"> La presente resolución entrará en vigencia a partir de su suscripción sin perjuicio de su publicación.</w:t>
      </w:r>
    </w:p>
    <w:p w14:paraId="54F708FB" w14:textId="77777777" w:rsidR="0078423B" w:rsidRPr="00043E5E" w:rsidRDefault="0078423B" w:rsidP="00327A8D">
      <w:pPr>
        <w:jc w:val="both"/>
        <w:rPr>
          <w:rFonts w:ascii="Palatino Linotype" w:hAnsi="Palatino Linotype"/>
          <w:sz w:val="22"/>
          <w:szCs w:val="22"/>
        </w:rPr>
      </w:pPr>
    </w:p>
    <w:p w14:paraId="39E610DC" w14:textId="6DA0D728" w:rsidR="00327A8D" w:rsidRPr="00043E5E" w:rsidRDefault="00327A8D" w:rsidP="00327A8D">
      <w:pPr>
        <w:jc w:val="both"/>
        <w:rPr>
          <w:rFonts w:ascii="Palatino Linotype" w:hAnsi="Palatino Linotype"/>
          <w:sz w:val="22"/>
          <w:szCs w:val="22"/>
        </w:rPr>
      </w:pPr>
      <w:r w:rsidRPr="00043E5E">
        <w:rPr>
          <w:rFonts w:ascii="Palatino Linotype" w:hAnsi="Palatino Linotype"/>
          <w:sz w:val="22"/>
          <w:szCs w:val="22"/>
        </w:rPr>
        <w:t xml:space="preserve">Dada en el Distrito Metropolitano de Quito, a los </w:t>
      </w:r>
      <w:r w:rsidR="00764F2A" w:rsidRPr="00043E5E">
        <w:rPr>
          <w:rFonts w:ascii="Palatino Linotype" w:hAnsi="Palatino Linotype"/>
          <w:sz w:val="22"/>
          <w:szCs w:val="22"/>
        </w:rPr>
        <w:t xml:space="preserve">xxxx </w:t>
      </w:r>
      <w:r w:rsidRPr="00043E5E">
        <w:rPr>
          <w:rFonts w:ascii="Palatino Linotype" w:hAnsi="Palatino Linotype"/>
          <w:sz w:val="22"/>
          <w:szCs w:val="22"/>
        </w:rPr>
        <w:t xml:space="preserve">días del mes de </w:t>
      </w:r>
      <w:r w:rsidR="00764F2A" w:rsidRPr="00043E5E">
        <w:rPr>
          <w:rFonts w:ascii="Palatino Linotype" w:hAnsi="Palatino Linotype"/>
          <w:sz w:val="22"/>
          <w:szCs w:val="22"/>
        </w:rPr>
        <w:t xml:space="preserve">xxxx </w:t>
      </w:r>
      <w:r w:rsidRPr="00043E5E">
        <w:rPr>
          <w:rFonts w:ascii="Palatino Linotype" w:hAnsi="Palatino Linotype"/>
          <w:sz w:val="22"/>
          <w:szCs w:val="22"/>
        </w:rPr>
        <w:t>del año dos mil veintitrés.</w:t>
      </w:r>
    </w:p>
    <w:p w14:paraId="4A218F67" w14:textId="77777777" w:rsidR="00327A8D" w:rsidRPr="00043E5E" w:rsidRDefault="00327A8D" w:rsidP="00327A8D">
      <w:pPr>
        <w:jc w:val="both"/>
        <w:rPr>
          <w:rFonts w:ascii="Palatino Linotype" w:hAnsi="Palatino Linotype"/>
          <w:sz w:val="22"/>
          <w:szCs w:val="22"/>
        </w:rPr>
      </w:pPr>
    </w:p>
    <w:p w14:paraId="295D555B" w14:textId="77777777" w:rsidR="000D4771" w:rsidRPr="00043E5E" w:rsidRDefault="000D4771" w:rsidP="00327A8D">
      <w:pPr>
        <w:jc w:val="both"/>
        <w:rPr>
          <w:rFonts w:ascii="Palatino Linotype" w:hAnsi="Palatino Linotype"/>
          <w:b/>
          <w:sz w:val="22"/>
          <w:szCs w:val="22"/>
        </w:rPr>
      </w:pPr>
    </w:p>
    <w:p w14:paraId="2E369E20" w14:textId="77777777" w:rsidR="000D4771" w:rsidRPr="00043E5E" w:rsidRDefault="000D4771" w:rsidP="00327A8D">
      <w:pPr>
        <w:jc w:val="both"/>
        <w:rPr>
          <w:rFonts w:ascii="Palatino Linotype" w:hAnsi="Palatino Linotype"/>
          <w:b/>
          <w:sz w:val="22"/>
          <w:szCs w:val="22"/>
        </w:rPr>
      </w:pPr>
    </w:p>
    <w:p w14:paraId="04874733" w14:textId="66875DC1" w:rsidR="00327A8D" w:rsidRPr="00043E5E" w:rsidRDefault="00327A8D" w:rsidP="00327A8D">
      <w:pPr>
        <w:jc w:val="both"/>
        <w:rPr>
          <w:rFonts w:ascii="Palatino Linotype" w:hAnsi="Palatino Linotype"/>
          <w:sz w:val="22"/>
          <w:szCs w:val="22"/>
        </w:rPr>
      </w:pPr>
      <w:r w:rsidRPr="00043E5E">
        <w:rPr>
          <w:rFonts w:ascii="Palatino Linotype" w:hAnsi="Palatino Linotype"/>
          <w:b/>
          <w:sz w:val="22"/>
          <w:szCs w:val="22"/>
        </w:rPr>
        <w:t xml:space="preserve">Alcaldía del Distrito Metropolitano. - </w:t>
      </w:r>
      <w:r w:rsidRPr="00043E5E">
        <w:rPr>
          <w:rFonts w:ascii="Palatino Linotype" w:hAnsi="Palatino Linotype"/>
          <w:sz w:val="22"/>
          <w:szCs w:val="22"/>
        </w:rPr>
        <w:t xml:space="preserve">Distrito Metropolitano de Quito, </w:t>
      </w:r>
      <w:r w:rsidR="00764F2A" w:rsidRPr="00043E5E">
        <w:rPr>
          <w:rFonts w:ascii="Palatino Linotype" w:hAnsi="Palatino Linotype"/>
          <w:sz w:val="22"/>
          <w:szCs w:val="22"/>
        </w:rPr>
        <w:t xml:space="preserve">xx </w:t>
      </w:r>
      <w:r w:rsidRPr="00043E5E">
        <w:rPr>
          <w:rFonts w:ascii="Palatino Linotype" w:hAnsi="Palatino Linotype"/>
          <w:sz w:val="22"/>
          <w:szCs w:val="22"/>
        </w:rPr>
        <w:t xml:space="preserve">de </w:t>
      </w:r>
      <w:r w:rsidR="00764F2A" w:rsidRPr="00043E5E">
        <w:rPr>
          <w:rFonts w:ascii="Palatino Linotype" w:hAnsi="Palatino Linotype"/>
          <w:sz w:val="22"/>
          <w:szCs w:val="22"/>
        </w:rPr>
        <w:t xml:space="preserve">xxxx </w:t>
      </w:r>
      <w:r w:rsidRPr="00043E5E">
        <w:rPr>
          <w:rFonts w:ascii="Palatino Linotype" w:hAnsi="Palatino Linotype"/>
          <w:sz w:val="22"/>
          <w:szCs w:val="22"/>
        </w:rPr>
        <w:t>de 2023.</w:t>
      </w:r>
    </w:p>
    <w:p w14:paraId="54C32EC4" w14:textId="77777777" w:rsidR="00327A8D" w:rsidRPr="00043E5E" w:rsidRDefault="00327A8D" w:rsidP="00327A8D">
      <w:pPr>
        <w:jc w:val="center"/>
        <w:rPr>
          <w:rFonts w:ascii="Palatino Linotype" w:hAnsi="Palatino Linotype"/>
          <w:b/>
          <w:sz w:val="22"/>
          <w:szCs w:val="22"/>
        </w:rPr>
      </w:pPr>
    </w:p>
    <w:p w14:paraId="5EE5FABB" w14:textId="77777777" w:rsidR="00327A8D" w:rsidRPr="00043E5E" w:rsidRDefault="00327A8D" w:rsidP="00327A8D">
      <w:pPr>
        <w:ind w:left="51"/>
        <w:jc w:val="center"/>
        <w:rPr>
          <w:rFonts w:ascii="Palatino Linotype" w:hAnsi="Palatino Linotype"/>
          <w:sz w:val="22"/>
          <w:szCs w:val="22"/>
        </w:rPr>
      </w:pPr>
    </w:p>
    <w:p w14:paraId="37D0B67E" w14:textId="77777777" w:rsidR="00327A8D" w:rsidRPr="00043E5E" w:rsidRDefault="00327A8D" w:rsidP="00327A8D">
      <w:pPr>
        <w:rPr>
          <w:rFonts w:ascii="Palatino Linotype" w:hAnsi="Palatino Linotype"/>
          <w:sz w:val="22"/>
          <w:szCs w:val="22"/>
        </w:rPr>
      </w:pPr>
    </w:p>
    <w:p w14:paraId="0BD5AE2F" w14:textId="77777777" w:rsidR="000D4771" w:rsidRPr="00043E5E" w:rsidRDefault="000D4771" w:rsidP="00327A8D">
      <w:pPr>
        <w:rPr>
          <w:rFonts w:ascii="Palatino Linotype" w:hAnsi="Palatino Linotype"/>
          <w:sz w:val="22"/>
          <w:szCs w:val="22"/>
        </w:rPr>
      </w:pPr>
    </w:p>
    <w:p w14:paraId="5CF5E274" w14:textId="77777777" w:rsidR="00327A8D" w:rsidRPr="00043E5E" w:rsidRDefault="00327A8D" w:rsidP="00327A8D">
      <w:pPr>
        <w:ind w:left="51"/>
        <w:jc w:val="center"/>
        <w:rPr>
          <w:rFonts w:ascii="Palatino Linotype" w:hAnsi="Palatino Linotype"/>
          <w:sz w:val="22"/>
          <w:szCs w:val="22"/>
        </w:rPr>
      </w:pPr>
      <w:r w:rsidRPr="00043E5E">
        <w:rPr>
          <w:rFonts w:ascii="Palatino Linotype" w:hAnsi="Palatino Linotype"/>
          <w:sz w:val="22"/>
          <w:szCs w:val="22"/>
        </w:rPr>
        <w:t>Pabel Muñoz López</w:t>
      </w:r>
    </w:p>
    <w:p w14:paraId="5FFD5E72" w14:textId="77777777" w:rsidR="00327A8D" w:rsidRPr="00043E5E" w:rsidRDefault="00327A8D" w:rsidP="00327A8D">
      <w:pPr>
        <w:keepNext/>
        <w:keepLines/>
        <w:ind w:left="10" w:right="6" w:hanging="10"/>
        <w:jc w:val="center"/>
        <w:outlineLvl w:val="0"/>
        <w:rPr>
          <w:rFonts w:ascii="Palatino Linotype" w:hAnsi="Palatino Linotype" w:cs="Palatino Linotype"/>
          <w:b/>
          <w:color w:val="000000"/>
          <w:sz w:val="22"/>
          <w:szCs w:val="22"/>
          <w:lang w:eastAsia="es-EC"/>
        </w:rPr>
      </w:pPr>
      <w:r w:rsidRPr="00043E5E">
        <w:rPr>
          <w:rFonts w:ascii="Palatino Linotype" w:hAnsi="Palatino Linotype" w:cs="Palatino Linotype"/>
          <w:b/>
          <w:color w:val="000000"/>
          <w:sz w:val="22"/>
          <w:szCs w:val="22"/>
          <w:lang w:eastAsia="es-EC"/>
        </w:rPr>
        <w:t>ALCALDE DEL DISTRITO METROPOLITANO DE QUITO</w:t>
      </w:r>
    </w:p>
    <w:p w14:paraId="161D213F" w14:textId="77777777" w:rsidR="00327A8D" w:rsidRPr="00043E5E" w:rsidRDefault="00327A8D" w:rsidP="00327A8D">
      <w:pPr>
        <w:jc w:val="both"/>
        <w:rPr>
          <w:rFonts w:ascii="Palatino Linotype" w:hAnsi="Palatino Linotype"/>
          <w:b/>
          <w:sz w:val="22"/>
          <w:szCs w:val="22"/>
        </w:rPr>
      </w:pPr>
    </w:p>
    <w:p w14:paraId="76911B97" w14:textId="0C260D1B" w:rsidR="00327A8D" w:rsidRPr="00043E5E" w:rsidRDefault="00327A8D" w:rsidP="00327A8D">
      <w:pPr>
        <w:jc w:val="both"/>
        <w:rPr>
          <w:rFonts w:ascii="Palatino Linotype" w:hAnsi="Palatino Linotype"/>
          <w:sz w:val="22"/>
          <w:szCs w:val="22"/>
        </w:rPr>
      </w:pPr>
      <w:r w:rsidRPr="00043E5E">
        <w:rPr>
          <w:rFonts w:ascii="Palatino Linotype" w:hAnsi="Palatino Linotype"/>
          <w:b/>
          <w:sz w:val="22"/>
          <w:szCs w:val="22"/>
        </w:rPr>
        <w:lastRenderedPageBreak/>
        <w:t>CERTIFICO,</w:t>
      </w:r>
      <w:r w:rsidRPr="00043E5E">
        <w:rPr>
          <w:rFonts w:ascii="Palatino Linotype" w:hAnsi="Palatino Linotype"/>
          <w:sz w:val="22"/>
          <w:szCs w:val="22"/>
        </w:rPr>
        <w:t xml:space="preserve"> que la presente resolución fue discutida y aprobada en la sesión pública No. </w:t>
      </w:r>
      <w:r w:rsidR="00B6485C" w:rsidRPr="00043E5E">
        <w:rPr>
          <w:rFonts w:ascii="Palatino Linotype" w:hAnsi="Palatino Linotype"/>
          <w:sz w:val="22"/>
          <w:szCs w:val="22"/>
        </w:rPr>
        <w:t xml:space="preserve">xxx </w:t>
      </w:r>
      <w:r w:rsidRPr="00043E5E">
        <w:rPr>
          <w:rFonts w:ascii="Palatino Linotype" w:hAnsi="Palatino Linotype"/>
          <w:sz w:val="22"/>
          <w:szCs w:val="22"/>
        </w:rPr>
        <w:t xml:space="preserve">Ordinaria del Concejo Metropolitano de Quito, el </w:t>
      </w:r>
      <w:r w:rsidR="00B6485C" w:rsidRPr="00043E5E">
        <w:rPr>
          <w:rFonts w:ascii="Palatino Linotype" w:hAnsi="Palatino Linotype"/>
          <w:sz w:val="22"/>
          <w:szCs w:val="22"/>
        </w:rPr>
        <w:t xml:space="preserve">xx </w:t>
      </w:r>
      <w:r w:rsidRPr="00043E5E">
        <w:rPr>
          <w:rFonts w:ascii="Palatino Linotype" w:hAnsi="Palatino Linotype"/>
          <w:sz w:val="22"/>
          <w:szCs w:val="22"/>
        </w:rPr>
        <w:t xml:space="preserve">de </w:t>
      </w:r>
      <w:r w:rsidR="00B6485C" w:rsidRPr="00043E5E">
        <w:rPr>
          <w:rFonts w:ascii="Palatino Linotype" w:hAnsi="Palatino Linotype"/>
          <w:sz w:val="22"/>
          <w:szCs w:val="22"/>
        </w:rPr>
        <w:t xml:space="preserve">xxxx </w:t>
      </w:r>
      <w:r w:rsidRPr="00043E5E">
        <w:rPr>
          <w:rFonts w:ascii="Palatino Linotype" w:hAnsi="Palatino Linotype"/>
          <w:sz w:val="22"/>
          <w:szCs w:val="22"/>
        </w:rPr>
        <w:t xml:space="preserve">de 2023; y, suscrita por el señor Pabel Muñoz López, Alcalde del Distrito Metropolitano de Quito, el </w:t>
      </w:r>
      <w:r w:rsidR="00B6485C" w:rsidRPr="00043E5E">
        <w:rPr>
          <w:rFonts w:ascii="Palatino Linotype" w:hAnsi="Palatino Linotype"/>
          <w:sz w:val="22"/>
          <w:szCs w:val="22"/>
        </w:rPr>
        <w:t xml:space="preserve">xx </w:t>
      </w:r>
      <w:r w:rsidRPr="00043E5E">
        <w:rPr>
          <w:rFonts w:ascii="Palatino Linotype" w:hAnsi="Palatino Linotype"/>
          <w:sz w:val="22"/>
          <w:szCs w:val="22"/>
        </w:rPr>
        <w:t xml:space="preserve">de </w:t>
      </w:r>
      <w:r w:rsidR="00B6485C" w:rsidRPr="00043E5E">
        <w:rPr>
          <w:rFonts w:ascii="Palatino Linotype" w:hAnsi="Palatino Linotype"/>
          <w:sz w:val="22"/>
          <w:szCs w:val="22"/>
        </w:rPr>
        <w:t xml:space="preserve">xxxx </w:t>
      </w:r>
      <w:r w:rsidRPr="00043E5E">
        <w:rPr>
          <w:rFonts w:ascii="Palatino Linotype" w:hAnsi="Palatino Linotype"/>
          <w:sz w:val="22"/>
          <w:szCs w:val="22"/>
        </w:rPr>
        <w:t>de 2023.</w:t>
      </w:r>
    </w:p>
    <w:p w14:paraId="37DC686A" w14:textId="77777777" w:rsidR="00327A8D" w:rsidRPr="00043E5E" w:rsidRDefault="00327A8D" w:rsidP="00327A8D">
      <w:pPr>
        <w:jc w:val="both"/>
        <w:rPr>
          <w:rFonts w:ascii="Palatino Linotype" w:hAnsi="Palatino Linotype"/>
          <w:b/>
          <w:sz w:val="22"/>
          <w:szCs w:val="22"/>
        </w:rPr>
      </w:pPr>
      <w:r w:rsidRPr="00043E5E">
        <w:rPr>
          <w:rFonts w:ascii="Palatino Linotype" w:hAnsi="Palatino Linotype"/>
          <w:b/>
          <w:sz w:val="22"/>
          <w:szCs w:val="22"/>
        </w:rPr>
        <w:t xml:space="preserve"> </w:t>
      </w:r>
    </w:p>
    <w:p w14:paraId="1D9E8E64" w14:textId="4800A689" w:rsidR="00327A8D" w:rsidRPr="00043E5E" w:rsidRDefault="00327A8D" w:rsidP="00327A8D">
      <w:pPr>
        <w:ind w:right="-39"/>
        <w:jc w:val="both"/>
        <w:rPr>
          <w:rFonts w:ascii="Palatino Linotype" w:eastAsia="SimSun" w:hAnsi="Palatino Linotype"/>
          <w:sz w:val="22"/>
          <w:szCs w:val="22"/>
          <w:lang w:eastAsia="en-US"/>
        </w:rPr>
      </w:pPr>
      <w:r w:rsidRPr="00043E5E">
        <w:rPr>
          <w:rFonts w:ascii="Palatino Linotype" w:eastAsia="SimSun" w:hAnsi="Palatino Linotype"/>
          <w:b/>
          <w:sz w:val="22"/>
          <w:szCs w:val="22"/>
          <w:lang w:eastAsia="en-US"/>
        </w:rPr>
        <w:t>Lo</w:t>
      </w:r>
      <w:r w:rsidRPr="00043E5E">
        <w:rPr>
          <w:rFonts w:ascii="Palatino Linotype" w:eastAsia="SimSun" w:hAnsi="Palatino Linotype"/>
          <w:b/>
          <w:spacing w:val="-2"/>
          <w:sz w:val="22"/>
          <w:szCs w:val="22"/>
          <w:lang w:eastAsia="en-US"/>
        </w:rPr>
        <w:t xml:space="preserve"> </w:t>
      </w:r>
      <w:r w:rsidRPr="00043E5E">
        <w:rPr>
          <w:rFonts w:ascii="Palatino Linotype" w:eastAsia="SimSun" w:hAnsi="Palatino Linotype"/>
          <w:b/>
          <w:sz w:val="22"/>
          <w:szCs w:val="22"/>
          <w:lang w:eastAsia="en-US"/>
        </w:rPr>
        <w:t>certifico.</w:t>
      </w:r>
      <w:r w:rsidRPr="00043E5E">
        <w:rPr>
          <w:rFonts w:ascii="Palatino Linotype" w:eastAsia="SimSun" w:hAnsi="Palatino Linotype"/>
          <w:b/>
          <w:spacing w:val="-6"/>
          <w:sz w:val="22"/>
          <w:szCs w:val="22"/>
          <w:lang w:eastAsia="en-US"/>
        </w:rPr>
        <w:t xml:space="preserve"> </w:t>
      </w:r>
      <w:r w:rsidRPr="00043E5E">
        <w:rPr>
          <w:rFonts w:ascii="Palatino Linotype" w:eastAsia="SimSun" w:hAnsi="Palatino Linotype"/>
          <w:b/>
          <w:sz w:val="22"/>
          <w:szCs w:val="22"/>
          <w:lang w:eastAsia="en-US"/>
        </w:rPr>
        <w:t xml:space="preserve">- </w:t>
      </w:r>
      <w:r w:rsidRPr="00043E5E">
        <w:rPr>
          <w:rFonts w:ascii="Palatino Linotype" w:eastAsia="SimSun" w:hAnsi="Palatino Linotype"/>
          <w:sz w:val="22"/>
          <w:szCs w:val="22"/>
          <w:lang w:eastAsia="en-US"/>
        </w:rPr>
        <w:t>Distrito</w:t>
      </w:r>
      <w:r w:rsidRPr="00043E5E">
        <w:rPr>
          <w:rFonts w:ascii="Palatino Linotype" w:eastAsia="SimSun" w:hAnsi="Palatino Linotype"/>
          <w:spacing w:val="-1"/>
          <w:sz w:val="22"/>
          <w:szCs w:val="22"/>
          <w:lang w:eastAsia="en-US"/>
        </w:rPr>
        <w:t xml:space="preserve"> </w:t>
      </w:r>
      <w:r w:rsidRPr="00043E5E">
        <w:rPr>
          <w:rFonts w:ascii="Palatino Linotype" w:eastAsia="SimSun" w:hAnsi="Palatino Linotype"/>
          <w:sz w:val="22"/>
          <w:szCs w:val="22"/>
          <w:lang w:eastAsia="en-US"/>
        </w:rPr>
        <w:t>Metropolitano</w:t>
      </w:r>
      <w:r w:rsidRPr="00043E5E">
        <w:rPr>
          <w:rFonts w:ascii="Palatino Linotype" w:eastAsia="SimSun" w:hAnsi="Palatino Linotype"/>
          <w:spacing w:val="-1"/>
          <w:sz w:val="22"/>
          <w:szCs w:val="22"/>
          <w:lang w:eastAsia="en-US"/>
        </w:rPr>
        <w:t xml:space="preserve"> </w:t>
      </w:r>
      <w:r w:rsidRPr="00043E5E">
        <w:rPr>
          <w:rFonts w:ascii="Palatino Linotype" w:eastAsia="SimSun" w:hAnsi="Palatino Linotype"/>
          <w:sz w:val="22"/>
          <w:szCs w:val="22"/>
          <w:lang w:eastAsia="en-US"/>
        </w:rPr>
        <w:t>de</w:t>
      </w:r>
      <w:r w:rsidRPr="00043E5E">
        <w:rPr>
          <w:rFonts w:ascii="Palatino Linotype" w:eastAsia="SimSun" w:hAnsi="Palatino Linotype"/>
          <w:spacing w:val="-3"/>
          <w:sz w:val="22"/>
          <w:szCs w:val="22"/>
          <w:lang w:eastAsia="en-US"/>
        </w:rPr>
        <w:t xml:space="preserve"> </w:t>
      </w:r>
      <w:r w:rsidRPr="00043E5E">
        <w:rPr>
          <w:rFonts w:ascii="Palatino Linotype" w:eastAsia="SimSun" w:hAnsi="Palatino Linotype"/>
          <w:sz w:val="22"/>
          <w:szCs w:val="22"/>
          <w:lang w:eastAsia="en-US"/>
        </w:rPr>
        <w:t xml:space="preserve">Quito, </w:t>
      </w:r>
      <w:r w:rsidR="00B6485C" w:rsidRPr="00043E5E">
        <w:rPr>
          <w:rFonts w:ascii="Palatino Linotype" w:hAnsi="Palatino Linotype"/>
          <w:sz w:val="22"/>
          <w:szCs w:val="22"/>
        </w:rPr>
        <w:t xml:space="preserve">xx </w:t>
      </w:r>
      <w:r w:rsidRPr="00043E5E">
        <w:rPr>
          <w:rFonts w:ascii="Palatino Linotype" w:hAnsi="Palatino Linotype"/>
          <w:sz w:val="22"/>
          <w:szCs w:val="22"/>
        </w:rPr>
        <w:t xml:space="preserve">de </w:t>
      </w:r>
      <w:r w:rsidR="00B6485C" w:rsidRPr="00043E5E">
        <w:rPr>
          <w:rFonts w:ascii="Palatino Linotype" w:hAnsi="Palatino Linotype"/>
          <w:sz w:val="22"/>
          <w:szCs w:val="22"/>
        </w:rPr>
        <w:t xml:space="preserve">xxxx </w:t>
      </w:r>
      <w:r w:rsidRPr="00043E5E">
        <w:rPr>
          <w:rFonts w:ascii="Palatino Linotype" w:hAnsi="Palatino Linotype"/>
          <w:sz w:val="22"/>
          <w:szCs w:val="22"/>
        </w:rPr>
        <w:t>de 2023.</w:t>
      </w:r>
    </w:p>
    <w:p w14:paraId="66C94AAC" w14:textId="77777777" w:rsidR="00327A8D" w:rsidRPr="00043E5E" w:rsidRDefault="00327A8D" w:rsidP="00327A8D">
      <w:pPr>
        <w:jc w:val="both"/>
        <w:rPr>
          <w:rFonts w:ascii="Palatino Linotype" w:hAnsi="Palatino Linotype"/>
          <w:sz w:val="22"/>
          <w:szCs w:val="22"/>
          <w:highlight w:val="yellow"/>
        </w:rPr>
      </w:pPr>
      <w:r w:rsidRPr="00043E5E">
        <w:rPr>
          <w:rFonts w:ascii="Palatino Linotype" w:hAnsi="Palatino Linotype"/>
          <w:sz w:val="22"/>
          <w:szCs w:val="22"/>
          <w:highlight w:val="yellow"/>
        </w:rPr>
        <w:t xml:space="preserve"> </w:t>
      </w:r>
    </w:p>
    <w:p w14:paraId="5342991A" w14:textId="77777777" w:rsidR="00327A8D" w:rsidRPr="00043E5E" w:rsidRDefault="00327A8D" w:rsidP="00327A8D">
      <w:pPr>
        <w:jc w:val="both"/>
        <w:rPr>
          <w:rFonts w:ascii="Palatino Linotype" w:hAnsi="Palatino Linotype"/>
          <w:sz w:val="22"/>
          <w:szCs w:val="22"/>
          <w:highlight w:val="yellow"/>
        </w:rPr>
      </w:pPr>
    </w:p>
    <w:p w14:paraId="3CF85482" w14:textId="77777777" w:rsidR="00327A8D" w:rsidRPr="00043E5E" w:rsidRDefault="00327A8D" w:rsidP="00327A8D">
      <w:pPr>
        <w:jc w:val="both"/>
        <w:rPr>
          <w:rFonts w:ascii="Palatino Linotype" w:hAnsi="Palatino Linotype"/>
          <w:sz w:val="22"/>
          <w:szCs w:val="22"/>
          <w:highlight w:val="yellow"/>
        </w:rPr>
      </w:pPr>
      <w:r w:rsidRPr="00043E5E">
        <w:rPr>
          <w:rFonts w:ascii="Palatino Linotype" w:hAnsi="Palatino Linotype"/>
          <w:sz w:val="22"/>
          <w:szCs w:val="22"/>
          <w:highlight w:val="yellow"/>
        </w:rPr>
        <w:t xml:space="preserve"> </w:t>
      </w:r>
    </w:p>
    <w:p w14:paraId="1DCEE5CE" w14:textId="77777777" w:rsidR="00327A8D" w:rsidRPr="00043E5E" w:rsidRDefault="00327A8D" w:rsidP="00327A8D">
      <w:pPr>
        <w:jc w:val="center"/>
        <w:rPr>
          <w:rFonts w:ascii="Palatino Linotype" w:hAnsi="Palatino Linotype"/>
          <w:sz w:val="22"/>
          <w:szCs w:val="22"/>
        </w:rPr>
      </w:pPr>
      <w:r w:rsidRPr="00043E5E">
        <w:rPr>
          <w:rFonts w:ascii="Palatino Linotype" w:hAnsi="Palatino Linotype"/>
          <w:sz w:val="22"/>
          <w:szCs w:val="22"/>
        </w:rPr>
        <w:t xml:space="preserve">Dra. </w:t>
      </w:r>
      <w:r w:rsidRPr="00043E5E">
        <w:rPr>
          <w:rFonts w:ascii="Palatino Linotype" w:hAnsi="Palatino Linotype" w:cs="Arial"/>
          <w:color w:val="000000"/>
          <w:sz w:val="22"/>
          <w:szCs w:val="22"/>
          <w:shd w:val="clear" w:color="auto" w:fill="FFFFFF"/>
        </w:rPr>
        <w:t>Libia Rivas Ordóñez</w:t>
      </w:r>
    </w:p>
    <w:p w14:paraId="2552DCDD" w14:textId="77777777" w:rsidR="00327A8D" w:rsidRPr="00043E5E" w:rsidRDefault="00327A8D" w:rsidP="00327A8D">
      <w:pPr>
        <w:ind w:left="5"/>
        <w:jc w:val="center"/>
        <w:rPr>
          <w:rFonts w:ascii="Palatino Linotype" w:hAnsi="Palatino Linotype" w:cs="Arial"/>
          <w:bCs/>
          <w:sz w:val="22"/>
          <w:szCs w:val="22"/>
        </w:rPr>
      </w:pPr>
      <w:r w:rsidRPr="00043E5E">
        <w:rPr>
          <w:rFonts w:ascii="Palatino Linotype" w:hAnsi="Palatino Linotype"/>
          <w:b/>
          <w:sz w:val="22"/>
          <w:szCs w:val="22"/>
          <w:lang w:eastAsia="en-US"/>
        </w:rPr>
        <w:t>SECRETARIA GENERAL DEL CONCEJO METROPOLITANO</w:t>
      </w:r>
    </w:p>
    <w:p w14:paraId="76EFD9A2" w14:textId="77777777" w:rsidR="00327A8D" w:rsidRPr="00043E5E" w:rsidRDefault="00327A8D" w:rsidP="00327A8D">
      <w:pPr>
        <w:ind w:left="-5"/>
        <w:jc w:val="both"/>
        <w:rPr>
          <w:rFonts w:ascii="Palatino Linotype" w:eastAsia="Calibri" w:hAnsi="Palatino Linotype"/>
          <w:b/>
          <w:sz w:val="22"/>
          <w:szCs w:val="22"/>
          <w:lang w:eastAsia="en-US"/>
        </w:rPr>
      </w:pPr>
    </w:p>
    <w:bookmarkEnd w:id="0"/>
    <w:p w14:paraId="6A7D0366" w14:textId="77777777" w:rsidR="00751D1C" w:rsidRPr="00043E5E" w:rsidRDefault="00751D1C" w:rsidP="00327A8D">
      <w:pPr>
        <w:autoSpaceDE w:val="0"/>
        <w:autoSpaceDN w:val="0"/>
        <w:adjustRightInd w:val="0"/>
        <w:jc w:val="both"/>
        <w:rPr>
          <w:rFonts w:ascii="Palatino Linotype" w:eastAsia="Calibri" w:hAnsi="Palatino Linotype"/>
          <w:b/>
          <w:sz w:val="22"/>
          <w:szCs w:val="22"/>
          <w:lang w:eastAsia="en-US"/>
        </w:rPr>
      </w:pPr>
    </w:p>
    <w:sectPr w:rsidR="00751D1C" w:rsidRPr="00043E5E" w:rsidSect="005D2467">
      <w:headerReference w:type="default" r:id="rId11"/>
      <w:footerReference w:type="default" r:id="rId12"/>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41D1" w14:textId="77777777" w:rsidR="00B7615B" w:rsidRDefault="00B7615B">
      <w:r>
        <w:separator/>
      </w:r>
    </w:p>
  </w:endnote>
  <w:endnote w:type="continuationSeparator" w:id="0">
    <w:p w14:paraId="003E97C6" w14:textId="77777777" w:rsidR="00B7615B" w:rsidRDefault="00B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289E256C" w14:textId="78CB7D07" w:rsidR="00707DE5" w:rsidRDefault="00C926A0">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043E5E">
              <w:rPr>
                <w:rFonts w:ascii="Palatino Linotype" w:hAnsi="Palatino Linotype"/>
                <w:b/>
                <w:bCs/>
                <w:noProof/>
                <w:sz w:val="20"/>
                <w:szCs w:val="20"/>
              </w:rPr>
              <w:t>9</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043E5E">
              <w:rPr>
                <w:rFonts w:ascii="Palatino Linotype" w:hAnsi="Palatino Linotype"/>
                <w:b/>
                <w:bCs/>
                <w:noProof/>
                <w:sz w:val="20"/>
                <w:szCs w:val="20"/>
              </w:rPr>
              <w:t>9</w:t>
            </w:r>
            <w:r w:rsidRPr="00707DE5">
              <w:rPr>
                <w:rFonts w:ascii="Palatino Linotype" w:hAnsi="Palatino Linotype"/>
                <w:b/>
                <w:bCs/>
                <w:sz w:val="20"/>
                <w:szCs w:val="20"/>
              </w:rPr>
              <w:fldChar w:fldCharType="end"/>
            </w:r>
          </w:p>
          <w:p w14:paraId="560E604C" w14:textId="77777777" w:rsidR="005D2467" w:rsidRPr="008479FB" w:rsidRDefault="00B7615B">
            <w:pPr>
              <w:pStyle w:val="Piedepgina"/>
              <w:jc w:val="right"/>
              <w:rPr>
                <w:rFonts w:ascii="Palatino Linotype" w:hAnsi="Palatino Linotype"/>
                <w:sz w:val="20"/>
                <w:szCs w:val="20"/>
              </w:rPr>
            </w:pPr>
          </w:p>
        </w:sdtContent>
      </w:sdt>
    </w:sdtContent>
  </w:sdt>
  <w:p w14:paraId="00912911" w14:textId="77777777" w:rsidR="005D2467" w:rsidRPr="008479FB" w:rsidRDefault="00B7615B">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5AF6" w14:textId="77777777" w:rsidR="00B7615B" w:rsidRDefault="00B7615B">
      <w:r>
        <w:separator/>
      </w:r>
    </w:p>
  </w:footnote>
  <w:footnote w:type="continuationSeparator" w:id="0">
    <w:p w14:paraId="75165AE1" w14:textId="77777777" w:rsidR="00B7615B" w:rsidRDefault="00B76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E86" w14:textId="77777777" w:rsidR="00327A8D" w:rsidRPr="00327A8D" w:rsidRDefault="00327A8D" w:rsidP="00327A8D">
    <w:pPr>
      <w:pStyle w:val="Encabezado"/>
      <w:rPr>
        <w:sz w:val="22"/>
        <w:szCs w:val="22"/>
      </w:rPr>
    </w:pPr>
    <w:r w:rsidRPr="00327A8D">
      <w:rPr>
        <w:rFonts w:ascii="Palatino Linotype" w:hAnsi="Palatino Linotype"/>
        <w:b/>
        <w:noProof/>
        <w:sz w:val="22"/>
        <w:szCs w:val="22"/>
        <w:lang w:eastAsia="es-EC"/>
      </w:rPr>
      <w:drawing>
        <wp:anchor distT="0" distB="0" distL="114300" distR="114300" simplePos="0" relativeHeight="251658240" behindDoc="0" locked="0" layoutInCell="1" allowOverlap="1" wp14:anchorId="3B0C7F61" wp14:editId="697F7118">
          <wp:simplePos x="0" y="0"/>
          <wp:positionH relativeFrom="margin">
            <wp:align>center</wp:align>
          </wp:positionH>
          <wp:positionV relativeFrom="paragraph">
            <wp:posOffset>2540</wp:posOffset>
          </wp:positionV>
          <wp:extent cx="673735" cy="990600"/>
          <wp:effectExtent l="0" t="0" r="0" b="0"/>
          <wp:wrapNone/>
          <wp:docPr id="7" name="Imagen 7"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63A3BE2F" w14:textId="77777777" w:rsidR="00327A8D" w:rsidRPr="00327A8D" w:rsidRDefault="00327A8D" w:rsidP="00327A8D">
    <w:pPr>
      <w:pStyle w:val="Encabezado"/>
      <w:rPr>
        <w:sz w:val="22"/>
        <w:szCs w:val="22"/>
      </w:rPr>
    </w:pPr>
  </w:p>
  <w:p w14:paraId="1BC3F34F" w14:textId="77777777" w:rsidR="00327A8D" w:rsidRPr="00327A8D" w:rsidRDefault="00327A8D" w:rsidP="00327A8D">
    <w:pPr>
      <w:pStyle w:val="Encabezado"/>
      <w:rPr>
        <w:sz w:val="22"/>
        <w:szCs w:val="22"/>
      </w:rPr>
    </w:pPr>
  </w:p>
  <w:p w14:paraId="4759D632" w14:textId="77777777" w:rsidR="00327A8D" w:rsidRPr="00327A8D" w:rsidRDefault="00327A8D" w:rsidP="00327A8D">
    <w:pPr>
      <w:pStyle w:val="Encabezado"/>
      <w:rPr>
        <w:sz w:val="22"/>
        <w:szCs w:val="22"/>
      </w:rPr>
    </w:pPr>
  </w:p>
  <w:p w14:paraId="5C7B145A" w14:textId="77777777" w:rsidR="00327A8D" w:rsidRPr="00327A8D" w:rsidRDefault="00327A8D" w:rsidP="00327A8D">
    <w:pPr>
      <w:pStyle w:val="Encabezado"/>
      <w:rPr>
        <w:sz w:val="22"/>
        <w:szCs w:val="22"/>
      </w:rPr>
    </w:pPr>
  </w:p>
  <w:p w14:paraId="78C8B8E1" w14:textId="77777777" w:rsidR="00327A8D" w:rsidRPr="00327A8D" w:rsidRDefault="00327A8D" w:rsidP="00327A8D">
    <w:pPr>
      <w:pStyle w:val="Encabezado"/>
      <w:rPr>
        <w:sz w:val="22"/>
        <w:szCs w:val="22"/>
      </w:rPr>
    </w:pPr>
  </w:p>
  <w:p w14:paraId="47697710" w14:textId="4D00B29D" w:rsidR="00327A8D" w:rsidRPr="00327A8D" w:rsidRDefault="00327A8D" w:rsidP="00327A8D">
    <w:pPr>
      <w:jc w:val="center"/>
      <w:rPr>
        <w:rFonts w:ascii="Palatino Linotype" w:hAnsi="Palatino Linotype"/>
        <w:b/>
        <w:bCs/>
        <w:sz w:val="22"/>
        <w:szCs w:val="22"/>
      </w:rPr>
    </w:pPr>
    <w:r w:rsidRPr="00327A8D">
      <w:rPr>
        <w:rFonts w:ascii="Palatino Linotype" w:hAnsi="Palatino Linotype"/>
        <w:b/>
        <w:bCs/>
        <w:sz w:val="22"/>
        <w:szCs w:val="22"/>
      </w:rPr>
      <w:t>RESOLUCIÓN No. CDMQ-0</w:t>
    </w:r>
    <w:r w:rsidR="00992458">
      <w:rPr>
        <w:rFonts w:ascii="Palatino Linotype" w:hAnsi="Palatino Linotype"/>
        <w:b/>
        <w:bCs/>
        <w:sz w:val="22"/>
        <w:szCs w:val="22"/>
      </w:rPr>
      <w:t>1</w:t>
    </w:r>
    <w:r w:rsidR="007E108B">
      <w:rPr>
        <w:rFonts w:ascii="Palatino Linotype" w:hAnsi="Palatino Linotype"/>
        <w:b/>
        <w:bCs/>
        <w:sz w:val="22"/>
        <w:szCs w:val="22"/>
      </w:rPr>
      <w:t>2</w:t>
    </w:r>
    <w:r w:rsidRPr="00327A8D">
      <w:rPr>
        <w:rFonts w:ascii="Palatino Linotype" w:hAnsi="Palatino Linotype"/>
        <w:b/>
        <w:bCs/>
        <w:sz w:val="22"/>
        <w:szCs w:val="22"/>
      </w:rPr>
      <w:t>-2023</w:t>
    </w:r>
  </w:p>
  <w:p w14:paraId="34098D3C" w14:textId="77777777" w:rsidR="005D2467" w:rsidRPr="00327A8D" w:rsidRDefault="00B7615B">
    <w:pPr>
      <w:pStyle w:val="Encabezado"/>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582"/>
    <w:multiLevelType w:val="hybridMultilevel"/>
    <w:tmpl w:val="5816B0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4261E92"/>
    <w:multiLevelType w:val="hybridMultilevel"/>
    <w:tmpl w:val="EAA2EC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0"/>
    <w:rsid w:val="00002910"/>
    <w:rsid w:val="00006A5E"/>
    <w:rsid w:val="000077F9"/>
    <w:rsid w:val="000251CF"/>
    <w:rsid w:val="000264CB"/>
    <w:rsid w:val="00027D50"/>
    <w:rsid w:val="00030386"/>
    <w:rsid w:val="00035E6C"/>
    <w:rsid w:val="0004203F"/>
    <w:rsid w:val="00043E5E"/>
    <w:rsid w:val="00063D30"/>
    <w:rsid w:val="00067AEE"/>
    <w:rsid w:val="0008033C"/>
    <w:rsid w:val="0008254A"/>
    <w:rsid w:val="00090B3D"/>
    <w:rsid w:val="00090E26"/>
    <w:rsid w:val="000944D7"/>
    <w:rsid w:val="00097C9B"/>
    <w:rsid w:val="000A17A7"/>
    <w:rsid w:val="000A6FF4"/>
    <w:rsid w:val="000A70A0"/>
    <w:rsid w:val="000A7B91"/>
    <w:rsid w:val="000B4CF2"/>
    <w:rsid w:val="000D4771"/>
    <w:rsid w:val="000D77BB"/>
    <w:rsid w:val="000E08D9"/>
    <w:rsid w:val="000E121C"/>
    <w:rsid w:val="000E205E"/>
    <w:rsid w:val="000E4614"/>
    <w:rsid w:val="000F65A2"/>
    <w:rsid w:val="000F6E07"/>
    <w:rsid w:val="00115787"/>
    <w:rsid w:val="0013405F"/>
    <w:rsid w:val="0013624A"/>
    <w:rsid w:val="001439C8"/>
    <w:rsid w:val="00144CDC"/>
    <w:rsid w:val="00144F8A"/>
    <w:rsid w:val="0017481B"/>
    <w:rsid w:val="001A01E2"/>
    <w:rsid w:val="001A17A7"/>
    <w:rsid w:val="001A2E60"/>
    <w:rsid w:val="001A5724"/>
    <w:rsid w:val="001A7D4B"/>
    <w:rsid w:val="001B2FFD"/>
    <w:rsid w:val="001B3818"/>
    <w:rsid w:val="001C1FC7"/>
    <w:rsid w:val="001C7456"/>
    <w:rsid w:val="001E2F60"/>
    <w:rsid w:val="001F679D"/>
    <w:rsid w:val="001F733D"/>
    <w:rsid w:val="00207479"/>
    <w:rsid w:val="00224DF1"/>
    <w:rsid w:val="00236DB4"/>
    <w:rsid w:val="0024026A"/>
    <w:rsid w:val="0024403E"/>
    <w:rsid w:val="00245D20"/>
    <w:rsid w:val="00252078"/>
    <w:rsid w:val="00253AA5"/>
    <w:rsid w:val="002612AA"/>
    <w:rsid w:val="0026215F"/>
    <w:rsid w:val="00264155"/>
    <w:rsid w:val="00283EDC"/>
    <w:rsid w:val="00285F94"/>
    <w:rsid w:val="00290050"/>
    <w:rsid w:val="00296140"/>
    <w:rsid w:val="00296D2E"/>
    <w:rsid w:val="00297B92"/>
    <w:rsid w:val="002C44A1"/>
    <w:rsid w:val="002D4C5C"/>
    <w:rsid w:val="002E4C52"/>
    <w:rsid w:val="002F2CCA"/>
    <w:rsid w:val="002F7AF5"/>
    <w:rsid w:val="00306191"/>
    <w:rsid w:val="00313677"/>
    <w:rsid w:val="003210C2"/>
    <w:rsid w:val="00327A8D"/>
    <w:rsid w:val="00336073"/>
    <w:rsid w:val="00343222"/>
    <w:rsid w:val="00345885"/>
    <w:rsid w:val="00360B0F"/>
    <w:rsid w:val="0037750B"/>
    <w:rsid w:val="00377FC8"/>
    <w:rsid w:val="003A3AD1"/>
    <w:rsid w:val="003E3BAD"/>
    <w:rsid w:val="003F5CAC"/>
    <w:rsid w:val="004014CA"/>
    <w:rsid w:val="00401F50"/>
    <w:rsid w:val="00406F51"/>
    <w:rsid w:val="0041222E"/>
    <w:rsid w:val="0042799B"/>
    <w:rsid w:val="004306D0"/>
    <w:rsid w:val="004336C0"/>
    <w:rsid w:val="00445381"/>
    <w:rsid w:val="004553DB"/>
    <w:rsid w:val="0046585A"/>
    <w:rsid w:val="00470AD9"/>
    <w:rsid w:val="00481F59"/>
    <w:rsid w:val="00483541"/>
    <w:rsid w:val="00495B8D"/>
    <w:rsid w:val="004A628F"/>
    <w:rsid w:val="004B008D"/>
    <w:rsid w:val="004B2063"/>
    <w:rsid w:val="004C50EC"/>
    <w:rsid w:val="004E2C3F"/>
    <w:rsid w:val="004E5798"/>
    <w:rsid w:val="004E76E0"/>
    <w:rsid w:val="004F5036"/>
    <w:rsid w:val="004F7209"/>
    <w:rsid w:val="00511047"/>
    <w:rsid w:val="00525A48"/>
    <w:rsid w:val="00532857"/>
    <w:rsid w:val="005403B2"/>
    <w:rsid w:val="0054446B"/>
    <w:rsid w:val="00552CDD"/>
    <w:rsid w:val="0056686B"/>
    <w:rsid w:val="005720AF"/>
    <w:rsid w:val="00587223"/>
    <w:rsid w:val="005A0BB9"/>
    <w:rsid w:val="005A6B15"/>
    <w:rsid w:val="005B6971"/>
    <w:rsid w:val="005B6E19"/>
    <w:rsid w:val="005B7C5B"/>
    <w:rsid w:val="005C1D48"/>
    <w:rsid w:val="005C419B"/>
    <w:rsid w:val="005C6371"/>
    <w:rsid w:val="005C733B"/>
    <w:rsid w:val="005D1661"/>
    <w:rsid w:val="005D3837"/>
    <w:rsid w:val="005D5471"/>
    <w:rsid w:val="005E4F19"/>
    <w:rsid w:val="005E6A39"/>
    <w:rsid w:val="005F36E3"/>
    <w:rsid w:val="00606C06"/>
    <w:rsid w:val="00607035"/>
    <w:rsid w:val="00617C1E"/>
    <w:rsid w:val="006318A2"/>
    <w:rsid w:val="00633AF6"/>
    <w:rsid w:val="00633ECE"/>
    <w:rsid w:val="00636664"/>
    <w:rsid w:val="00662D01"/>
    <w:rsid w:val="00673059"/>
    <w:rsid w:val="00677109"/>
    <w:rsid w:val="00681133"/>
    <w:rsid w:val="006861DE"/>
    <w:rsid w:val="00687C0C"/>
    <w:rsid w:val="0069369A"/>
    <w:rsid w:val="00693708"/>
    <w:rsid w:val="00694141"/>
    <w:rsid w:val="00696649"/>
    <w:rsid w:val="006A6DA4"/>
    <w:rsid w:val="006B3C18"/>
    <w:rsid w:val="006C4379"/>
    <w:rsid w:val="006C76D0"/>
    <w:rsid w:val="006E179D"/>
    <w:rsid w:val="006E34DC"/>
    <w:rsid w:val="006E6E30"/>
    <w:rsid w:val="006F674D"/>
    <w:rsid w:val="00707BCF"/>
    <w:rsid w:val="007115CA"/>
    <w:rsid w:val="0071609F"/>
    <w:rsid w:val="00726973"/>
    <w:rsid w:val="007315B0"/>
    <w:rsid w:val="007342B4"/>
    <w:rsid w:val="007401E1"/>
    <w:rsid w:val="00740EE8"/>
    <w:rsid w:val="00745751"/>
    <w:rsid w:val="007500BA"/>
    <w:rsid w:val="00751D1C"/>
    <w:rsid w:val="00755448"/>
    <w:rsid w:val="00757091"/>
    <w:rsid w:val="00764F2A"/>
    <w:rsid w:val="00782943"/>
    <w:rsid w:val="0078423B"/>
    <w:rsid w:val="00785C49"/>
    <w:rsid w:val="007B4D6C"/>
    <w:rsid w:val="007C3147"/>
    <w:rsid w:val="007D2680"/>
    <w:rsid w:val="007D2D4F"/>
    <w:rsid w:val="007E108B"/>
    <w:rsid w:val="007E60E9"/>
    <w:rsid w:val="007F4625"/>
    <w:rsid w:val="00804355"/>
    <w:rsid w:val="008044F7"/>
    <w:rsid w:val="00805221"/>
    <w:rsid w:val="0081380B"/>
    <w:rsid w:val="0082482D"/>
    <w:rsid w:val="00825292"/>
    <w:rsid w:val="00826061"/>
    <w:rsid w:val="00832D35"/>
    <w:rsid w:val="00846624"/>
    <w:rsid w:val="008536F4"/>
    <w:rsid w:val="00854CBC"/>
    <w:rsid w:val="00855B0B"/>
    <w:rsid w:val="00862F11"/>
    <w:rsid w:val="00865AB0"/>
    <w:rsid w:val="0087756E"/>
    <w:rsid w:val="008824CB"/>
    <w:rsid w:val="008834D1"/>
    <w:rsid w:val="008835E2"/>
    <w:rsid w:val="0088782F"/>
    <w:rsid w:val="00893065"/>
    <w:rsid w:val="00893F13"/>
    <w:rsid w:val="008A3F72"/>
    <w:rsid w:val="008B4153"/>
    <w:rsid w:val="008D6AA3"/>
    <w:rsid w:val="008E05AA"/>
    <w:rsid w:val="009023EB"/>
    <w:rsid w:val="00904949"/>
    <w:rsid w:val="00907185"/>
    <w:rsid w:val="009213B4"/>
    <w:rsid w:val="0093701E"/>
    <w:rsid w:val="009401D2"/>
    <w:rsid w:val="00942032"/>
    <w:rsid w:val="00953717"/>
    <w:rsid w:val="009551FC"/>
    <w:rsid w:val="0096109F"/>
    <w:rsid w:val="00962351"/>
    <w:rsid w:val="00973515"/>
    <w:rsid w:val="0097359A"/>
    <w:rsid w:val="00975CA7"/>
    <w:rsid w:val="00983736"/>
    <w:rsid w:val="009859A6"/>
    <w:rsid w:val="0098647F"/>
    <w:rsid w:val="00992458"/>
    <w:rsid w:val="00993181"/>
    <w:rsid w:val="0099372E"/>
    <w:rsid w:val="0099702E"/>
    <w:rsid w:val="009A0658"/>
    <w:rsid w:val="009C157E"/>
    <w:rsid w:val="009C184A"/>
    <w:rsid w:val="009D5D6C"/>
    <w:rsid w:val="009D76A5"/>
    <w:rsid w:val="009E1D0C"/>
    <w:rsid w:val="009E7CCA"/>
    <w:rsid w:val="009F1F87"/>
    <w:rsid w:val="009F6F24"/>
    <w:rsid w:val="00A23206"/>
    <w:rsid w:val="00A300F6"/>
    <w:rsid w:val="00A35D24"/>
    <w:rsid w:val="00A42FBD"/>
    <w:rsid w:val="00A45C33"/>
    <w:rsid w:val="00A46D4C"/>
    <w:rsid w:val="00A47D5C"/>
    <w:rsid w:val="00A53B09"/>
    <w:rsid w:val="00A55032"/>
    <w:rsid w:val="00A56888"/>
    <w:rsid w:val="00A60EBB"/>
    <w:rsid w:val="00A654D7"/>
    <w:rsid w:val="00A66C89"/>
    <w:rsid w:val="00A76A16"/>
    <w:rsid w:val="00A873C9"/>
    <w:rsid w:val="00AA23EE"/>
    <w:rsid w:val="00AA2620"/>
    <w:rsid w:val="00AA61B2"/>
    <w:rsid w:val="00AB0644"/>
    <w:rsid w:val="00AC0982"/>
    <w:rsid w:val="00AC4B2C"/>
    <w:rsid w:val="00AD0CAC"/>
    <w:rsid w:val="00AD1557"/>
    <w:rsid w:val="00AD767B"/>
    <w:rsid w:val="00AE18B4"/>
    <w:rsid w:val="00AE1F80"/>
    <w:rsid w:val="00AE320F"/>
    <w:rsid w:val="00AE5A20"/>
    <w:rsid w:val="00AE5F25"/>
    <w:rsid w:val="00B007F0"/>
    <w:rsid w:val="00B0169E"/>
    <w:rsid w:val="00B10E7C"/>
    <w:rsid w:val="00B12DD9"/>
    <w:rsid w:val="00B27543"/>
    <w:rsid w:val="00B35D39"/>
    <w:rsid w:val="00B418BF"/>
    <w:rsid w:val="00B46254"/>
    <w:rsid w:val="00B5446C"/>
    <w:rsid w:val="00B6485C"/>
    <w:rsid w:val="00B706B2"/>
    <w:rsid w:val="00B748ED"/>
    <w:rsid w:val="00B7615B"/>
    <w:rsid w:val="00B84C96"/>
    <w:rsid w:val="00B9672E"/>
    <w:rsid w:val="00BA3CE3"/>
    <w:rsid w:val="00BA63E5"/>
    <w:rsid w:val="00BD292F"/>
    <w:rsid w:val="00BD7EFF"/>
    <w:rsid w:val="00BF4249"/>
    <w:rsid w:val="00C2568C"/>
    <w:rsid w:val="00C261A8"/>
    <w:rsid w:val="00C268C2"/>
    <w:rsid w:val="00C2794C"/>
    <w:rsid w:val="00C31C0C"/>
    <w:rsid w:val="00C469C4"/>
    <w:rsid w:val="00C4735F"/>
    <w:rsid w:val="00C600A8"/>
    <w:rsid w:val="00C62460"/>
    <w:rsid w:val="00C62E1F"/>
    <w:rsid w:val="00C7771D"/>
    <w:rsid w:val="00C77EE7"/>
    <w:rsid w:val="00C82C59"/>
    <w:rsid w:val="00C926A0"/>
    <w:rsid w:val="00C9395C"/>
    <w:rsid w:val="00CB1FAE"/>
    <w:rsid w:val="00CB5779"/>
    <w:rsid w:val="00CB60CC"/>
    <w:rsid w:val="00CD51C7"/>
    <w:rsid w:val="00CF05C8"/>
    <w:rsid w:val="00CF748D"/>
    <w:rsid w:val="00D04CDD"/>
    <w:rsid w:val="00D1552F"/>
    <w:rsid w:val="00D23C29"/>
    <w:rsid w:val="00D4445E"/>
    <w:rsid w:val="00D46415"/>
    <w:rsid w:val="00D51120"/>
    <w:rsid w:val="00D5311D"/>
    <w:rsid w:val="00D57722"/>
    <w:rsid w:val="00D64A4C"/>
    <w:rsid w:val="00D85175"/>
    <w:rsid w:val="00D85433"/>
    <w:rsid w:val="00D86EE7"/>
    <w:rsid w:val="00DA4995"/>
    <w:rsid w:val="00DB0141"/>
    <w:rsid w:val="00DB07F4"/>
    <w:rsid w:val="00DB392E"/>
    <w:rsid w:val="00DB552C"/>
    <w:rsid w:val="00DC5625"/>
    <w:rsid w:val="00DD0991"/>
    <w:rsid w:val="00DD5FF2"/>
    <w:rsid w:val="00DD607C"/>
    <w:rsid w:val="00DE0B90"/>
    <w:rsid w:val="00DE3119"/>
    <w:rsid w:val="00DF0B4F"/>
    <w:rsid w:val="00E02AE3"/>
    <w:rsid w:val="00E06ECD"/>
    <w:rsid w:val="00E22628"/>
    <w:rsid w:val="00E2458D"/>
    <w:rsid w:val="00E26C80"/>
    <w:rsid w:val="00E332EA"/>
    <w:rsid w:val="00E41B4B"/>
    <w:rsid w:val="00E46A96"/>
    <w:rsid w:val="00E506C6"/>
    <w:rsid w:val="00E5406F"/>
    <w:rsid w:val="00E64E46"/>
    <w:rsid w:val="00E65833"/>
    <w:rsid w:val="00E81779"/>
    <w:rsid w:val="00E81F93"/>
    <w:rsid w:val="00E84326"/>
    <w:rsid w:val="00E8728C"/>
    <w:rsid w:val="00E97A2B"/>
    <w:rsid w:val="00EA20CF"/>
    <w:rsid w:val="00EA337F"/>
    <w:rsid w:val="00EA5D12"/>
    <w:rsid w:val="00EB7956"/>
    <w:rsid w:val="00EC6091"/>
    <w:rsid w:val="00EE4C7B"/>
    <w:rsid w:val="00EF6F62"/>
    <w:rsid w:val="00F073C7"/>
    <w:rsid w:val="00F27EBD"/>
    <w:rsid w:val="00F33C5B"/>
    <w:rsid w:val="00F5205A"/>
    <w:rsid w:val="00F6236F"/>
    <w:rsid w:val="00F64624"/>
    <w:rsid w:val="00F72AA1"/>
    <w:rsid w:val="00F92DB4"/>
    <w:rsid w:val="00F9391B"/>
    <w:rsid w:val="00F950D9"/>
    <w:rsid w:val="00FA7F92"/>
    <w:rsid w:val="00FB0612"/>
    <w:rsid w:val="00FB22AA"/>
    <w:rsid w:val="00FB2C86"/>
    <w:rsid w:val="00FC3E6E"/>
    <w:rsid w:val="00FD6ECF"/>
    <w:rsid w:val="00FE0EAD"/>
    <w:rsid w:val="00FE1203"/>
    <w:rsid w:val="00FE3412"/>
    <w:rsid w:val="00FE4F27"/>
    <w:rsid w:val="00FF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532"/>
  <w15:docId w15:val="{056DDC9B-0919-4E0E-AF71-A543C73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A0"/>
    <w:pPr>
      <w:spacing w:after="0" w:line="240" w:lineRule="auto"/>
    </w:pPr>
    <w:rPr>
      <w:rFonts w:ascii="Times New Roman" w:eastAsia="Times New Roman" w:hAnsi="Times New Roman" w:cs="Times New Roman"/>
      <w:sz w:val="24"/>
      <w:szCs w:val="24"/>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926A0"/>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C926A0"/>
    <w:rPr>
      <w:sz w:val="20"/>
      <w:szCs w:val="20"/>
      <w:lang w:val="es-EC"/>
    </w:rPr>
  </w:style>
  <w:style w:type="paragraph" w:styleId="Piedepgina">
    <w:name w:val="footer"/>
    <w:basedOn w:val="Normal"/>
    <w:link w:val="PiedepginaCar"/>
    <w:uiPriority w:val="99"/>
    <w:unhideWhenUsed/>
    <w:rsid w:val="00C926A0"/>
    <w:pPr>
      <w:tabs>
        <w:tab w:val="center" w:pos="4252"/>
        <w:tab w:val="right" w:pos="8504"/>
      </w:tabs>
    </w:pPr>
  </w:style>
  <w:style w:type="character" w:customStyle="1" w:styleId="PiedepginaCar">
    <w:name w:val="Pie de página Car"/>
    <w:basedOn w:val="Fuentedeprrafopredeter"/>
    <w:link w:val="Piedepgina"/>
    <w:uiPriority w:val="99"/>
    <w:rsid w:val="00C926A0"/>
    <w:rPr>
      <w:rFonts w:ascii="Times New Roman" w:eastAsia="Times New Roman" w:hAnsi="Times New Roman" w:cs="Times New Roman"/>
      <w:sz w:val="24"/>
      <w:szCs w:val="24"/>
      <w:lang w:val="es-EC" w:eastAsia="es-ES_tradnl"/>
    </w:rPr>
  </w:style>
  <w:style w:type="paragraph" w:styleId="Encabezado">
    <w:name w:val="header"/>
    <w:basedOn w:val="Normal"/>
    <w:link w:val="EncabezadoCar"/>
    <w:uiPriority w:val="99"/>
    <w:unhideWhenUsed/>
    <w:rsid w:val="00C926A0"/>
    <w:pPr>
      <w:tabs>
        <w:tab w:val="center" w:pos="4419"/>
        <w:tab w:val="right" w:pos="8838"/>
      </w:tabs>
    </w:pPr>
  </w:style>
  <w:style w:type="character" w:customStyle="1" w:styleId="EncabezadoCar">
    <w:name w:val="Encabezado Car"/>
    <w:basedOn w:val="Fuentedeprrafopredeter"/>
    <w:link w:val="Encabezado"/>
    <w:uiPriority w:val="99"/>
    <w:rsid w:val="00C926A0"/>
    <w:rPr>
      <w:rFonts w:ascii="Times New Roman" w:eastAsia="Times New Roman" w:hAnsi="Times New Roman" w:cs="Times New Roman"/>
      <w:sz w:val="24"/>
      <w:szCs w:val="24"/>
      <w:lang w:val="es-EC" w:eastAsia="es-ES_tradnl"/>
    </w:rPr>
  </w:style>
  <w:style w:type="paragraph" w:styleId="NormalWeb">
    <w:name w:val="Normal (Web)"/>
    <w:basedOn w:val="Normal"/>
    <w:uiPriority w:val="99"/>
    <w:unhideWhenUsed/>
    <w:rsid w:val="00C926A0"/>
    <w:pPr>
      <w:spacing w:before="100" w:beforeAutospacing="1" w:after="100" w:afterAutospacing="1"/>
    </w:pPr>
  </w:style>
  <w:style w:type="paragraph" w:customStyle="1" w:styleId="Default">
    <w:name w:val="Default"/>
    <w:rsid w:val="001F733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Fuentedeprrafopredeter"/>
    <w:rsid w:val="0042799B"/>
  </w:style>
  <w:style w:type="character" w:customStyle="1" w:styleId="highlight">
    <w:name w:val="highlight"/>
    <w:basedOn w:val="Fuentedeprrafopredeter"/>
    <w:rsid w:val="00A76A16"/>
  </w:style>
  <w:style w:type="paragraph" w:styleId="Prrafodelista">
    <w:name w:val="List Paragraph"/>
    <w:basedOn w:val="Normal"/>
    <w:uiPriority w:val="34"/>
    <w:qFormat/>
    <w:rsid w:val="001E2F60"/>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E92DE38B2742903F62AE4D357C16" ma:contentTypeVersion="2" ma:contentTypeDescription="Create a new document." ma:contentTypeScope="" ma:versionID="a83cc4f33d1d24b8c1436bcbdb871e94">
  <xsd:schema xmlns:xsd="http://www.w3.org/2001/XMLSchema" xmlns:xs="http://www.w3.org/2001/XMLSchema" xmlns:p="http://schemas.microsoft.com/office/2006/metadata/properties" xmlns:ns3="e95a06b7-b524-48d0-8cf9-ce1bb41dad24" targetNamespace="http://schemas.microsoft.com/office/2006/metadata/properties" ma:root="true" ma:fieldsID="904b26166f051fa12af3d287b3d9dc63" ns3:_="">
    <xsd:import namespace="e95a06b7-b524-48d0-8cf9-ce1bb41da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06b7-b524-48d0-8cf9-ce1bb41d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375F-3301-496B-B390-D92B9A4B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06b7-b524-48d0-8cf9-ce1bb41d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BF80-CAA1-4C7B-A290-A53E2B6D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A18C-EC02-4FD9-8F01-13505C30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2872</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53</cp:revision>
  <dcterms:created xsi:type="dcterms:W3CDTF">2023-06-05T23:05:00Z</dcterms:created>
  <dcterms:modified xsi:type="dcterms:W3CDTF">2024-05-16T15:49:00Z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0x010100AE0FE92DE38B2742903F62AE4D357C16</vt:lpwstr>
  </property>
</Properties>
</file>