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D" w:rsidRPr="0047453C"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47453C" w:rsidRDefault="00E925BC" w:rsidP="00854F7C">
      <w:pPr>
        <w:jc w:val="center"/>
        <w:rPr>
          <w:b/>
          <w:sz w:val="22"/>
          <w:szCs w:val="22"/>
        </w:rPr>
      </w:pPr>
      <w:r>
        <w:rPr>
          <w:b/>
          <w:sz w:val="22"/>
          <w:szCs w:val="22"/>
        </w:rPr>
        <w:t>MGS. PAVEL MUÑOZ</w:t>
      </w:r>
    </w:p>
    <w:p w:rsidR="00DF5041" w:rsidRPr="0047453C" w:rsidRDefault="00DF5041" w:rsidP="00854F7C">
      <w:pPr>
        <w:jc w:val="center"/>
        <w:rPr>
          <w:b/>
          <w:sz w:val="22"/>
          <w:szCs w:val="22"/>
        </w:rPr>
      </w:pPr>
    </w:p>
    <w:p w:rsidR="00854F7C" w:rsidRPr="0047453C" w:rsidRDefault="00854F7C" w:rsidP="00854F7C">
      <w:pPr>
        <w:jc w:val="center"/>
        <w:rPr>
          <w:sz w:val="22"/>
          <w:szCs w:val="22"/>
        </w:rPr>
      </w:pPr>
      <w:r w:rsidRPr="0047453C">
        <w:rPr>
          <w:b/>
          <w:sz w:val="22"/>
          <w:szCs w:val="22"/>
        </w:rPr>
        <w:t>ALCALDE DEL DISTRITO METROPOLITANO DE QUITO</w:t>
      </w:r>
    </w:p>
    <w:p w:rsidR="00854F7C" w:rsidRPr="0047453C" w:rsidRDefault="00854F7C" w:rsidP="00854F7C">
      <w:pPr>
        <w:jc w:val="center"/>
        <w:rPr>
          <w:b/>
          <w:sz w:val="22"/>
          <w:szCs w:val="22"/>
        </w:rPr>
      </w:pPr>
    </w:p>
    <w:p w:rsidR="00854F7C" w:rsidRPr="0047453C" w:rsidRDefault="00E1069E" w:rsidP="00854F7C">
      <w:pPr>
        <w:jc w:val="center"/>
        <w:rPr>
          <w:b/>
          <w:sz w:val="22"/>
          <w:szCs w:val="22"/>
        </w:rPr>
      </w:pPr>
      <w:r w:rsidRPr="0047453C">
        <w:rPr>
          <w:b/>
          <w:sz w:val="22"/>
          <w:szCs w:val="22"/>
        </w:rPr>
        <w:t>RESOLUCIÓN   No. …………</w:t>
      </w:r>
    </w:p>
    <w:p w:rsidR="00854F7C" w:rsidRPr="0047453C" w:rsidRDefault="00854F7C" w:rsidP="00854F7C">
      <w:pPr>
        <w:tabs>
          <w:tab w:val="left" w:pos="5375"/>
        </w:tabs>
        <w:jc w:val="both"/>
        <w:rPr>
          <w:sz w:val="22"/>
          <w:szCs w:val="22"/>
        </w:rPr>
      </w:pPr>
      <w:r w:rsidRPr="0047453C">
        <w:rPr>
          <w:sz w:val="22"/>
          <w:szCs w:val="22"/>
        </w:rPr>
        <w:tab/>
      </w:r>
    </w:p>
    <w:p w:rsidR="00854F7C" w:rsidRPr="0047453C" w:rsidRDefault="00854F7C" w:rsidP="00854F7C">
      <w:pPr>
        <w:jc w:val="center"/>
        <w:rPr>
          <w:b/>
          <w:sz w:val="22"/>
          <w:szCs w:val="22"/>
        </w:rPr>
      </w:pPr>
      <w:r w:rsidRPr="0047453C">
        <w:rPr>
          <w:b/>
          <w:sz w:val="22"/>
          <w:szCs w:val="22"/>
        </w:rPr>
        <w:t>CONSIDERACIONES:</w:t>
      </w:r>
    </w:p>
    <w:p w:rsidR="00600D8D" w:rsidRPr="0047453C" w:rsidRDefault="00600D8D" w:rsidP="00600D8D">
      <w:pPr>
        <w:autoSpaceDE w:val="0"/>
        <w:autoSpaceDN w:val="0"/>
        <w:adjustRightInd w:val="0"/>
        <w:jc w:val="center"/>
        <w:rPr>
          <w:rFonts w:eastAsiaTheme="minorHAnsi"/>
          <w:b/>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5" w:hanging="705"/>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los numerales 1 y 2 del artículo 264 de la Constitución, disponen: </w:t>
      </w:r>
      <w:r w:rsidRPr="0047453C">
        <w:rPr>
          <w:rFonts w:eastAsiaTheme="minorHAnsi"/>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el artículo 266 de la Constitución, determina: </w:t>
      </w:r>
      <w:r w:rsidRPr="0047453C">
        <w:rPr>
          <w:rFonts w:eastAsiaTheme="minorHAnsi"/>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bookmarkStart w:id="0" w:name="_Hlk51943612"/>
      <w:r w:rsidRPr="0047453C">
        <w:rPr>
          <w:rFonts w:eastAsiaTheme="minorHAnsi"/>
          <w:sz w:val="22"/>
          <w:szCs w:val="22"/>
          <w:lang w:val="es-EC" w:eastAsia="en-US"/>
        </w:rPr>
        <w:t xml:space="preserve">los literales a), d) y v) del artículo 87 del </w:t>
      </w:r>
      <w:r w:rsidR="00131EC9" w:rsidRPr="0047453C">
        <w:rPr>
          <w:rFonts w:eastAsiaTheme="minorHAnsi"/>
          <w:sz w:val="22"/>
          <w:szCs w:val="22"/>
          <w:lang w:val="es-EC" w:eastAsia="en-US"/>
        </w:rPr>
        <w:t xml:space="preserve">Código Orgánico de Ordenamiento Territorial, Autonomía y Descentralización </w:t>
      </w:r>
      <w:r w:rsidRPr="0047453C">
        <w:rPr>
          <w:rFonts w:eastAsiaTheme="minorHAnsi"/>
          <w:sz w:val="22"/>
          <w:szCs w:val="22"/>
          <w:lang w:val="es-EC" w:eastAsia="en-US"/>
        </w:rPr>
        <w:t>COOTAD, señala:</w:t>
      </w:r>
      <w:r w:rsidRPr="0047453C">
        <w:rPr>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47453C">
        <w:rPr>
          <w:rFonts w:eastAsiaTheme="minorHAnsi"/>
          <w:sz w:val="22"/>
          <w:szCs w:val="22"/>
          <w:lang w:val="es-EC" w:eastAsia="en-US"/>
        </w:rPr>
        <w:t xml:space="preserve"> </w:t>
      </w:r>
      <w:r w:rsidRPr="0047453C">
        <w:rPr>
          <w:rFonts w:eastAsiaTheme="minorHAnsi"/>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47453C">
        <w:rPr>
          <w:rFonts w:eastAsiaTheme="minorHAnsi"/>
          <w:i/>
          <w:sz w:val="22"/>
          <w:szCs w:val="22"/>
          <w:lang w:val="es-EC" w:eastAsia="en-US"/>
        </w:rPr>
        <w:t>”;</w:t>
      </w:r>
      <w:r w:rsidRPr="0047453C">
        <w:rPr>
          <w:rFonts w:eastAsiaTheme="minorHAnsi"/>
          <w:sz w:val="22"/>
          <w:szCs w:val="22"/>
          <w:lang w:val="es-EC" w:eastAsia="en-US"/>
        </w:rPr>
        <w:t xml:space="preserve"> </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i/>
          <w:iCs/>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el artículo 323 </w:t>
      </w:r>
      <w:r w:rsidR="00131EC9" w:rsidRPr="0047453C">
        <w:rPr>
          <w:rFonts w:eastAsiaTheme="minorHAnsi"/>
          <w:sz w:val="22"/>
          <w:szCs w:val="22"/>
          <w:lang w:val="es-EC" w:eastAsia="en-US"/>
        </w:rPr>
        <w:t>del Código Orgánico de Ordenamiento Territorial, Autonomía y Descentralización COOTAD</w:t>
      </w:r>
      <w:r w:rsidRPr="0047453C">
        <w:rPr>
          <w:rFonts w:eastAsiaTheme="minorHAnsi"/>
          <w:sz w:val="22"/>
          <w:szCs w:val="22"/>
          <w:lang w:val="es-EC" w:eastAsia="en-US"/>
        </w:rPr>
        <w:t xml:space="preserve"> establece: “</w:t>
      </w:r>
      <w:r w:rsidRPr="0047453C">
        <w:rPr>
          <w:rFonts w:eastAsiaTheme="minorHAnsi"/>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2C61FA" w:rsidRPr="0047453C">
        <w:rPr>
          <w:rFonts w:eastAsiaTheme="minorHAnsi"/>
          <w:i/>
          <w:iCs/>
          <w:sz w:val="22"/>
          <w:szCs w:val="22"/>
          <w:lang w:val="es-EC" w:eastAsia="en-US"/>
        </w:rPr>
        <w:t>;</w:t>
      </w:r>
    </w:p>
    <w:p w:rsidR="002C61FA" w:rsidRPr="0047453C" w:rsidRDefault="002C61FA" w:rsidP="00600D8D">
      <w:pPr>
        <w:autoSpaceDE w:val="0"/>
        <w:autoSpaceDN w:val="0"/>
        <w:adjustRightInd w:val="0"/>
        <w:ind w:left="709" w:hanging="709"/>
        <w:jc w:val="both"/>
        <w:rPr>
          <w:rFonts w:eastAsiaTheme="minorHAnsi"/>
          <w:i/>
          <w:iCs/>
          <w:sz w:val="22"/>
          <w:szCs w:val="22"/>
          <w:lang w:val="es-EC" w:eastAsia="en-US"/>
        </w:rPr>
      </w:pPr>
    </w:p>
    <w:p w:rsidR="002C61FA" w:rsidRPr="0047453C" w:rsidRDefault="002C61FA" w:rsidP="002C61FA">
      <w:pPr>
        <w:ind w:left="705" w:hanging="705"/>
        <w:jc w:val="both"/>
        <w:rPr>
          <w:rStyle w:val="fontstyle01"/>
        </w:rPr>
      </w:pPr>
      <w:r w:rsidRPr="0047453C">
        <w:rPr>
          <w:b/>
          <w:sz w:val="22"/>
          <w:szCs w:val="22"/>
        </w:rPr>
        <w:t>Que</w:t>
      </w:r>
      <w:r w:rsidRPr="0047453C">
        <w:rPr>
          <w:sz w:val="22"/>
          <w:szCs w:val="22"/>
        </w:rPr>
        <w:t>,</w:t>
      </w:r>
      <w:r w:rsidRPr="0047453C">
        <w:rPr>
          <w:sz w:val="22"/>
          <w:szCs w:val="22"/>
        </w:rPr>
        <w:tab/>
      </w:r>
      <w:r w:rsidRPr="0047453C">
        <w:rPr>
          <w:rStyle w:val="fontstyle01"/>
        </w:rPr>
        <w:t>El artículo 424 Código Orgánico de Organización Territorial, Autonomía y</w:t>
      </w:r>
      <w:r w:rsidRPr="0047453C">
        <w:rPr>
          <w:color w:val="000000"/>
          <w:sz w:val="22"/>
          <w:szCs w:val="22"/>
        </w:rPr>
        <w:br/>
      </w:r>
      <w:r w:rsidRPr="0047453C">
        <w:rPr>
          <w:rStyle w:val="fontstyle01"/>
        </w:rPr>
        <w:t xml:space="preserve">Descentralización, en cuanto a la entrega de áreas verdes dispone: </w:t>
      </w:r>
      <w:r w:rsidRPr="0047453C">
        <w:rPr>
          <w:rStyle w:val="fontstyle31"/>
        </w:rPr>
        <w:t>“En las</w:t>
      </w:r>
      <w:r w:rsidRPr="0047453C">
        <w:rPr>
          <w:i/>
          <w:iCs/>
          <w:color w:val="000000"/>
          <w:sz w:val="22"/>
          <w:szCs w:val="22"/>
        </w:rPr>
        <w:br/>
      </w:r>
      <w:r w:rsidRPr="0047453C">
        <w:rPr>
          <w:rStyle w:val="fontstyle31"/>
        </w:rPr>
        <w:t>subdivisiones y fraccionamientos sujetos o derivados de una autorización administrativa</w:t>
      </w:r>
      <w:r w:rsidRPr="0047453C">
        <w:rPr>
          <w:i/>
          <w:iCs/>
          <w:color w:val="000000"/>
          <w:sz w:val="22"/>
          <w:szCs w:val="22"/>
        </w:rPr>
        <w:br/>
      </w:r>
      <w:r w:rsidRPr="0047453C">
        <w:rPr>
          <w:rStyle w:val="fontstyle31"/>
        </w:rPr>
        <w:t>de urbanización, el urbanizador deberá realizar las obras de urbanización, habilitación</w:t>
      </w:r>
      <w:r w:rsidRPr="0047453C">
        <w:rPr>
          <w:i/>
          <w:iCs/>
          <w:color w:val="000000"/>
          <w:sz w:val="22"/>
          <w:szCs w:val="22"/>
        </w:rPr>
        <w:br/>
      </w:r>
      <w:r w:rsidRPr="0047453C">
        <w:rPr>
          <w:rStyle w:val="fontstyle31"/>
        </w:rPr>
        <w:t>de vías, áreas verdes y comunitarias, y dichas áreas deberán ser entregadas, por una</w:t>
      </w:r>
      <w:r w:rsidRPr="0047453C">
        <w:rPr>
          <w:i/>
          <w:iCs/>
          <w:color w:val="000000"/>
          <w:sz w:val="22"/>
          <w:szCs w:val="22"/>
        </w:rPr>
        <w:br/>
      </w:r>
      <w:r w:rsidRPr="0047453C">
        <w:rPr>
          <w:rStyle w:val="fontstyle31"/>
        </w:rPr>
        <w:t>sola vez, en forma de cesión gratuita y obligatoria al Gobierno Autónomo</w:t>
      </w:r>
      <w:r w:rsidRPr="0047453C">
        <w:rPr>
          <w:i/>
          <w:iCs/>
          <w:color w:val="000000"/>
          <w:sz w:val="22"/>
          <w:szCs w:val="22"/>
        </w:rPr>
        <w:br/>
      </w:r>
      <w:r w:rsidRPr="0047453C">
        <w:rPr>
          <w:rStyle w:val="fontstyle31"/>
        </w:rPr>
        <w:t>Descentralizado municipal o metropolitano como bienes de dominio y uso público”</w:t>
      </w:r>
      <w:r w:rsidRPr="0047453C">
        <w:rPr>
          <w:rStyle w:val="fontstyle01"/>
        </w:rPr>
        <w:t xml:space="preserve">. </w:t>
      </w:r>
    </w:p>
    <w:p w:rsidR="00600D8D" w:rsidRPr="0047453C" w:rsidRDefault="00600D8D" w:rsidP="002C61FA">
      <w:pPr>
        <w:autoSpaceDE w:val="0"/>
        <w:autoSpaceDN w:val="0"/>
        <w:adjustRightInd w:val="0"/>
        <w:jc w:val="both"/>
        <w:rPr>
          <w:rFonts w:eastAsiaTheme="minorHAnsi"/>
          <w:sz w:val="22"/>
          <w:szCs w:val="22"/>
          <w:lang w:val="es-EC" w:eastAsia="en-US"/>
        </w:rPr>
      </w:pPr>
    </w:p>
    <w:p w:rsidR="00600D8D" w:rsidRPr="0047453C" w:rsidRDefault="00600D8D" w:rsidP="00600D8D">
      <w:pPr>
        <w:pStyle w:val="Default"/>
        <w:ind w:left="705" w:hanging="705"/>
        <w:jc w:val="both"/>
        <w:rPr>
          <w:rFonts w:ascii="Times New Roman" w:hAnsi="Times New Roman" w:cs="Times New Roman"/>
          <w:sz w:val="22"/>
          <w:szCs w:val="22"/>
        </w:rPr>
      </w:pPr>
      <w:r w:rsidRPr="0047453C">
        <w:rPr>
          <w:rFonts w:ascii="Times New Roman" w:hAnsi="Times New Roman" w:cs="Times New Roman"/>
          <w:b/>
          <w:sz w:val="22"/>
          <w:szCs w:val="22"/>
        </w:rPr>
        <w:t>Que</w:t>
      </w:r>
      <w:r w:rsidRPr="0047453C">
        <w:rPr>
          <w:rFonts w:ascii="Times New Roman" w:hAnsi="Times New Roman" w:cs="Times New Roman"/>
          <w:sz w:val="22"/>
          <w:szCs w:val="22"/>
        </w:rPr>
        <w:t>,</w:t>
      </w:r>
      <w:r w:rsidRPr="0047453C">
        <w:rPr>
          <w:rFonts w:ascii="Times New Roman" w:hAnsi="Times New Roman" w:cs="Times New Roman"/>
          <w:sz w:val="22"/>
          <w:szCs w:val="22"/>
        </w:rPr>
        <w:tab/>
        <w:t>el artículo 472</w:t>
      </w:r>
      <w:r w:rsidR="002C61FA" w:rsidRPr="0047453C">
        <w:rPr>
          <w:rFonts w:ascii="Times New Roman" w:hAnsi="Times New Roman" w:cs="Times New Roman"/>
          <w:sz w:val="22"/>
          <w:szCs w:val="22"/>
        </w:rPr>
        <w:t xml:space="preserve"> </w:t>
      </w:r>
      <w:r w:rsidR="002C61FA" w:rsidRPr="0047453C">
        <w:rPr>
          <w:rStyle w:val="fontstyle01"/>
          <w:rFonts w:ascii="Times New Roman" w:hAnsi="Times New Roman" w:cs="Times New Roman"/>
        </w:rPr>
        <w:t>ibídem</w:t>
      </w:r>
      <w:r w:rsidR="002C61FA" w:rsidRPr="0047453C">
        <w:rPr>
          <w:rFonts w:ascii="Times New Roman" w:hAnsi="Times New Roman" w:cs="Times New Roman"/>
          <w:sz w:val="22"/>
          <w:szCs w:val="22"/>
        </w:rPr>
        <w:t>, indica: “</w:t>
      </w:r>
      <w:r w:rsidR="002C61FA" w:rsidRPr="0047453C">
        <w:rPr>
          <w:rFonts w:ascii="Times New Roman" w:hAnsi="Times New Roman" w:cs="Times New Roman"/>
          <w:i/>
          <w:sz w:val="22"/>
          <w:szCs w:val="22"/>
        </w:rPr>
        <w:t xml:space="preserve">Superficie mínima de los predios. - </w:t>
      </w:r>
      <w:r w:rsidRPr="0047453C">
        <w:rPr>
          <w:rFonts w:ascii="Times New Roman" w:hAnsi="Times New Roman" w:cs="Times New Roman"/>
          <w:i/>
          <w:iCs/>
          <w:sz w:val="22"/>
          <w:szCs w:val="22"/>
        </w:rPr>
        <w:t>Para la fijación de las superficies mínimas en los fraccionamientos urbanos se atenderá a las normas que al efecto contenga el pla</w:t>
      </w:r>
      <w:r w:rsidR="002C61FA" w:rsidRPr="0047453C">
        <w:rPr>
          <w:rFonts w:ascii="Times New Roman" w:hAnsi="Times New Roman" w:cs="Times New Roman"/>
          <w:i/>
          <w:iCs/>
          <w:sz w:val="22"/>
          <w:szCs w:val="22"/>
        </w:rPr>
        <w:t xml:space="preserve">n de ordenamiento territorial. </w:t>
      </w:r>
      <w:r w:rsidR="002C61FA" w:rsidRPr="0047453C">
        <w:rPr>
          <w:rFonts w:ascii="Times New Roman" w:hAnsi="Times New Roman" w:cs="Times New Roman"/>
          <w:i/>
          <w:sz w:val="22"/>
          <w:szCs w:val="22"/>
        </w:rPr>
        <w:t>Los notarios y los registradores de la propiedad, para la suscripción e inscripción de una escritura de fraccionamiento respectivamente, exigirán la autorización del ejecutivo de este nivel de gobierno, concedida para el fraccionamiento de los terrenos”</w:t>
      </w:r>
      <w:r w:rsidR="002C61FA" w:rsidRPr="0047453C">
        <w:rPr>
          <w:rFonts w:ascii="Times New Roman" w:hAnsi="Times New Roman" w:cs="Times New Roman"/>
          <w:sz w:val="22"/>
          <w:szCs w:val="22"/>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t xml:space="preserve">el artículo 473 </w:t>
      </w:r>
      <w:r w:rsidR="002C61FA" w:rsidRPr="0047453C">
        <w:rPr>
          <w:rFonts w:eastAsiaTheme="minorHAnsi"/>
          <w:sz w:val="22"/>
          <w:szCs w:val="22"/>
          <w:lang w:val="es-EC" w:eastAsia="en-US"/>
        </w:rPr>
        <w:t>del mismo cuerpo normativo, señala:</w:t>
      </w:r>
      <w:r w:rsidRPr="0047453C">
        <w:rPr>
          <w:rFonts w:eastAsiaTheme="minorHAnsi"/>
          <w:sz w:val="22"/>
          <w:szCs w:val="22"/>
          <w:lang w:val="es-EC" w:eastAsia="en-US"/>
        </w:rPr>
        <w:t xml:space="preserve"> </w:t>
      </w:r>
      <w:r w:rsidR="002C61FA" w:rsidRPr="0047453C">
        <w:rPr>
          <w:rStyle w:val="fontstyle01"/>
        </w:rPr>
        <w:t>“</w:t>
      </w:r>
      <w:r w:rsidR="002C61FA" w:rsidRPr="0047453C">
        <w:rPr>
          <w:rStyle w:val="fontstyle31"/>
        </w:rPr>
        <w:t>Partición judicial y extrajudicial de inmuebles. - En caso de</w:t>
      </w:r>
      <w:r w:rsidR="002C61FA" w:rsidRPr="0047453C">
        <w:rPr>
          <w:i/>
          <w:iCs/>
          <w:color w:val="000000"/>
          <w:sz w:val="22"/>
          <w:szCs w:val="22"/>
        </w:rPr>
        <w:t xml:space="preserve"> </w:t>
      </w:r>
      <w:r w:rsidR="002C61FA" w:rsidRPr="0047453C">
        <w:rPr>
          <w:rStyle w:val="fontstyle31"/>
        </w:rPr>
        <w:t>partición judicial de inmuebles, los jueces ordenarán que se cite con la demanda, a la</w:t>
      </w:r>
      <w:r w:rsidR="002C61FA" w:rsidRPr="0047453C">
        <w:rPr>
          <w:i/>
          <w:iCs/>
          <w:color w:val="000000"/>
          <w:sz w:val="22"/>
          <w:szCs w:val="22"/>
        </w:rPr>
        <w:t xml:space="preserve"> </w:t>
      </w:r>
      <w:r w:rsidR="002C61FA" w:rsidRPr="0047453C">
        <w:rPr>
          <w:rStyle w:val="fontstyle31"/>
        </w:rPr>
        <w:t>municipalidad del cantón o distrito metropolitano y no se podrá realizar la partición sino</w:t>
      </w:r>
      <w:r w:rsidR="002C61FA" w:rsidRPr="0047453C">
        <w:rPr>
          <w:i/>
          <w:iCs/>
          <w:color w:val="000000"/>
          <w:sz w:val="22"/>
          <w:szCs w:val="22"/>
        </w:rPr>
        <w:t xml:space="preserve"> </w:t>
      </w:r>
      <w:r w:rsidR="002C61FA" w:rsidRPr="0047453C">
        <w:rPr>
          <w:rStyle w:val="fontstyle31"/>
        </w:rPr>
        <w:t>con informe favorable del respectivo concejo. Si de hecho se realiza la partición, será</w:t>
      </w:r>
      <w:r w:rsidR="002C61FA" w:rsidRPr="0047453C">
        <w:rPr>
          <w:i/>
          <w:iCs/>
          <w:color w:val="000000"/>
          <w:sz w:val="22"/>
          <w:szCs w:val="22"/>
        </w:rPr>
        <w:t xml:space="preserve"> </w:t>
      </w:r>
      <w:r w:rsidR="002C61FA" w:rsidRPr="0047453C">
        <w:rPr>
          <w:rStyle w:val="fontstyle31"/>
        </w:rPr>
        <w:t>nula. En el caso de partición extrajudicial, los interesados pedirán al gobierno municipal</w:t>
      </w:r>
      <w:r w:rsidR="002C61FA" w:rsidRPr="0047453C">
        <w:rPr>
          <w:i/>
          <w:iCs/>
          <w:color w:val="000000"/>
          <w:sz w:val="22"/>
          <w:szCs w:val="22"/>
        </w:rPr>
        <w:t xml:space="preserve"> </w:t>
      </w:r>
      <w:r w:rsidR="002C61FA" w:rsidRPr="0047453C">
        <w:rPr>
          <w:rStyle w:val="fontstyle31"/>
        </w:rPr>
        <w:t xml:space="preserve">metropolitano la autorización respectiva, sin la cual no podrá realizarse la partición”; </w:t>
      </w:r>
    </w:p>
    <w:p w:rsidR="00600D8D" w:rsidRPr="0047453C" w:rsidRDefault="00600D8D" w:rsidP="00600D8D">
      <w:pPr>
        <w:autoSpaceDE w:val="0"/>
        <w:autoSpaceDN w:val="0"/>
        <w:adjustRightInd w:val="0"/>
        <w:jc w:val="both"/>
        <w:rPr>
          <w:sz w:val="22"/>
          <w:szCs w:val="22"/>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t>el numeral 1, del artículo 2 de la Ley de Régimen para el Distrito Metropolitano de Quito, determina, como finalidad, que el Municipio del Distrito Metropolitano de Quito: “</w:t>
      </w:r>
      <w:r w:rsidRPr="0047453C">
        <w:rPr>
          <w:rFonts w:eastAsiaTheme="minorHAnsi"/>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2C61FA" w:rsidRPr="0047453C" w:rsidRDefault="00600D8D" w:rsidP="00E1069E">
      <w:pPr>
        <w:autoSpaceDE w:val="0"/>
        <w:autoSpaceDN w:val="0"/>
        <w:adjustRightInd w:val="0"/>
        <w:ind w:left="705" w:hanging="705"/>
        <w:jc w:val="both"/>
        <w:rPr>
          <w:sz w:val="22"/>
          <w:szCs w:val="22"/>
        </w:rPr>
      </w:pPr>
      <w:r w:rsidRPr="0047453C">
        <w:rPr>
          <w:b/>
          <w:sz w:val="22"/>
          <w:szCs w:val="22"/>
        </w:rPr>
        <w:t>Que</w:t>
      </w:r>
      <w:r w:rsidRPr="0047453C">
        <w:rPr>
          <w:sz w:val="22"/>
          <w:szCs w:val="22"/>
        </w:rPr>
        <w:t>,</w:t>
      </w:r>
      <w:r w:rsidRPr="0047453C">
        <w:rPr>
          <w:sz w:val="22"/>
          <w:szCs w:val="22"/>
        </w:rPr>
        <w:tab/>
      </w:r>
      <w:r w:rsidR="002C61FA" w:rsidRPr="0047453C">
        <w:rPr>
          <w:sz w:val="22"/>
          <w:szCs w:val="22"/>
        </w:rPr>
        <w:t>el artículo 2266.156 de la Ordenanza Metropolitana No. 001, indica</w:t>
      </w:r>
      <w:r w:rsidR="002C61FA" w:rsidRPr="0047453C">
        <w:rPr>
          <w:b/>
          <w:sz w:val="22"/>
          <w:szCs w:val="22"/>
        </w:rPr>
        <w:t xml:space="preserve">: </w:t>
      </w:r>
      <w:r w:rsidR="002C61FA" w:rsidRPr="0047453C">
        <w:rPr>
          <w:b/>
          <w:i/>
          <w:sz w:val="22"/>
          <w:szCs w:val="22"/>
        </w:rPr>
        <w:t xml:space="preserve">“Áreas verdes, áreas comunitarias y vías que son bienes de dominio y uso público derivados de una partición </w:t>
      </w:r>
      <w:r w:rsidR="00E1069E" w:rsidRPr="0047453C">
        <w:rPr>
          <w:b/>
          <w:i/>
          <w:sz w:val="22"/>
          <w:szCs w:val="22"/>
        </w:rPr>
        <w:t>judicial</w:t>
      </w:r>
      <w:r w:rsidR="00E1069E" w:rsidRPr="0047453C">
        <w:rPr>
          <w:sz w:val="22"/>
          <w:szCs w:val="22"/>
        </w:rPr>
        <w:t>. -</w:t>
      </w:r>
      <w:r w:rsidR="002C61FA" w:rsidRPr="0047453C">
        <w:rPr>
          <w:sz w:val="22"/>
          <w:szCs w:val="22"/>
        </w:rPr>
        <w:t xml:space="preserve"> </w:t>
      </w:r>
      <w:r w:rsidR="002C61FA" w:rsidRPr="0047453C">
        <w:rPr>
          <w:i/>
          <w:sz w:val="22"/>
          <w:szCs w:val="22"/>
        </w:rPr>
        <w:t xml:space="preserve">En el caso de partición judicial de inmuebles, se deberá contribuir con el 15% de áreas verdes, y, áreas comunitarias públicas, para lo cual se seguirán las reglas y disposiciones previstas en este </w:t>
      </w:r>
      <w:r w:rsidR="00E1069E" w:rsidRPr="0047453C">
        <w:rPr>
          <w:i/>
          <w:sz w:val="22"/>
          <w:szCs w:val="22"/>
        </w:rPr>
        <w:t>subpárrafo</w:t>
      </w:r>
      <w:r w:rsidR="002C61FA" w:rsidRPr="0047453C">
        <w:rPr>
          <w:sz w:val="22"/>
          <w:szCs w:val="22"/>
        </w:rPr>
        <w:t xml:space="preserve">”. </w:t>
      </w:r>
    </w:p>
    <w:p w:rsidR="002C61FA" w:rsidRPr="0047453C" w:rsidRDefault="002C61FA" w:rsidP="002C61FA">
      <w:pPr>
        <w:pStyle w:val="Default"/>
        <w:jc w:val="both"/>
        <w:rPr>
          <w:sz w:val="22"/>
          <w:szCs w:val="22"/>
        </w:rPr>
      </w:pPr>
    </w:p>
    <w:p w:rsidR="002C61FA" w:rsidRPr="0047453C" w:rsidRDefault="00C977A3" w:rsidP="00E1069E">
      <w:pPr>
        <w:autoSpaceDE w:val="0"/>
        <w:autoSpaceDN w:val="0"/>
        <w:adjustRightInd w:val="0"/>
        <w:ind w:left="709" w:hanging="709"/>
        <w:jc w:val="both"/>
        <w:rPr>
          <w:rFonts w:eastAsiaTheme="minorHAnsi"/>
          <w: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00E1069E" w:rsidRPr="0047453C">
        <w:rPr>
          <w:rFonts w:eastAsiaTheme="minorHAnsi"/>
          <w:sz w:val="22"/>
          <w:szCs w:val="22"/>
          <w:lang w:val="es-EC" w:eastAsia="en-US"/>
        </w:rPr>
        <w:tab/>
      </w:r>
      <w:r w:rsidRPr="0047453C">
        <w:rPr>
          <w:rFonts w:eastAsiaTheme="minorHAnsi"/>
          <w:sz w:val="22"/>
          <w:szCs w:val="22"/>
          <w:lang w:val="es-EC" w:eastAsia="en-US"/>
        </w:rPr>
        <w:t>el</w:t>
      </w:r>
      <w:r w:rsidR="002C61FA" w:rsidRPr="0047453C">
        <w:rPr>
          <w:rFonts w:eastAsiaTheme="minorHAnsi"/>
          <w:sz w:val="22"/>
          <w:szCs w:val="22"/>
          <w:lang w:val="es-EC" w:eastAsia="en-US"/>
        </w:rPr>
        <w:t xml:space="preserve"> artículo 2266.160, señala: </w:t>
      </w:r>
      <w:r w:rsidR="002C61FA" w:rsidRPr="0047453C">
        <w:rPr>
          <w:rFonts w:eastAsiaTheme="minorHAnsi"/>
          <w:b/>
          <w:i/>
          <w:sz w:val="22"/>
          <w:szCs w:val="22"/>
          <w:lang w:val="es-EC" w:eastAsia="en-US"/>
        </w:rPr>
        <w:t>“Compen</w:t>
      </w:r>
      <w:r w:rsidR="00E1069E" w:rsidRPr="0047453C">
        <w:rPr>
          <w:rFonts w:eastAsiaTheme="minorHAnsi"/>
          <w:b/>
          <w:i/>
          <w:sz w:val="22"/>
          <w:szCs w:val="22"/>
          <w:lang w:val="es-EC" w:eastAsia="en-US"/>
        </w:rPr>
        <w:t xml:space="preserve">sación para áreas verdes, áreas </w:t>
      </w:r>
      <w:r w:rsidR="002C61FA" w:rsidRPr="0047453C">
        <w:rPr>
          <w:rFonts w:eastAsiaTheme="minorHAnsi"/>
          <w:b/>
          <w:i/>
          <w:sz w:val="22"/>
          <w:szCs w:val="22"/>
          <w:lang w:val="es-EC" w:eastAsia="en-US"/>
        </w:rPr>
        <w:t xml:space="preserve">comunitarias en particiones </w:t>
      </w:r>
      <w:r w:rsidRPr="0047453C">
        <w:rPr>
          <w:rFonts w:eastAsiaTheme="minorHAnsi"/>
          <w:b/>
          <w:i/>
          <w:sz w:val="22"/>
          <w:szCs w:val="22"/>
          <w:lang w:val="es-EC" w:eastAsia="en-US"/>
        </w:rPr>
        <w:t>judiciales</w:t>
      </w:r>
      <w:r w:rsidRPr="0047453C">
        <w:rPr>
          <w:rFonts w:eastAsiaTheme="minorHAnsi"/>
          <w:i/>
          <w:sz w:val="22"/>
          <w:szCs w:val="22"/>
          <w:lang w:val="es-EC" w:eastAsia="en-US"/>
        </w:rPr>
        <w:t>. -</w:t>
      </w:r>
      <w:r w:rsidR="002C61FA" w:rsidRPr="0047453C">
        <w:rPr>
          <w:rFonts w:eastAsiaTheme="minorHAnsi"/>
          <w:i/>
          <w:sz w:val="22"/>
          <w:szCs w:val="22"/>
          <w:lang w:val="es-EC" w:eastAsia="en-US"/>
        </w:rPr>
        <w:t xml:space="preserve"> En Particiones judiciales de</w:t>
      </w:r>
      <w:r w:rsidR="00E1069E" w:rsidRPr="0047453C">
        <w:rPr>
          <w:rFonts w:eastAsiaTheme="minorHAnsi"/>
          <w:i/>
          <w:sz w:val="22"/>
          <w:szCs w:val="22"/>
          <w:lang w:val="es-EC" w:eastAsia="en-US"/>
        </w:rPr>
        <w:t xml:space="preserve"> </w:t>
      </w:r>
      <w:r w:rsidR="002C61FA" w:rsidRPr="0047453C">
        <w:rPr>
          <w:rFonts w:eastAsiaTheme="minorHAnsi"/>
          <w:i/>
          <w:sz w:val="22"/>
          <w:szCs w:val="22"/>
          <w:lang w:val="es-EC" w:eastAsia="en-US"/>
        </w:rPr>
        <w:t xml:space="preserve">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2C61FA" w:rsidRPr="0047453C" w:rsidRDefault="002C61FA" w:rsidP="00E1069E">
      <w:pPr>
        <w:autoSpaceDE w:val="0"/>
        <w:autoSpaceDN w:val="0"/>
        <w:adjustRightInd w:val="0"/>
        <w:ind w:left="709" w:hanging="709"/>
        <w:jc w:val="both"/>
        <w:rPr>
          <w:rFonts w:eastAsiaTheme="minorHAnsi"/>
          <w:sz w:val="22"/>
          <w:szCs w:val="22"/>
          <w:lang w:val="es-EC" w:eastAsia="en-US"/>
        </w:rPr>
      </w:pPr>
    </w:p>
    <w:p w:rsidR="002C61FA" w:rsidRPr="0047453C" w:rsidRDefault="002C61FA" w:rsidP="002C61FA">
      <w:pPr>
        <w:pStyle w:val="Default"/>
        <w:ind w:left="708"/>
        <w:jc w:val="both"/>
        <w:rPr>
          <w:rFonts w:ascii="Times New Roman" w:hAnsi="Times New Roman" w:cs="Times New Roman"/>
          <w:i/>
          <w:color w:val="auto"/>
          <w:sz w:val="22"/>
          <w:szCs w:val="22"/>
        </w:rPr>
      </w:pPr>
      <w:r w:rsidRPr="0047453C">
        <w:rPr>
          <w:rFonts w:ascii="Times New Roman" w:hAnsi="Times New Roman" w:cs="Times New Roman"/>
          <w:i/>
          <w:color w:val="auto"/>
          <w:sz w:val="22"/>
          <w:szCs w:val="22"/>
        </w:rPr>
        <w:t xml:space="preserve">En el caso de la sentencia ejecutoriada dictada dentro del juicio de prescripción extraordinaria adquisitiva de dominio, de una </w:t>
      </w:r>
      <w:r w:rsidR="00E1069E" w:rsidRPr="0047453C">
        <w:rPr>
          <w:rFonts w:ascii="Times New Roman" w:hAnsi="Times New Roman" w:cs="Times New Roman"/>
          <w:i/>
          <w:color w:val="auto"/>
          <w:sz w:val="22"/>
          <w:szCs w:val="22"/>
        </w:rPr>
        <w:t>parte,</w:t>
      </w:r>
      <w:r w:rsidRPr="0047453C">
        <w:rPr>
          <w:rFonts w:ascii="Times New Roman" w:hAnsi="Times New Roman" w:cs="Times New Roman"/>
          <w:i/>
          <w:color w:val="auto"/>
          <w:sz w:val="22"/>
          <w:szCs w:val="22"/>
        </w:rPr>
        <w:t xml:space="preserve"> de un lote que obliga a un fraccionamiento, se deberá calcular el aporte del 15% del área útil adquirida mediante sentencia. </w:t>
      </w:r>
    </w:p>
    <w:p w:rsidR="00E1069E" w:rsidRPr="0047453C" w:rsidRDefault="00E1069E" w:rsidP="002C61FA">
      <w:pPr>
        <w:pStyle w:val="Default"/>
        <w:ind w:left="708"/>
        <w:jc w:val="both"/>
        <w:rPr>
          <w:rFonts w:ascii="Times New Roman" w:hAnsi="Times New Roman" w:cs="Times New Roman"/>
          <w:i/>
          <w:color w:val="auto"/>
          <w:sz w:val="22"/>
          <w:szCs w:val="22"/>
        </w:rPr>
      </w:pPr>
    </w:p>
    <w:p w:rsidR="002C61FA" w:rsidRPr="0047453C" w:rsidRDefault="002C61FA" w:rsidP="002C61FA">
      <w:pPr>
        <w:pStyle w:val="Default"/>
        <w:ind w:left="708"/>
        <w:jc w:val="both"/>
        <w:rPr>
          <w:sz w:val="22"/>
          <w:szCs w:val="22"/>
        </w:rPr>
      </w:pPr>
      <w:r w:rsidRPr="0047453C">
        <w:rPr>
          <w:rFonts w:ascii="Times New Roman" w:hAnsi="Times New Roman" w:cs="Times New Roman"/>
          <w:i/>
          <w:color w:val="auto"/>
          <w:sz w:val="22"/>
          <w:szCs w:val="22"/>
        </w:rPr>
        <w:t>Si el área de la sentencia es inferior a 3000.00 m2, la contribución del 15% del área útil urbanizable adjudicada se compensará en valor monetario según el avalúo catastral actualizado, cuando sea menor al lote mínimo asignado en la edificabilidad vigente</w:t>
      </w:r>
      <w:r w:rsidRPr="0047453C">
        <w:rPr>
          <w:sz w:val="22"/>
          <w:szCs w:val="22"/>
        </w:rPr>
        <w:t xml:space="preserve">”. </w:t>
      </w:r>
    </w:p>
    <w:p w:rsidR="002C61FA" w:rsidRPr="0047453C" w:rsidRDefault="002C61FA" w:rsidP="002C61FA">
      <w:pPr>
        <w:pStyle w:val="Default"/>
        <w:rPr>
          <w:b/>
          <w:bCs/>
          <w:sz w:val="22"/>
          <w:szCs w:val="22"/>
        </w:rPr>
      </w:pPr>
    </w:p>
    <w:p w:rsidR="002C61FA" w:rsidRPr="0047453C" w:rsidRDefault="00C977A3" w:rsidP="00C977A3">
      <w:pPr>
        <w:pStyle w:val="Default"/>
        <w:ind w:left="705" w:hanging="705"/>
        <w:jc w:val="both"/>
        <w:rPr>
          <w:rFonts w:ascii="Times New Roman" w:hAnsi="Times New Roman" w:cs="Times New Roman"/>
          <w:i/>
          <w:color w:val="auto"/>
          <w:sz w:val="22"/>
          <w:szCs w:val="22"/>
        </w:rPr>
      </w:pPr>
      <w:r w:rsidRPr="0047453C">
        <w:rPr>
          <w:rFonts w:ascii="Times New Roman" w:hAnsi="Times New Roman" w:cs="Times New Roman"/>
          <w:b/>
          <w:color w:val="auto"/>
          <w:sz w:val="22"/>
          <w:szCs w:val="22"/>
        </w:rPr>
        <w:t xml:space="preserve">Que, </w:t>
      </w:r>
      <w:r w:rsidRPr="0047453C">
        <w:rPr>
          <w:rFonts w:ascii="Times New Roman" w:hAnsi="Times New Roman" w:cs="Times New Roman"/>
          <w:b/>
          <w:color w:val="auto"/>
          <w:sz w:val="22"/>
          <w:szCs w:val="22"/>
        </w:rPr>
        <w:tab/>
      </w:r>
      <w:r w:rsidR="002C61FA" w:rsidRPr="0047453C">
        <w:rPr>
          <w:rFonts w:ascii="Times New Roman" w:hAnsi="Times New Roman" w:cs="Times New Roman"/>
          <w:color w:val="auto"/>
          <w:sz w:val="22"/>
          <w:szCs w:val="22"/>
        </w:rPr>
        <w:t>El artículo 2266.161, dice</w:t>
      </w:r>
      <w:r w:rsidR="002C61FA" w:rsidRPr="0047453C">
        <w:rPr>
          <w:rFonts w:ascii="Times New Roman" w:hAnsi="Times New Roman" w:cs="Times New Roman"/>
          <w:b/>
          <w:color w:val="auto"/>
          <w:sz w:val="22"/>
          <w:szCs w:val="22"/>
        </w:rPr>
        <w:t xml:space="preserve">: </w:t>
      </w:r>
      <w:r w:rsidR="002C61FA" w:rsidRPr="0047453C">
        <w:rPr>
          <w:rFonts w:ascii="Times New Roman" w:hAnsi="Times New Roman" w:cs="Times New Roman"/>
          <w:b/>
          <w:i/>
          <w:color w:val="auto"/>
          <w:sz w:val="22"/>
          <w:szCs w:val="22"/>
        </w:rPr>
        <w:t xml:space="preserve">“Condiciones generales de la compensación para áreas verdes, áreas comunitarias en subdivisiones y particiones judiciales.- </w:t>
      </w:r>
      <w:r w:rsidR="002C61FA" w:rsidRPr="0047453C">
        <w:rPr>
          <w:rFonts w:ascii="Times New Roman" w:hAnsi="Times New Roman" w:cs="Times New Roman"/>
          <w:i/>
          <w:color w:val="auto"/>
          <w:sz w:val="22"/>
          <w:szCs w:val="22"/>
        </w:rPr>
        <w:t xml:space="preserve">En las particiones hereditarias, donaciones y ventas en suelo urbano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E1069E" w:rsidRPr="0047453C" w:rsidRDefault="00E1069E" w:rsidP="00C977A3">
      <w:pPr>
        <w:pStyle w:val="Default"/>
        <w:ind w:left="705"/>
        <w:jc w:val="both"/>
        <w:rPr>
          <w:rFonts w:ascii="Times New Roman" w:hAnsi="Times New Roman" w:cs="Times New Roman"/>
          <w:i/>
          <w:color w:val="auto"/>
          <w:sz w:val="22"/>
          <w:szCs w:val="22"/>
        </w:rPr>
      </w:pPr>
    </w:p>
    <w:p w:rsidR="002C61FA" w:rsidRPr="0047453C" w:rsidRDefault="002C61FA" w:rsidP="00C977A3">
      <w:pPr>
        <w:pStyle w:val="Default"/>
        <w:ind w:left="705"/>
        <w:jc w:val="both"/>
        <w:rPr>
          <w:rFonts w:ascii="Times New Roman" w:hAnsi="Times New Roman" w:cs="Times New Roman"/>
          <w:b/>
          <w:i/>
          <w:color w:val="auto"/>
          <w:sz w:val="22"/>
          <w:szCs w:val="22"/>
        </w:rPr>
      </w:pPr>
      <w:r w:rsidRPr="0047453C">
        <w:rPr>
          <w:rFonts w:ascii="Times New Roman" w:hAnsi="Times New Roman" w:cs="Times New Roman"/>
          <w:i/>
          <w:color w:val="auto"/>
          <w:sz w:val="22"/>
          <w:szCs w:val="22"/>
        </w:rPr>
        <w:t>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w:t>
      </w:r>
      <w:r w:rsidRPr="0047453C">
        <w:rPr>
          <w:rFonts w:ascii="Times New Roman" w:hAnsi="Times New Roman" w:cs="Times New Roman"/>
          <w:b/>
          <w:i/>
          <w:color w:val="auto"/>
          <w:sz w:val="22"/>
          <w:szCs w:val="22"/>
        </w:rPr>
        <w:t xml:space="preserve"> </w:t>
      </w:r>
    </w:p>
    <w:p w:rsidR="00E1069E" w:rsidRPr="0047453C" w:rsidRDefault="00E1069E" w:rsidP="00C977A3">
      <w:pPr>
        <w:pStyle w:val="Default"/>
        <w:ind w:left="705"/>
        <w:jc w:val="both"/>
        <w:rPr>
          <w:rFonts w:ascii="Times New Roman" w:hAnsi="Times New Roman" w:cs="Times New Roman"/>
          <w:b/>
          <w:i/>
          <w:color w:val="auto"/>
          <w:sz w:val="22"/>
          <w:szCs w:val="22"/>
        </w:rPr>
      </w:pPr>
    </w:p>
    <w:p w:rsidR="002C61FA" w:rsidRPr="0047453C" w:rsidRDefault="002C61FA" w:rsidP="00C977A3">
      <w:pPr>
        <w:ind w:left="705"/>
        <w:jc w:val="both"/>
        <w:rPr>
          <w:rFonts w:eastAsiaTheme="minorHAnsi"/>
          <w:i/>
          <w:sz w:val="22"/>
          <w:szCs w:val="22"/>
          <w:lang w:val="es-EC" w:eastAsia="en-US"/>
        </w:rPr>
      </w:pPr>
      <w:r w:rsidRPr="0047453C">
        <w:rPr>
          <w:rFonts w:eastAsiaTheme="minorHAnsi"/>
          <w:i/>
          <w:sz w:val="22"/>
          <w:szCs w:val="22"/>
          <w:lang w:val="es-EC" w:eastAsia="en-US"/>
        </w:rPr>
        <w:t xml:space="preserve">Si la compensación en dinero suple o reemplaza la entrega de área verde pública y área comunitaria, dicha compensación debe ser equivalente, al valor monetario </w:t>
      </w:r>
      <w:r w:rsidRPr="0047453C">
        <w:rPr>
          <w:rFonts w:eastAsiaTheme="minorHAnsi"/>
          <w:i/>
          <w:sz w:val="22"/>
          <w:szCs w:val="22"/>
          <w:lang w:val="es-EC" w:eastAsia="en-US"/>
        </w:rPr>
        <w:lastRenderedPageBreak/>
        <w:t>correspondiente al 15% del área útil urbanizable del terreno, según el avalúo catastral actualizado.</w:t>
      </w:r>
    </w:p>
    <w:p w:rsidR="00E1069E" w:rsidRPr="0047453C" w:rsidRDefault="00E1069E" w:rsidP="00C977A3">
      <w:pPr>
        <w:ind w:left="705"/>
        <w:jc w:val="both"/>
        <w:rPr>
          <w:rFonts w:eastAsiaTheme="minorHAnsi"/>
          <w:b/>
          <w:bCs/>
          <w:sz w:val="22"/>
          <w:szCs w:val="22"/>
          <w:lang w:val="es-EC" w:eastAsia="en-US"/>
        </w:rPr>
      </w:pPr>
    </w:p>
    <w:p w:rsidR="002C61FA" w:rsidRPr="0047453C" w:rsidRDefault="002C61FA" w:rsidP="00C977A3">
      <w:pPr>
        <w:ind w:left="705"/>
        <w:jc w:val="both"/>
        <w:rPr>
          <w:rFonts w:eastAsiaTheme="minorHAnsi"/>
          <w:i/>
          <w:sz w:val="22"/>
          <w:szCs w:val="22"/>
          <w:lang w:val="es-EC" w:eastAsia="en-US"/>
        </w:rPr>
      </w:pPr>
      <w:r w:rsidRPr="0047453C">
        <w:rPr>
          <w:rFonts w:eastAsiaTheme="minorHAnsi"/>
          <w:i/>
          <w:sz w:val="22"/>
          <w:szCs w:val="22"/>
          <w:lang w:val="es-EC" w:eastAsia="en-US"/>
        </w:rPr>
        <w:t>Con los recursos recaudados en valor monetario por efecto de la compensación, la municipalidad deberá crear un fondo para la adquisición de áreas verdes, áreas comunitarias, y obras para el mejoramiento, de preferencia en el sector donde se encuentra ubicado el inmueble, de conformidad a lo establecido en la normativa nacional vigente”.</w:t>
      </w:r>
    </w:p>
    <w:p w:rsidR="00C977A3" w:rsidRPr="0047453C" w:rsidRDefault="00C977A3" w:rsidP="00C977A3">
      <w:pPr>
        <w:ind w:left="705"/>
        <w:jc w:val="both"/>
        <w:rPr>
          <w:rStyle w:val="fontstyle21"/>
          <w:i/>
        </w:rPr>
      </w:pPr>
    </w:p>
    <w:p w:rsidR="004E0D99" w:rsidRPr="0047453C" w:rsidRDefault="004E0D99" w:rsidP="00C977A3">
      <w:pPr>
        <w:autoSpaceDE w:val="0"/>
        <w:autoSpaceDN w:val="0"/>
        <w:adjustRightInd w:val="0"/>
        <w:ind w:left="709" w:hanging="709"/>
        <w:jc w:val="both"/>
        <w:rPr>
          <w:i/>
          <w:sz w:val="22"/>
          <w:szCs w:val="22"/>
          <w:lang w:eastAsia="es-EC"/>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r w:rsidR="00E1069E" w:rsidRPr="0047453C">
        <w:rPr>
          <w:rStyle w:val="fontstyle01"/>
          <w:rFonts w:ascii="Times New Roman" w:hAnsi="Times New Roman"/>
        </w:rPr>
        <w:t>mediante oficio No. 2950-2010</w:t>
      </w:r>
      <w:r w:rsidRPr="0047453C">
        <w:rPr>
          <w:rStyle w:val="fontstyle01"/>
          <w:rFonts w:ascii="Times New Roman" w:hAnsi="Times New Roman"/>
        </w:rPr>
        <w:t xml:space="preserve">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47453C">
        <w:rPr>
          <w:sz w:val="22"/>
          <w:szCs w:val="22"/>
          <w:lang w:eastAsia="es-EC"/>
        </w:rPr>
        <w:t xml:space="preserve">B.2.1, el cual, textualmente señala: </w:t>
      </w:r>
      <w:r w:rsidRPr="0047453C">
        <w:rPr>
          <w:i/>
          <w:sz w:val="22"/>
          <w:szCs w:val="22"/>
          <w:lang w:eastAsia="es-EC"/>
        </w:rPr>
        <w:t>“(...)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w:t>
      </w:r>
      <w:r w:rsidR="00C977A3" w:rsidRPr="0047453C">
        <w:rPr>
          <w:i/>
          <w:sz w:val="22"/>
          <w:szCs w:val="22"/>
          <w:lang w:eastAsia="es-EC"/>
        </w:rPr>
        <w:t>.</w:t>
      </w:r>
    </w:p>
    <w:p w:rsidR="00257CEB" w:rsidRPr="0047453C" w:rsidRDefault="00257CEB" w:rsidP="00C977A3">
      <w:pPr>
        <w:autoSpaceDE w:val="0"/>
        <w:autoSpaceDN w:val="0"/>
        <w:adjustRightInd w:val="0"/>
        <w:ind w:left="709" w:hanging="709"/>
        <w:jc w:val="both"/>
        <w:rPr>
          <w:i/>
          <w:sz w:val="22"/>
          <w:szCs w:val="22"/>
          <w:lang w:eastAsia="es-EC"/>
        </w:rPr>
      </w:pPr>
    </w:p>
    <w:p w:rsidR="00C977A3" w:rsidRPr="0047453C" w:rsidRDefault="00C977A3" w:rsidP="00C977A3">
      <w:pPr>
        <w:autoSpaceDE w:val="0"/>
        <w:autoSpaceDN w:val="0"/>
        <w:adjustRightInd w:val="0"/>
        <w:ind w:left="709" w:hanging="709"/>
        <w:jc w:val="both"/>
        <w:rPr>
          <w:i/>
          <w:sz w:val="22"/>
          <w:szCs w:val="22"/>
          <w:lang w:eastAsia="es-EC"/>
        </w:rPr>
      </w:pPr>
      <w:r w:rsidRPr="0047453C">
        <w:rPr>
          <w:rFonts w:eastAsiaTheme="minorHAnsi"/>
          <w:b/>
          <w:sz w:val="22"/>
          <w:szCs w:val="22"/>
          <w:lang w:val="es-EC" w:eastAsia="en-US"/>
        </w:rPr>
        <w:tab/>
      </w:r>
      <w:r w:rsidRPr="0047453C">
        <w:rPr>
          <w:sz w:val="22"/>
          <w:szCs w:val="22"/>
          <w:lang w:eastAsia="es-EC"/>
        </w:rPr>
        <w:t xml:space="preserve">En cumplimiento al procedimiento antes referido, una vez que el área técnica ha determinado que </w:t>
      </w:r>
      <w:r w:rsidRPr="0047453C">
        <w:rPr>
          <w:i/>
          <w:color w:val="000000"/>
          <w:sz w:val="22"/>
          <w:szCs w:val="22"/>
        </w:rPr>
        <w:t>la prescripción adquisitiva de dominio de una parte de</w:t>
      </w:r>
      <w:r w:rsidR="00192B30">
        <w:rPr>
          <w:i/>
          <w:color w:val="000000"/>
          <w:sz w:val="22"/>
          <w:szCs w:val="22"/>
        </w:rPr>
        <w:t>l inmueble del predio No. 1271057</w:t>
      </w:r>
      <w:r w:rsidRPr="0047453C">
        <w:rPr>
          <w:i/>
          <w:color w:val="000000"/>
          <w:sz w:val="22"/>
          <w:szCs w:val="22"/>
        </w:rPr>
        <w:t>, Cumple con</w:t>
      </w:r>
      <w:r w:rsidR="00192B30">
        <w:rPr>
          <w:i/>
          <w:color w:val="000000"/>
          <w:sz w:val="22"/>
          <w:szCs w:val="22"/>
        </w:rPr>
        <w:t xml:space="preserve"> el “lote Mínimo” </w:t>
      </w:r>
      <w:r w:rsidR="00E1069E" w:rsidRPr="0047453C">
        <w:rPr>
          <w:i/>
          <w:color w:val="000000"/>
          <w:sz w:val="22"/>
          <w:szCs w:val="22"/>
        </w:rPr>
        <w:t xml:space="preserve"> datos establecidos en la zonificación vigente</w:t>
      </w:r>
      <w:r w:rsidRPr="0047453C">
        <w:rPr>
          <w:i/>
          <w:color w:val="000000"/>
          <w:sz w:val="22"/>
          <w:szCs w:val="22"/>
        </w:rPr>
        <w:t xml:space="preserve">, </w:t>
      </w:r>
      <w:r w:rsidR="00192B30">
        <w:rPr>
          <w:i/>
          <w:color w:val="000000"/>
          <w:sz w:val="22"/>
          <w:szCs w:val="22"/>
        </w:rPr>
        <w:t xml:space="preserve">pero al no tener frente hacia una vía pública No Cumple con el “Frente Mínimo”, </w:t>
      </w:r>
      <w:r w:rsidRPr="0047453C">
        <w:rPr>
          <w:sz w:val="22"/>
          <w:szCs w:val="22"/>
        </w:rPr>
        <w:t>en virtud de lo establecido en el pronunciamiento de la Procuraduría Metropolitana</w:t>
      </w:r>
      <w:r w:rsidRPr="0047453C">
        <w:rPr>
          <w:sz w:val="22"/>
          <w:szCs w:val="22"/>
          <w:lang w:eastAsia="es-EC"/>
        </w:rPr>
        <w:t xml:space="preserve"> se deberá contar con  el pronunciamiento de Procuraduría Metropolitana; Informe de la Secretaría General del Concejo, para conocimiento y dictamen de la Comisión de Uso de Suelo y posterior resolución del Concejo Metropolitano</w:t>
      </w:r>
    </w:p>
    <w:p w:rsidR="00921E14" w:rsidRPr="0047453C" w:rsidRDefault="00921E14" w:rsidP="00D27AB2">
      <w:pPr>
        <w:jc w:val="both"/>
        <w:rPr>
          <w:rFonts w:eastAsiaTheme="minorHAnsi"/>
          <w:b/>
          <w:sz w:val="22"/>
          <w:szCs w:val="22"/>
          <w:lang w:val="es-EC" w:eastAsia="en-US"/>
        </w:rPr>
      </w:pPr>
    </w:p>
    <w:p w:rsidR="00257CEB" w:rsidRPr="000C1418" w:rsidRDefault="00921E14" w:rsidP="000C1418">
      <w:pPr>
        <w:ind w:left="705" w:hanging="705"/>
        <w:jc w:val="both"/>
      </w:pPr>
      <w:r w:rsidRPr="0047453C">
        <w:rPr>
          <w:b/>
          <w:sz w:val="22"/>
          <w:szCs w:val="22"/>
        </w:rPr>
        <w:t>Que,</w:t>
      </w:r>
      <w:r w:rsidRPr="0047453C">
        <w:rPr>
          <w:sz w:val="22"/>
          <w:szCs w:val="22"/>
        </w:rPr>
        <w:t xml:space="preserve"> </w:t>
      </w:r>
      <w:r w:rsidRPr="0047453C">
        <w:rPr>
          <w:sz w:val="22"/>
          <w:szCs w:val="22"/>
        </w:rPr>
        <w:tab/>
      </w:r>
      <w:r w:rsidRPr="0047453C">
        <w:rPr>
          <w:rFonts w:eastAsiaTheme="minorHAnsi"/>
          <w:sz w:val="22"/>
          <w:szCs w:val="22"/>
          <w:lang w:val="es-EC" w:eastAsia="en-US"/>
        </w:rPr>
        <w:t xml:space="preserve">con la sentencia emitida dentro del </w:t>
      </w:r>
      <w:r w:rsidR="006675C9" w:rsidRPr="0047453C">
        <w:rPr>
          <w:sz w:val="22"/>
          <w:szCs w:val="22"/>
          <w:lang w:val="es-EC" w:eastAsia="es-EC"/>
        </w:rPr>
        <w:t>proces</w:t>
      </w:r>
      <w:r w:rsidR="00E925BC">
        <w:rPr>
          <w:sz w:val="22"/>
          <w:szCs w:val="22"/>
          <w:lang w:val="es-EC" w:eastAsia="es-EC"/>
        </w:rPr>
        <w:t>o judicial No. 17306</w:t>
      </w:r>
      <w:r w:rsidR="006675C9" w:rsidRPr="0047453C">
        <w:rPr>
          <w:sz w:val="22"/>
          <w:szCs w:val="22"/>
          <w:lang w:val="es-EC" w:eastAsia="es-EC"/>
        </w:rPr>
        <w:t>-20</w:t>
      </w:r>
      <w:r w:rsidR="000C1418">
        <w:rPr>
          <w:sz w:val="22"/>
          <w:szCs w:val="22"/>
          <w:lang w:val="es-EC" w:eastAsia="es-EC"/>
        </w:rPr>
        <w:t>12</w:t>
      </w:r>
      <w:r w:rsidR="006675C9" w:rsidRPr="0047453C">
        <w:rPr>
          <w:sz w:val="22"/>
          <w:szCs w:val="22"/>
          <w:lang w:val="es-EC" w:eastAsia="es-EC"/>
        </w:rPr>
        <w:t>-0</w:t>
      </w:r>
      <w:r w:rsidR="000C1418">
        <w:rPr>
          <w:sz w:val="22"/>
          <w:szCs w:val="22"/>
          <w:lang w:val="es-EC" w:eastAsia="es-EC"/>
        </w:rPr>
        <w:t>294</w:t>
      </w:r>
      <w:r w:rsidRPr="0047453C">
        <w:rPr>
          <w:sz w:val="22"/>
          <w:szCs w:val="22"/>
          <w:lang w:val="es-EC" w:eastAsia="es-EC"/>
        </w:rPr>
        <w:t xml:space="preserve">, mediante el cual el Juez de la Unidad Judicial Civil con sede en la parroquia de Iñaquito del Distrito Metropolitano de Quito, </w:t>
      </w:r>
      <w:r w:rsidR="000C1418">
        <w:rPr>
          <w:sz w:val="22"/>
          <w:szCs w:val="22"/>
          <w:lang w:val="es-EC" w:eastAsia="es-EC"/>
        </w:rPr>
        <w:t xml:space="preserve">el 28 de junio de 2015, emite sentencia indicando </w:t>
      </w:r>
      <w:r w:rsidR="0047453C">
        <w:rPr>
          <w:sz w:val="22"/>
          <w:szCs w:val="22"/>
          <w:lang w:val="es-EC" w:eastAsia="es-EC"/>
        </w:rPr>
        <w:t xml:space="preserve">en su parte pertinente </w:t>
      </w:r>
      <w:r w:rsidR="000C1418">
        <w:rPr>
          <w:sz w:val="22"/>
          <w:szCs w:val="22"/>
          <w:lang w:val="es-EC" w:eastAsia="es-EC"/>
        </w:rPr>
        <w:t xml:space="preserve">lo siguiente </w:t>
      </w:r>
      <w:r w:rsidRPr="0047453C">
        <w:rPr>
          <w:sz w:val="22"/>
          <w:szCs w:val="22"/>
          <w:lang w:val="es-EC" w:eastAsia="es-EC"/>
        </w:rPr>
        <w:t xml:space="preserve">“(…) </w:t>
      </w:r>
      <w:r w:rsidR="000C1418" w:rsidRPr="000C1418">
        <w:rPr>
          <w:rStyle w:val="markedcontent"/>
          <w:i/>
        </w:rPr>
        <w:t xml:space="preserve">se acepta la demanda y en consecuencia se declara que los señores JUAN JOSE SOTALIN PERALTA y MARIA ALICIA VICENTE PEÑA, han adquirido por prescripción extraordinaria adquisitiva de dominio el inmueble, consistente en el lote de terreno y edificación, ubicado en el Sector de la Estación del Inca, Barrio Llano Grande, Parroquia Calderón, Distrito Metropolitano de Quito, Provincia de Pichincha; cuyos linderos son: Norte.- en 11,05 metros, con calle pública </w:t>
      </w:r>
      <w:proofErr w:type="spellStart"/>
      <w:r w:rsidR="000C1418" w:rsidRPr="000C1418">
        <w:rPr>
          <w:rStyle w:val="markedcontent"/>
          <w:i/>
        </w:rPr>
        <w:t>Miramelinda</w:t>
      </w:r>
      <w:proofErr w:type="spellEnd"/>
      <w:r w:rsidR="000C1418" w:rsidRPr="000C1418">
        <w:rPr>
          <w:rStyle w:val="markedcontent"/>
          <w:i/>
        </w:rPr>
        <w:t xml:space="preserve">; Sur.- en 10,65 metros, con lote de herederos de Nicolás </w:t>
      </w:r>
      <w:proofErr w:type="spellStart"/>
      <w:r w:rsidR="000C1418" w:rsidRPr="000C1418">
        <w:rPr>
          <w:rStyle w:val="markedcontent"/>
          <w:i/>
        </w:rPr>
        <w:t>Toapanta</w:t>
      </w:r>
      <w:proofErr w:type="spellEnd"/>
      <w:r w:rsidR="000C1418" w:rsidRPr="000C1418">
        <w:rPr>
          <w:rStyle w:val="markedcontent"/>
          <w:i/>
        </w:rPr>
        <w:t xml:space="preserve">; Este.- en 25,29 metros, con lote de herederos de Nicolás </w:t>
      </w:r>
      <w:proofErr w:type="spellStart"/>
      <w:r w:rsidR="000C1418" w:rsidRPr="000C1418">
        <w:rPr>
          <w:rStyle w:val="markedcontent"/>
          <w:i/>
        </w:rPr>
        <w:t>Toapanta</w:t>
      </w:r>
      <w:proofErr w:type="spellEnd"/>
      <w:r w:rsidR="000C1418" w:rsidRPr="000C1418">
        <w:rPr>
          <w:rStyle w:val="markedcontent"/>
          <w:i/>
        </w:rPr>
        <w:t xml:space="preserve">; y, Oeste.- en 25,29 metros, con pasaje peatonal; dando una superficie de 269,34 metros cuadrados. Especificaciones constantes del acta de inspección judicial e informe pericial. Ejecutoriada esta sentencia, protocolícese en una de las Notarías de este Cantón, a fin de que sirva de suficiente título de propiedad. Hecho, inscríbase en el Registro de la Propiedad del Distrito Metropolitano de Quito, acorde lo dispuesto por el Art. 2413 del Código Civil vigente, así como también se dispone cancelar la inscripción de esta demanda, </w:t>
      </w:r>
      <w:r w:rsidR="000C1418" w:rsidRPr="000C1418">
        <w:rPr>
          <w:rStyle w:val="markedcontent"/>
          <w:i/>
        </w:rPr>
        <w:lastRenderedPageBreak/>
        <w:t>para lo cual se le notificará al Registro de la Propiedad del Distrito Metropolitano de Quito</w:t>
      </w:r>
      <w:r w:rsidR="0047453C" w:rsidRPr="008C229E">
        <w:rPr>
          <w:i/>
        </w:rPr>
        <w:t xml:space="preserve"> </w:t>
      </w:r>
      <w:r w:rsidR="00EC104D">
        <w:rPr>
          <w:i/>
          <w:sz w:val="22"/>
          <w:szCs w:val="22"/>
          <w:lang w:eastAsia="es-EC"/>
        </w:rPr>
        <w:t>(…)”</w:t>
      </w:r>
    </w:p>
    <w:p w:rsidR="00921E14" w:rsidRPr="0047453C" w:rsidRDefault="00921E14" w:rsidP="00257CEB">
      <w:pPr>
        <w:autoSpaceDE w:val="0"/>
        <w:autoSpaceDN w:val="0"/>
        <w:adjustRightInd w:val="0"/>
        <w:ind w:left="705" w:hanging="705"/>
        <w:jc w:val="both"/>
        <w:rPr>
          <w:rFonts w:eastAsiaTheme="minorHAnsi"/>
          <w:b/>
          <w:sz w:val="22"/>
          <w:szCs w:val="22"/>
          <w:lang w:val="es-EC" w:eastAsia="en-US"/>
        </w:rPr>
      </w:pPr>
    </w:p>
    <w:p w:rsidR="00257CEB" w:rsidRPr="00EC104D" w:rsidRDefault="00600D8D" w:rsidP="00EC104D">
      <w:pPr>
        <w:ind w:left="705" w:hanging="705"/>
        <w:jc w:val="both"/>
        <w:rPr>
          <w:i/>
          <w:sz w:val="22"/>
          <w:szCs w:val="22"/>
        </w:rPr>
      </w:pPr>
      <w:r w:rsidRPr="0047453C">
        <w:rPr>
          <w:rFonts w:eastAsiaTheme="minorHAnsi"/>
          <w:b/>
          <w:sz w:val="20"/>
          <w:szCs w:val="22"/>
          <w:lang w:val="es-EC" w:eastAsia="en-US"/>
        </w:rPr>
        <w:t>Que</w:t>
      </w:r>
      <w:r w:rsidR="00854F7C" w:rsidRPr="0047453C">
        <w:rPr>
          <w:rFonts w:eastAsiaTheme="minorHAnsi"/>
          <w:sz w:val="20"/>
          <w:szCs w:val="22"/>
          <w:lang w:val="es-EC" w:eastAsia="en-US"/>
        </w:rPr>
        <w:t xml:space="preserve">, </w:t>
      </w:r>
      <w:r w:rsidR="00D27AB2" w:rsidRPr="0047453C">
        <w:rPr>
          <w:rFonts w:eastAsiaTheme="minorHAnsi"/>
          <w:sz w:val="20"/>
          <w:szCs w:val="22"/>
          <w:lang w:val="es-EC" w:eastAsia="en-US"/>
        </w:rPr>
        <w:tab/>
      </w:r>
      <w:r w:rsidR="004E0D99" w:rsidRPr="000C1418">
        <w:rPr>
          <w:bCs/>
          <w:color w:val="000000"/>
          <w:sz w:val="22"/>
          <w:szCs w:val="22"/>
        </w:rPr>
        <w:t>m</w:t>
      </w:r>
      <w:r w:rsidR="00D27AB2" w:rsidRPr="000C1418">
        <w:rPr>
          <w:bCs/>
          <w:color w:val="000000"/>
          <w:sz w:val="22"/>
          <w:szCs w:val="22"/>
        </w:rPr>
        <w:t xml:space="preserve">ediante </w:t>
      </w:r>
      <w:r w:rsidR="0047453C" w:rsidRPr="000C1418">
        <w:rPr>
          <w:bCs/>
          <w:color w:val="000000"/>
          <w:sz w:val="22"/>
          <w:szCs w:val="22"/>
        </w:rPr>
        <w:t xml:space="preserve">documento ingresado a esta Administración con </w:t>
      </w:r>
      <w:r w:rsidR="00E07958" w:rsidRPr="000C1418">
        <w:rPr>
          <w:bCs/>
          <w:color w:val="000000"/>
          <w:sz w:val="22"/>
          <w:szCs w:val="22"/>
        </w:rPr>
        <w:t>Nro</w:t>
      </w:r>
      <w:r w:rsidR="000C1418">
        <w:rPr>
          <w:sz w:val="22"/>
          <w:szCs w:val="22"/>
        </w:rPr>
        <w:t>. GADDMQ-AZC-DAF-2023-0669-E de 03</w:t>
      </w:r>
      <w:r w:rsidR="0047453C" w:rsidRPr="000C1418">
        <w:rPr>
          <w:sz w:val="22"/>
          <w:szCs w:val="22"/>
        </w:rPr>
        <w:t xml:space="preserve"> de </w:t>
      </w:r>
      <w:r w:rsidR="000C1418">
        <w:rPr>
          <w:sz w:val="22"/>
          <w:szCs w:val="22"/>
        </w:rPr>
        <w:t>abril</w:t>
      </w:r>
      <w:r w:rsidR="0047453C" w:rsidRPr="000C1418">
        <w:rPr>
          <w:sz w:val="22"/>
          <w:szCs w:val="22"/>
        </w:rPr>
        <w:t xml:space="preserve"> de 202</w:t>
      </w:r>
      <w:r w:rsidR="000C1418">
        <w:rPr>
          <w:sz w:val="22"/>
          <w:szCs w:val="22"/>
        </w:rPr>
        <w:t>3</w:t>
      </w:r>
      <w:r w:rsidR="0047453C" w:rsidRPr="000C1418">
        <w:rPr>
          <w:sz w:val="22"/>
          <w:szCs w:val="22"/>
        </w:rPr>
        <w:t xml:space="preserve"> suscrito por </w:t>
      </w:r>
      <w:r w:rsidR="000C1418">
        <w:rPr>
          <w:sz w:val="22"/>
          <w:szCs w:val="22"/>
        </w:rPr>
        <w:t>el S</w:t>
      </w:r>
      <w:r w:rsidR="0047453C" w:rsidRPr="000C1418">
        <w:rPr>
          <w:sz w:val="22"/>
          <w:szCs w:val="22"/>
        </w:rPr>
        <w:t xml:space="preserve">r. </w:t>
      </w:r>
      <w:r w:rsidR="000C1418">
        <w:rPr>
          <w:sz w:val="22"/>
          <w:szCs w:val="22"/>
        </w:rPr>
        <w:t xml:space="preserve">Juan José </w:t>
      </w:r>
      <w:proofErr w:type="spellStart"/>
      <w:r w:rsidR="00EC104D">
        <w:rPr>
          <w:sz w:val="22"/>
          <w:szCs w:val="22"/>
        </w:rPr>
        <w:t>Sotalín</w:t>
      </w:r>
      <w:proofErr w:type="spellEnd"/>
      <w:r w:rsidR="00EC104D">
        <w:rPr>
          <w:sz w:val="22"/>
          <w:szCs w:val="22"/>
        </w:rPr>
        <w:t xml:space="preserve"> Peralta, mediante el cual solicita</w:t>
      </w:r>
      <w:r w:rsidR="0047453C" w:rsidRPr="000C1418">
        <w:rPr>
          <w:sz w:val="22"/>
          <w:szCs w:val="22"/>
        </w:rPr>
        <w:t xml:space="preserve">: “(…) </w:t>
      </w:r>
      <w:r w:rsidR="00EC104D" w:rsidRPr="00EC104D">
        <w:rPr>
          <w:i/>
          <w:sz w:val="22"/>
          <w:szCs w:val="22"/>
        </w:rPr>
        <w:t xml:space="preserve">continuar con la sentencia de Juicio </w:t>
      </w:r>
      <w:r w:rsidR="00EC104D">
        <w:rPr>
          <w:i/>
          <w:sz w:val="22"/>
          <w:szCs w:val="22"/>
        </w:rPr>
        <w:t xml:space="preserve">17306-2012-0294 correspondiente </w:t>
      </w:r>
      <w:r w:rsidR="00EC104D" w:rsidRPr="00EC104D">
        <w:rPr>
          <w:i/>
          <w:sz w:val="22"/>
          <w:szCs w:val="22"/>
        </w:rPr>
        <w:t>a la Sentencia de Prescripción Adquisitiva de Dominio parcial del predio 400690</w:t>
      </w:r>
      <w:r w:rsidR="00EC104D" w:rsidRPr="00EC104D">
        <w:rPr>
          <w:i/>
          <w:sz w:val="22"/>
          <w:szCs w:val="22"/>
        </w:rPr>
        <w:t xml:space="preserve"> </w:t>
      </w:r>
      <w:r w:rsidR="0047453C" w:rsidRPr="000C1418">
        <w:rPr>
          <w:i/>
          <w:sz w:val="22"/>
          <w:szCs w:val="22"/>
        </w:rPr>
        <w:t>(…)”.</w:t>
      </w:r>
      <w:r w:rsidR="00495945" w:rsidRPr="000C1418">
        <w:rPr>
          <w:rStyle w:val="markedcontent"/>
          <w:sz w:val="22"/>
          <w:szCs w:val="22"/>
        </w:rPr>
        <w:t>;</w:t>
      </w:r>
    </w:p>
    <w:p w:rsidR="00F22B58" w:rsidRPr="0047453C" w:rsidRDefault="00F22B58" w:rsidP="00257CEB">
      <w:pPr>
        <w:ind w:left="705" w:hanging="705"/>
        <w:jc w:val="both"/>
        <w:rPr>
          <w:sz w:val="22"/>
          <w:szCs w:val="22"/>
        </w:rPr>
      </w:pPr>
    </w:p>
    <w:p w:rsidR="00852D76" w:rsidRPr="00EC104D" w:rsidRDefault="00600D8D" w:rsidP="00EC104D">
      <w:pPr>
        <w:ind w:left="705" w:hanging="705"/>
        <w:jc w:val="both"/>
        <w:rPr>
          <w:i/>
          <w:color w:val="000000"/>
          <w:sz w:val="22"/>
        </w:rPr>
      </w:pPr>
      <w:bookmarkStart w:id="1" w:name="_Hlk51947053"/>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r w:rsidR="00FE75E5" w:rsidRPr="0047453C">
        <w:rPr>
          <w:sz w:val="22"/>
          <w:szCs w:val="22"/>
        </w:rPr>
        <w:t>c</w:t>
      </w:r>
      <w:r w:rsidR="00F22B58" w:rsidRPr="0047453C">
        <w:rPr>
          <w:sz w:val="22"/>
          <w:szCs w:val="22"/>
        </w:rPr>
        <w:t>on I</w:t>
      </w:r>
      <w:r w:rsidR="00E07958" w:rsidRPr="0047453C">
        <w:rPr>
          <w:sz w:val="22"/>
          <w:szCs w:val="22"/>
        </w:rPr>
        <w:t>nforme Técnico AZCA-DGT-202</w:t>
      </w:r>
      <w:r w:rsidR="00C977A3" w:rsidRPr="0047453C">
        <w:rPr>
          <w:sz w:val="22"/>
          <w:szCs w:val="22"/>
        </w:rPr>
        <w:t>3-00</w:t>
      </w:r>
      <w:r w:rsidR="00EC104D">
        <w:rPr>
          <w:sz w:val="22"/>
          <w:szCs w:val="22"/>
        </w:rPr>
        <w:t>5 de 13</w:t>
      </w:r>
      <w:r w:rsidR="00F22B58" w:rsidRPr="0047453C">
        <w:rPr>
          <w:sz w:val="22"/>
          <w:szCs w:val="22"/>
        </w:rPr>
        <w:t xml:space="preserve"> de </w:t>
      </w:r>
      <w:r w:rsidR="00EC104D">
        <w:rPr>
          <w:sz w:val="22"/>
          <w:szCs w:val="22"/>
        </w:rPr>
        <w:t>junio</w:t>
      </w:r>
      <w:r w:rsidR="00F22B58" w:rsidRPr="0047453C">
        <w:rPr>
          <w:sz w:val="22"/>
          <w:szCs w:val="22"/>
        </w:rPr>
        <w:t xml:space="preserve"> de 202</w:t>
      </w:r>
      <w:r w:rsidR="00C977A3" w:rsidRPr="0047453C">
        <w:rPr>
          <w:sz w:val="22"/>
          <w:szCs w:val="22"/>
        </w:rPr>
        <w:t>3</w:t>
      </w:r>
      <w:r w:rsidR="00F22B58" w:rsidRPr="0047453C">
        <w:rPr>
          <w:sz w:val="22"/>
          <w:szCs w:val="22"/>
        </w:rPr>
        <w:t xml:space="preserve">, </w:t>
      </w:r>
      <w:r w:rsidR="00C977A3" w:rsidRPr="0047453C">
        <w:rPr>
          <w:sz w:val="22"/>
          <w:szCs w:val="22"/>
        </w:rPr>
        <w:t xml:space="preserve">emitido por </w:t>
      </w:r>
      <w:r w:rsidR="00495945" w:rsidRPr="0047453C">
        <w:rPr>
          <w:sz w:val="22"/>
          <w:szCs w:val="22"/>
        </w:rPr>
        <w:t>el Jefe</w:t>
      </w:r>
      <w:r w:rsidR="00F22B58" w:rsidRPr="0047453C">
        <w:rPr>
          <w:sz w:val="22"/>
          <w:szCs w:val="22"/>
        </w:rPr>
        <w:t xml:space="preserve"> de Gestión</w:t>
      </w:r>
      <w:r w:rsidR="00CC083B" w:rsidRPr="0047453C">
        <w:rPr>
          <w:sz w:val="22"/>
          <w:szCs w:val="22"/>
        </w:rPr>
        <w:t xml:space="preserve"> </w:t>
      </w:r>
      <w:r w:rsidR="00F22B58" w:rsidRPr="0047453C">
        <w:rPr>
          <w:sz w:val="22"/>
          <w:szCs w:val="22"/>
        </w:rPr>
        <w:t xml:space="preserve">Urbana, </w:t>
      </w:r>
      <w:r w:rsidR="00852D76" w:rsidRPr="0047453C">
        <w:rPr>
          <w:sz w:val="22"/>
          <w:szCs w:val="22"/>
        </w:rPr>
        <w:t>de la Prescripción</w:t>
      </w:r>
      <w:r w:rsidR="00EC104D">
        <w:rPr>
          <w:sz w:val="22"/>
          <w:szCs w:val="22"/>
        </w:rPr>
        <w:t xml:space="preserve"> Adquisitiva </w:t>
      </w:r>
      <w:r w:rsidR="00EC104D" w:rsidRPr="0047453C">
        <w:rPr>
          <w:sz w:val="22"/>
          <w:szCs w:val="22"/>
        </w:rPr>
        <w:t>Parcial</w:t>
      </w:r>
      <w:r w:rsidR="00852D76" w:rsidRPr="0047453C">
        <w:rPr>
          <w:sz w:val="22"/>
          <w:szCs w:val="22"/>
        </w:rPr>
        <w:t xml:space="preserve"> del predio </w:t>
      </w:r>
      <w:r w:rsidR="00EC104D">
        <w:rPr>
          <w:sz w:val="22"/>
          <w:szCs w:val="22"/>
        </w:rPr>
        <w:t xml:space="preserve">400690, </w:t>
      </w:r>
      <w:r w:rsidR="00EC104D" w:rsidRPr="0047453C">
        <w:rPr>
          <w:sz w:val="22"/>
          <w:szCs w:val="22"/>
        </w:rPr>
        <w:t>en</w:t>
      </w:r>
      <w:r w:rsidR="00852D76" w:rsidRPr="0047453C">
        <w:rPr>
          <w:sz w:val="22"/>
          <w:szCs w:val="22"/>
        </w:rPr>
        <w:t xml:space="preserve"> el cual concluye: “</w:t>
      </w:r>
      <w:r w:rsidR="00EC104D" w:rsidRPr="00EC104D">
        <w:rPr>
          <w:i/>
          <w:color w:val="000000"/>
          <w:sz w:val="22"/>
        </w:rPr>
        <w:t>Del análisis técnico se desprende que,</w:t>
      </w:r>
      <w:r w:rsidR="00EC104D">
        <w:rPr>
          <w:i/>
          <w:color w:val="000000"/>
          <w:sz w:val="22"/>
        </w:rPr>
        <w:t xml:space="preserve"> la prescripción adquisitiva de </w:t>
      </w:r>
      <w:r w:rsidR="00EC104D" w:rsidRPr="00EC104D">
        <w:rPr>
          <w:i/>
          <w:color w:val="000000"/>
          <w:sz w:val="22"/>
        </w:rPr>
        <w:t>dominio de una parte del inmueble del predio No.</w:t>
      </w:r>
      <w:r w:rsidR="00EC104D">
        <w:rPr>
          <w:i/>
          <w:color w:val="000000"/>
          <w:sz w:val="22"/>
        </w:rPr>
        <w:t xml:space="preserve"> 400690, No Cumple con el ¨Lote </w:t>
      </w:r>
      <w:r w:rsidR="00EC104D" w:rsidRPr="00EC104D">
        <w:rPr>
          <w:i/>
          <w:color w:val="000000"/>
          <w:sz w:val="22"/>
        </w:rPr>
        <w:t>mínimo¨ y tampoco cumple con el ¨Frente mínimo¨ estab</w:t>
      </w:r>
      <w:r w:rsidR="00EC104D">
        <w:rPr>
          <w:i/>
          <w:color w:val="000000"/>
          <w:sz w:val="22"/>
        </w:rPr>
        <w:t xml:space="preserve">lecida en la normativa vigente, </w:t>
      </w:r>
      <w:r w:rsidR="00EC104D" w:rsidRPr="00EC104D">
        <w:rPr>
          <w:i/>
          <w:color w:val="000000"/>
          <w:sz w:val="22"/>
        </w:rPr>
        <w:t xml:space="preserve">razón por la que se emite </w:t>
      </w:r>
      <w:r w:rsidR="00EC104D" w:rsidRPr="00EC104D">
        <w:rPr>
          <w:b/>
          <w:i/>
          <w:color w:val="000000"/>
          <w:sz w:val="22"/>
        </w:rPr>
        <w:t>Informe Técnico Desfavorable</w:t>
      </w:r>
      <w:r w:rsidR="00852D76" w:rsidRPr="0047453C">
        <w:rPr>
          <w:sz w:val="20"/>
          <w:szCs w:val="22"/>
        </w:rPr>
        <w:t>”</w:t>
      </w:r>
      <w:r w:rsidR="00495945" w:rsidRPr="0047453C">
        <w:rPr>
          <w:sz w:val="22"/>
          <w:szCs w:val="22"/>
        </w:rPr>
        <w:t>;</w:t>
      </w:r>
    </w:p>
    <w:p w:rsidR="00F22B58" w:rsidRPr="0047453C" w:rsidRDefault="00F22B58" w:rsidP="00852D76">
      <w:pPr>
        <w:autoSpaceDE w:val="0"/>
        <w:autoSpaceDN w:val="0"/>
        <w:adjustRightInd w:val="0"/>
        <w:jc w:val="both"/>
        <w:rPr>
          <w:rFonts w:eastAsiaTheme="minorHAnsi"/>
          <w:sz w:val="22"/>
          <w:szCs w:val="22"/>
          <w:lang w:val="es-EC" w:eastAsia="en-US"/>
        </w:rPr>
      </w:pPr>
    </w:p>
    <w:p w:rsidR="00EC104D" w:rsidRDefault="00C977A3" w:rsidP="00EC104D">
      <w:pPr>
        <w:shd w:val="clear" w:color="auto" w:fill="FFFFFF"/>
        <w:ind w:left="705" w:hanging="705"/>
        <w:jc w:val="both"/>
        <w:rPr>
          <w:i/>
          <w:sz w:val="22"/>
        </w:rPr>
      </w:pPr>
      <w:r w:rsidRPr="0047453C">
        <w:rPr>
          <w:b/>
          <w:sz w:val="22"/>
          <w:szCs w:val="22"/>
        </w:rPr>
        <w:t>Que</w:t>
      </w:r>
      <w:r w:rsidRPr="0047453C">
        <w:rPr>
          <w:sz w:val="22"/>
          <w:szCs w:val="22"/>
        </w:rPr>
        <w:t xml:space="preserve">, </w:t>
      </w:r>
      <w:r w:rsidRPr="0047453C">
        <w:rPr>
          <w:sz w:val="22"/>
          <w:szCs w:val="22"/>
        </w:rPr>
        <w:tab/>
        <w:t>c</w:t>
      </w:r>
      <w:r w:rsidR="00D768BF" w:rsidRPr="0047453C">
        <w:rPr>
          <w:sz w:val="22"/>
          <w:szCs w:val="22"/>
        </w:rPr>
        <w:t>on memorand</w:t>
      </w:r>
      <w:r w:rsidR="004F0BD8" w:rsidRPr="0047453C">
        <w:rPr>
          <w:sz w:val="22"/>
          <w:szCs w:val="22"/>
        </w:rPr>
        <w:t>o Nro. GADDMQ-AZCA-DGT-202</w:t>
      </w:r>
      <w:r w:rsidR="00F17BE5" w:rsidRPr="0047453C">
        <w:rPr>
          <w:sz w:val="22"/>
          <w:szCs w:val="22"/>
        </w:rPr>
        <w:t>3</w:t>
      </w:r>
      <w:r w:rsidR="004F0BD8" w:rsidRPr="0047453C">
        <w:rPr>
          <w:sz w:val="22"/>
          <w:szCs w:val="22"/>
        </w:rPr>
        <w:t>-</w:t>
      </w:r>
      <w:r w:rsidR="00EC104D">
        <w:rPr>
          <w:sz w:val="22"/>
          <w:szCs w:val="22"/>
        </w:rPr>
        <w:t>0686</w:t>
      </w:r>
      <w:r w:rsidR="00D768BF" w:rsidRPr="0047453C">
        <w:rPr>
          <w:sz w:val="22"/>
          <w:szCs w:val="22"/>
        </w:rPr>
        <w:t>-M</w:t>
      </w:r>
      <w:r w:rsidR="00EC104D">
        <w:rPr>
          <w:sz w:val="22"/>
          <w:szCs w:val="22"/>
        </w:rPr>
        <w:t xml:space="preserve">, </w:t>
      </w:r>
      <w:r w:rsidR="00D768BF" w:rsidRPr="0047453C">
        <w:rPr>
          <w:sz w:val="22"/>
          <w:szCs w:val="22"/>
        </w:rPr>
        <w:t>de</w:t>
      </w:r>
      <w:r w:rsidR="00852D76" w:rsidRPr="0047453C">
        <w:rPr>
          <w:sz w:val="22"/>
          <w:szCs w:val="22"/>
        </w:rPr>
        <w:t xml:space="preserve"> </w:t>
      </w:r>
      <w:r w:rsidR="00EC104D">
        <w:rPr>
          <w:sz w:val="22"/>
          <w:szCs w:val="22"/>
        </w:rPr>
        <w:t>16</w:t>
      </w:r>
      <w:r w:rsidR="0047453C">
        <w:rPr>
          <w:sz w:val="22"/>
          <w:szCs w:val="22"/>
        </w:rPr>
        <w:t xml:space="preserve"> </w:t>
      </w:r>
      <w:r w:rsidR="00D768BF" w:rsidRPr="0047453C">
        <w:rPr>
          <w:sz w:val="22"/>
          <w:szCs w:val="22"/>
        </w:rPr>
        <w:t xml:space="preserve">de </w:t>
      </w:r>
      <w:r w:rsidR="00EC104D">
        <w:rPr>
          <w:sz w:val="22"/>
          <w:szCs w:val="22"/>
        </w:rPr>
        <w:t>junio</w:t>
      </w:r>
      <w:r w:rsidR="0047453C">
        <w:rPr>
          <w:sz w:val="22"/>
          <w:szCs w:val="22"/>
        </w:rPr>
        <w:t xml:space="preserve"> </w:t>
      </w:r>
      <w:r w:rsidR="00D768BF" w:rsidRPr="0047453C">
        <w:rPr>
          <w:sz w:val="22"/>
          <w:szCs w:val="22"/>
        </w:rPr>
        <w:t>de 202</w:t>
      </w:r>
      <w:r w:rsidR="00F17BE5" w:rsidRPr="0047453C">
        <w:rPr>
          <w:sz w:val="22"/>
          <w:szCs w:val="22"/>
        </w:rPr>
        <w:t>3</w:t>
      </w:r>
      <w:r w:rsidRPr="0047453C">
        <w:rPr>
          <w:sz w:val="22"/>
          <w:szCs w:val="22"/>
        </w:rPr>
        <w:t xml:space="preserve">, </w:t>
      </w:r>
      <w:r w:rsidR="00D768BF" w:rsidRPr="0047453C">
        <w:rPr>
          <w:sz w:val="22"/>
          <w:szCs w:val="22"/>
        </w:rPr>
        <w:t xml:space="preserve">mediante el cual la Directora de Gestión del Territorio indica </w:t>
      </w:r>
      <w:r w:rsidR="0047453C" w:rsidRPr="0047453C">
        <w:rPr>
          <w:rStyle w:val="fontstyle01"/>
          <w:i/>
          <w:sz w:val="20"/>
        </w:rPr>
        <w:t>“</w:t>
      </w:r>
      <w:r w:rsidR="00EC104D">
        <w:rPr>
          <w:i/>
          <w:sz w:val="22"/>
        </w:rPr>
        <w:t xml:space="preserve">En atención a </w:t>
      </w:r>
      <w:r w:rsidR="00EC104D" w:rsidRPr="00EC104D">
        <w:rPr>
          <w:i/>
          <w:sz w:val="22"/>
        </w:rPr>
        <w:t xml:space="preserve">trámite GADDMQ-AZC-DAF-2023-0669-E, mediante el </w:t>
      </w:r>
      <w:r w:rsidR="00EC104D">
        <w:rPr>
          <w:i/>
          <w:sz w:val="22"/>
        </w:rPr>
        <w:t xml:space="preserve">cual el señor Juan José </w:t>
      </w:r>
      <w:proofErr w:type="spellStart"/>
      <w:r w:rsidR="00EC104D">
        <w:rPr>
          <w:i/>
          <w:sz w:val="22"/>
        </w:rPr>
        <w:t>Sotalín</w:t>
      </w:r>
      <w:proofErr w:type="spellEnd"/>
      <w:r w:rsidR="00EC104D">
        <w:rPr>
          <w:i/>
          <w:sz w:val="22"/>
        </w:rPr>
        <w:t xml:space="preserve"> </w:t>
      </w:r>
      <w:r w:rsidR="00EC104D" w:rsidRPr="00EC104D">
        <w:rPr>
          <w:i/>
          <w:sz w:val="22"/>
        </w:rPr>
        <w:t xml:space="preserve">Peralta, solicita continuar con la sentencia de Juicio </w:t>
      </w:r>
      <w:r w:rsidR="00EC104D">
        <w:rPr>
          <w:i/>
          <w:sz w:val="22"/>
        </w:rPr>
        <w:t xml:space="preserve">17306-2012-0294 correspondiente </w:t>
      </w:r>
      <w:r w:rsidR="00EC104D" w:rsidRPr="00EC104D">
        <w:rPr>
          <w:i/>
          <w:sz w:val="22"/>
        </w:rPr>
        <w:t>a la Sentencia de Prescripción Adquisitiva de Dom</w:t>
      </w:r>
      <w:r w:rsidR="00EC104D">
        <w:rPr>
          <w:i/>
          <w:sz w:val="22"/>
        </w:rPr>
        <w:t>inio parcial del predio 400690.</w:t>
      </w:r>
    </w:p>
    <w:p w:rsidR="00F22B58" w:rsidRPr="00EC104D" w:rsidRDefault="00EC104D" w:rsidP="00EC104D">
      <w:pPr>
        <w:shd w:val="clear" w:color="auto" w:fill="FFFFFF"/>
        <w:ind w:left="705"/>
        <w:jc w:val="both"/>
        <w:rPr>
          <w:i/>
          <w:sz w:val="22"/>
        </w:rPr>
      </w:pPr>
      <w:r w:rsidRPr="00EC104D">
        <w:rPr>
          <w:i/>
          <w:sz w:val="22"/>
        </w:rPr>
        <w:t>Al respecto, la Dirección de Gestión del Territorio a través de la Unidad de Gestión</w:t>
      </w:r>
      <w:r>
        <w:rPr>
          <w:i/>
          <w:sz w:val="22"/>
        </w:rPr>
        <w:t xml:space="preserve"> </w:t>
      </w:r>
      <w:r w:rsidRPr="00EC104D">
        <w:rPr>
          <w:i/>
          <w:sz w:val="22"/>
        </w:rPr>
        <w:t>Urbana informa que se ha generado informe de prescripc</w:t>
      </w:r>
      <w:r>
        <w:rPr>
          <w:i/>
          <w:sz w:val="22"/>
        </w:rPr>
        <w:t xml:space="preserve">ión adquisitiva de dominio Nro. </w:t>
      </w:r>
      <w:r w:rsidRPr="00EC104D">
        <w:rPr>
          <w:i/>
          <w:sz w:val="22"/>
        </w:rPr>
        <w:t>AZCA-DGT-2023-005 en el cual en el literal 5 de con</w:t>
      </w:r>
      <w:r>
        <w:rPr>
          <w:i/>
          <w:sz w:val="22"/>
        </w:rPr>
        <w:t xml:space="preserve">clusiones expone: ¨Del análisis </w:t>
      </w:r>
      <w:r w:rsidRPr="00EC104D">
        <w:rPr>
          <w:i/>
          <w:sz w:val="22"/>
        </w:rPr>
        <w:t>técnico se desprende que, la prescripción adquisit</w:t>
      </w:r>
      <w:r>
        <w:rPr>
          <w:i/>
          <w:sz w:val="22"/>
        </w:rPr>
        <w:t xml:space="preserve">iva de dominio de una parte del </w:t>
      </w:r>
      <w:r w:rsidRPr="00EC104D">
        <w:rPr>
          <w:i/>
          <w:sz w:val="22"/>
        </w:rPr>
        <w:t>inmueble del predio No. 400690, No Cumple con el “lote mín</w:t>
      </w:r>
      <w:r>
        <w:rPr>
          <w:i/>
          <w:sz w:val="22"/>
        </w:rPr>
        <w:t xml:space="preserve">imo” y tampoco cumple con </w:t>
      </w:r>
      <w:r w:rsidRPr="00EC104D">
        <w:rPr>
          <w:i/>
          <w:sz w:val="22"/>
        </w:rPr>
        <w:t>el ¨Frente Mínimo¨ establecido en la normati</w:t>
      </w:r>
      <w:r>
        <w:rPr>
          <w:i/>
          <w:sz w:val="22"/>
        </w:rPr>
        <w:t xml:space="preserve">va vigente, razón por la que se </w:t>
      </w:r>
      <w:r w:rsidRPr="00EC104D">
        <w:rPr>
          <w:i/>
          <w:sz w:val="22"/>
        </w:rPr>
        <w:t xml:space="preserve">emite </w:t>
      </w:r>
      <w:r w:rsidRPr="00EC104D">
        <w:rPr>
          <w:b/>
          <w:i/>
          <w:sz w:val="22"/>
        </w:rPr>
        <w:t>Informe Técnico Desfavorable</w:t>
      </w:r>
      <w:r w:rsidR="00495945" w:rsidRPr="0047453C">
        <w:rPr>
          <w:sz w:val="20"/>
          <w:szCs w:val="22"/>
        </w:rPr>
        <w:t>”;</w:t>
      </w:r>
    </w:p>
    <w:p w:rsidR="00F22B58" w:rsidRPr="0047453C" w:rsidRDefault="00F22B58" w:rsidP="00F22B58">
      <w:pPr>
        <w:rPr>
          <w:sz w:val="22"/>
          <w:szCs w:val="22"/>
        </w:rPr>
      </w:pPr>
    </w:p>
    <w:p w:rsidR="00EC104D" w:rsidRDefault="00DE6C80" w:rsidP="00DC3DF0">
      <w:pPr>
        <w:autoSpaceDE w:val="0"/>
        <w:autoSpaceDN w:val="0"/>
        <w:adjustRightInd w:val="0"/>
        <w:ind w:left="705" w:hanging="705"/>
        <w:jc w:val="both"/>
        <w:rPr>
          <w:rFonts w:eastAsiaTheme="minorHAns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r>
      <w:r w:rsidR="00033B69" w:rsidRPr="0047453C">
        <w:rPr>
          <w:rFonts w:eastAsiaTheme="minorHAnsi"/>
          <w:sz w:val="22"/>
          <w:szCs w:val="22"/>
          <w:lang w:val="es-EC" w:eastAsia="en-US"/>
        </w:rPr>
        <w:t xml:space="preserve">la </w:t>
      </w:r>
      <w:r w:rsidRPr="0047453C">
        <w:rPr>
          <w:color w:val="000000"/>
          <w:sz w:val="22"/>
          <w:szCs w:val="22"/>
          <w:shd w:val="clear" w:color="auto" w:fill="FFFFFF"/>
          <w:lang w:val="es-ES_tradnl" w:bidi="en-US"/>
        </w:rPr>
        <w:t>Director</w:t>
      </w:r>
      <w:r w:rsidR="00033B69" w:rsidRPr="0047453C">
        <w:rPr>
          <w:color w:val="000000"/>
          <w:sz w:val="22"/>
          <w:szCs w:val="22"/>
          <w:shd w:val="clear" w:color="auto" w:fill="FFFFFF"/>
          <w:lang w:val="es-ES_tradnl" w:bidi="en-US"/>
        </w:rPr>
        <w:t>a</w:t>
      </w:r>
      <w:r w:rsidRPr="0047453C">
        <w:rPr>
          <w:color w:val="000000"/>
          <w:sz w:val="22"/>
          <w:szCs w:val="22"/>
          <w:shd w:val="clear" w:color="auto" w:fill="FFFFFF"/>
          <w:lang w:val="es-ES_tradnl" w:bidi="en-US"/>
        </w:rPr>
        <w:t xml:space="preserve"> de </w:t>
      </w:r>
      <w:r w:rsidR="00033B69" w:rsidRPr="0047453C">
        <w:rPr>
          <w:color w:val="000000"/>
          <w:sz w:val="22"/>
          <w:szCs w:val="22"/>
          <w:shd w:val="clear" w:color="auto" w:fill="FFFFFF"/>
          <w:lang w:val="es-ES_tradnl" w:bidi="en-US"/>
        </w:rPr>
        <w:t xml:space="preserve">la Dirección </w:t>
      </w:r>
      <w:r w:rsidRPr="0047453C">
        <w:rPr>
          <w:color w:val="000000"/>
          <w:sz w:val="22"/>
          <w:szCs w:val="22"/>
          <w:shd w:val="clear" w:color="auto" w:fill="FFFFFF"/>
          <w:lang w:val="es-ES_tradnl" w:bidi="en-US"/>
        </w:rPr>
        <w:t>Jurídica de la Administración  Zona</w:t>
      </w:r>
      <w:r w:rsidR="00033B69" w:rsidRPr="0047453C">
        <w:rPr>
          <w:color w:val="000000"/>
          <w:sz w:val="22"/>
          <w:szCs w:val="22"/>
          <w:shd w:val="clear" w:color="auto" w:fill="FFFFFF"/>
          <w:lang w:val="es-ES_tradnl" w:bidi="en-US"/>
        </w:rPr>
        <w:t>l</w:t>
      </w:r>
      <w:r w:rsidRPr="0047453C">
        <w:rPr>
          <w:color w:val="000000"/>
          <w:sz w:val="22"/>
          <w:szCs w:val="22"/>
          <w:shd w:val="clear" w:color="auto" w:fill="FFFFFF"/>
          <w:lang w:val="es-ES_tradnl" w:bidi="en-US"/>
        </w:rPr>
        <w:t xml:space="preserve"> </w:t>
      </w:r>
      <w:r w:rsidR="00033B69" w:rsidRPr="0047453C">
        <w:rPr>
          <w:color w:val="000000"/>
          <w:sz w:val="22"/>
          <w:szCs w:val="22"/>
          <w:shd w:val="clear" w:color="auto" w:fill="FFFFFF"/>
          <w:lang w:val="es-ES_tradnl" w:bidi="en-US"/>
        </w:rPr>
        <w:t>Calderón</w:t>
      </w:r>
      <w:r w:rsidR="00EC104D">
        <w:rPr>
          <w:color w:val="000000"/>
          <w:sz w:val="22"/>
          <w:szCs w:val="22"/>
          <w:shd w:val="clear" w:color="auto" w:fill="FFFFFF"/>
          <w:lang w:val="es-ES_tradnl" w:bidi="en-US"/>
        </w:rPr>
        <w:t xml:space="preserve">, emite el  </w:t>
      </w:r>
      <w:r w:rsidRPr="0047453C">
        <w:rPr>
          <w:color w:val="000000"/>
          <w:sz w:val="22"/>
          <w:szCs w:val="22"/>
          <w:shd w:val="clear" w:color="auto" w:fill="FFFFFF"/>
          <w:lang w:val="es-ES_tradnl" w:bidi="en-US"/>
        </w:rPr>
        <w:t xml:space="preserve">Informe Legal </w:t>
      </w:r>
      <w:r w:rsidR="00852D76" w:rsidRPr="0047453C">
        <w:rPr>
          <w:color w:val="000000"/>
          <w:sz w:val="22"/>
          <w:szCs w:val="22"/>
          <w:shd w:val="clear" w:color="auto" w:fill="FFFFFF"/>
          <w:lang w:val="es-ES_tradnl" w:bidi="en-US"/>
        </w:rPr>
        <w:t xml:space="preserve">contenido en el memorando Nro. </w:t>
      </w:r>
      <w:r w:rsidR="004F0BD8" w:rsidRPr="0047453C">
        <w:rPr>
          <w:color w:val="000000"/>
          <w:sz w:val="22"/>
          <w:szCs w:val="22"/>
          <w:shd w:val="clear" w:color="auto" w:fill="FFFFFF"/>
          <w:lang w:val="es-ES_tradnl" w:bidi="en-US"/>
        </w:rPr>
        <w:t>GADDMQ-AZCA-DAJ-202</w:t>
      </w:r>
      <w:r w:rsidR="00F17BE5" w:rsidRPr="0047453C">
        <w:rPr>
          <w:color w:val="000000"/>
          <w:sz w:val="22"/>
          <w:szCs w:val="22"/>
          <w:shd w:val="clear" w:color="auto" w:fill="FFFFFF"/>
          <w:lang w:val="es-ES_tradnl" w:bidi="en-US"/>
        </w:rPr>
        <w:t>3</w:t>
      </w:r>
      <w:r w:rsidR="004F0BD8" w:rsidRPr="0047453C">
        <w:rPr>
          <w:color w:val="000000"/>
          <w:sz w:val="22"/>
          <w:szCs w:val="22"/>
          <w:shd w:val="clear" w:color="auto" w:fill="FFFFFF"/>
          <w:lang w:val="es-ES_tradnl" w:bidi="en-US"/>
        </w:rPr>
        <w:t>-0</w:t>
      </w:r>
      <w:r w:rsidR="00EC104D">
        <w:rPr>
          <w:color w:val="000000"/>
          <w:sz w:val="22"/>
          <w:szCs w:val="22"/>
          <w:shd w:val="clear" w:color="auto" w:fill="FFFFFF"/>
          <w:lang w:val="es-ES_tradnl" w:bidi="en-US"/>
        </w:rPr>
        <w:t>19</w:t>
      </w:r>
      <w:r w:rsidR="0047453C">
        <w:rPr>
          <w:color w:val="000000"/>
          <w:sz w:val="22"/>
          <w:szCs w:val="22"/>
          <w:shd w:val="clear" w:color="auto" w:fill="FFFFFF"/>
          <w:lang w:val="es-ES_tradnl" w:bidi="en-US"/>
        </w:rPr>
        <w:t xml:space="preserve">1-M de </w:t>
      </w:r>
      <w:r w:rsidR="00495945" w:rsidRPr="0047453C">
        <w:rPr>
          <w:color w:val="000000"/>
          <w:sz w:val="22"/>
          <w:szCs w:val="22"/>
          <w:shd w:val="clear" w:color="auto" w:fill="FFFFFF"/>
          <w:lang w:val="es-ES_tradnl" w:bidi="en-US"/>
        </w:rPr>
        <w:t>1</w:t>
      </w:r>
      <w:r w:rsidR="00EC104D">
        <w:rPr>
          <w:color w:val="000000"/>
          <w:sz w:val="22"/>
          <w:szCs w:val="22"/>
          <w:shd w:val="clear" w:color="auto" w:fill="FFFFFF"/>
          <w:lang w:val="es-ES_tradnl" w:bidi="en-US"/>
        </w:rPr>
        <w:t>9</w:t>
      </w:r>
      <w:r w:rsidR="00F17BE5" w:rsidRPr="0047453C">
        <w:rPr>
          <w:color w:val="000000"/>
          <w:sz w:val="22"/>
          <w:szCs w:val="22"/>
          <w:shd w:val="clear" w:color="auto" w:fill="FFFFFF"/>
          <w:lang w:val="es-ES_tradnl" w:bidi="en-US"/>
        </w:rPr>
        <w:t xml:space="preserve"> de </w:t>
      </w:r>
      <w:r w:rsidR="00EC104D">
        <w:rPr>
          <w:color w:val="000000"/>
          <w:sz w:val="22"/>
          <w:szCs w:val="22"/>
          <w:shd w:val="clear" w:color="auto" w:fill="FFFFFF"/>
          <w:lang w:val="es-ES_tradnl" w:bidi="en-US"/>
        </w:rPr>
        <w:t>junio</w:t>
      </w:r>
      <w:r w:rsidR="0047453C">
        <w:rPr>
          <w:color w:val="000000"/>
          <w:sz w:val="22"/>
          <w:szCs w:val="22"/>
          <w:shd w:val="clear" w:color="auto" w:fill="FFFFFF"/>
          <w:lang w:val="es-ES_tradnl" w:bidi="en-US"/>
        </w:rPr>
        <w:t xml:space="preserve"> </w:t>
      </w:r>
      <w:r w:rsidR="00A83A8D" w:rsidRPr="0047453C">
        <w:rPr>
          <w:color w:val="000000"/>
          <w:sz w:val="22"/>
          <w:szCs w:val="22"/>
          <w:shd w:val="clear" w:color="auto" w:fill="FFFFFF"/>
          <w:lang w:val="es-ES_tradnl" w:bidi="en-US"/>
        </w:rPr>
        <w:t>de 202</w:t>
      </w:r>
      <w:r w:rsidR="00F17BE5" w:rsidRPr="0047453C">
        <w:rPr>
          <w:color w:val="000000"/>
          <w:sz w:val="22"/>
          <w:szCs w:val="22"/>
          <w:shd w:val="clear" w:color="auto" w:fill="FFFFFF"/>
          <w:lang w:val="es-ES_tradnl" w:bidi="en-US"/>
        </w:rPr>
        <w:t>3</w:t>
      </w:r>
      <w:r w:rsidR="00A83A8D" w:rsidRPr="0047453C">
        <w:rPr>
          <w:color w:val="000000"/>
          <w:sz w:val="22"/>
          <w:szCs w:val="22"/>
          <w:shd w:val="clear" w:color="auto" w:fill="FFFFFF"/>
          <w:lang w:val="es-ES_tradnl" w:bidi="en-US"/>
        </w:rPr>
        <w:t xml:space="preserve">, </w:t>
      </w:r>
      <w:r w:rsidRPr="0047453C">
        <w:rPr>
          <w:color w:val="000000"/>
          <w:sz w:val="22"/>
          <w:szCs w:val="22"/>
          <w:shd w:val="clear" w:color="auto" w:fill="FFFFFF"/>
          <w:lang w:val="es-ES_tradnl" w:bidi="en-US"/>
        </w:rPr>
        <w:t>en</w:t>
      </w:r>
      <w:r w:rsidRPr="0047453C">
        <w:rPr>
          <w:sz w:val="22"/>
          <w:szCs w:val="22"/>
        </w:rPr>
        <w:t xml:space="preserve"> </w:t>
      </w:r>
      <w:r w:rsidR="008C1C80" w:rsidRPr="0047453C">
        <w:rPr>
          <w:sz w:val="22"/>
          <w:szCs w:val="22"/>
        </w:rPr>
        <w:t xml:space="preserve">el </w:t>
      </w:r>
      <w:r w:rsidRPr="0047453C">
        <w:rPr>
          <w:sz w:val="22"/>
          <w:szCs w:val="22"/>
        </w:rPr>
        <w:t xml:space="preserve">que </w:t>
      </w:r>
      <w:r w:rsidR="00A83A8D" w:rsidRPr="0047453C">
        <w:rPr>
          <w:sz w:val="22"/>
          <w:szCs w:val="22"/>
        </w:rPr>
        <w:t>concluyó:</w:t>
      </w:r>
      <w:r w:rsidRPr="0047453C">
        <w:rPr>
          <w:sz w:val="22"/>
          <w:szCs w:val="22"/>
        </w:rPr>
        <w:t xml:space="preserve"> </w:t>
      </w:r>
      <w:r w:rsidR="00CC083B" w:rsidRPr="0047453C">
        <w:rPr>
          <w:i/>
          <w:sz w:val="22"/>
          <w:szCs w:val="22"/>
        </w:rPr>
        <w:t>“</w:t>
      </w:r>
      <w:r w:rsidR="00EC104D" w:rsidRPr="00EC104D">
        <w:rPr>
          <w:rFonts w:eastAsiaTheme="minorHAnsi"/>
          <w:i/>
          <w:sz w:val="22"/>
          <w:szCs w:val="22"/>
          <w:lang w:val="es-EC" w:eastAsia="en-US"/>
        </w:rPr>
        <w:t xml:space="preserve">acogiendo el informe técnico AZCA- </w:t>
      </w:r>
      <w:r w:rsidR="00EC104D" w:rsidRPr="00EC104D">
        <w:rPr>
          <w:rFonts w:eastAsiaTheme="minorHAnsi"/>
          <w:i/>
          <w:sz w:val="22"/>
          <w:szCs w:val="22"/>
          <w:lang w:val="es-EC" w:eastAsia="en-US"/>
        </w:rPr>
        <w:t>DGT-2023-005 de 13 de junio de 2023, del Jefe de Gestión Urbana y aprobado</w:t>
      </w:r>
      <w:r w:rsidR="00EC104D" w:rsidRPr="00EC104D">
        <w:rPr>
          <w:rFonts w:eastAsiaTheme="minorHAnsi"/>
          <w:i/>
          <w:sz w:val="22"/>
          <w:szCs w:val="22"/>
          <w:lang w:val="es-EC" w:eastAsia="en-US"/>
        </w:rPr>
        <w:t xml:space="preserve"> </w:t>
      </w:r>
      <w:r w:rsidR="00EC104D" w:rsidRPr="00EC104D">
        <w:rPr>
          <w:rFonts w:eastAsiaTheme="minorHAnsi"/>
          <w:i/>
          <w:sz w:val="22"/>
          <w:szCs w:val="22"/>
          <w:lang w:val="es-EC" w:eastAsia="en-US"/>
        </w:rPr>
        <w:t>por la Directora de Gestión Territorial de la Administración Zonal Calderón con</w:t>
      </w:r>
      <w:r w:rsidR="00EC104D" w:rsidRPr="00EC104D">
        <w:rPr>
          <w:rFonts w:eastAsiaTheme="minorHAnsi"/>
          <w:i/>
          <w:sz w:val="22"/>
          <w:szCs w:val="22"/>
          <w:lang w:val="es-EC" w:eastAsia="en-US"/>
        </w:rPr>
        <w:t xml:space="preserve"> </w:t>
      </w:r>
      <w:r w:rsidR="00EC104D" w:rsidRPr="00EC104D">
        <w:rPr>
          <w:rFonts w:eastAsiaTheme="minorHAnsi"/>
          <w:i/>
          <w:sz w:val="22"/>
          <w:szCs w:val="22"/>
          <w:lang w:val="es-EC" w:eastAsia="en-US"/>
        </w:rPr>
        <w:t>memorando Nro. GADDMQ-AZCA-DGT-2023-0686-</w:t>
      </w:r>
      <w:r w:rsidR="00EC104D" w:rsidRPr="00EC104D">
        <w:rPr>
          <w:rFonts w:eastAsiaTheme="minorHAnsi"/>
          <w:i/>
          <w:sz w:val="22"/>
          <w:szCs w:val="22"/>
          <w:lang w:val="es-EC" w:eastAsia="en-US"/>
        </w:rPr>
        <w:t xml:space="preserve">M de 16 de junio de 2023, en el </w:t>
      </w:r>
      <w:r w:rsidR="00EC104D" w:rsidRPr="00EC104D">
        <w:rPr>
          <w:rFonts w:eastAsiaTheme="minorHAnsi"/>
          <w:i/>
          <w:sz w:val="22"/>
          <w:szCs w:val="22"/>
          <w:lang w:val="es-EC" w:eastAsia="en-US"/>
        </w:rPr>
        <w:t xml:space="preserve">que indica </w:t>
      </w:r>
      <w:r w:rsidR="00EC104D" w:rsidRPr="00EC104D">
        <w:rPr>
          <w:rFonts w:eastAsiaTheme="minorHAnsi"/>
          <w:i/>
          <w:iCs/>
          <w:sz w:val="22"/>
          <w:szCs w:val="22"/>
          <w:lang w:val="es-EC" w:eastAsia="en-US"/>
        </w:rPr>
        <w:t>Del análisis técnico se desprende que, la prescripción adquisitiva de dominio</w:t>
      </w:r>
      <w:r w:rsidR="00EC104D" w:rsidRPr="00EC104D">
        <w:rPr>
          <w:rFonts w:eastAsiaTheme="minorHAnsi"/>
          <w:i/>
          <w:sz w:val="22"/>
          <w:szCs w:val="22"/>
          <w:lang w:val="es-EC" w:eastAsia="en-US"/>
        </w:rPr>
        <w:t xml:space="preserve"> </w:t>
      </w:r>
      <w:r w:rsidR="00EC104D" w:rsidRPr="00EC104D">
        <w:rPr>
          <w:rFonts w:eastAsiaTheme="minorHAnsi"/>
          <w:i/>
          <w:iCs/>
          <w:sz w:val="22"/>
          <w:szCs w:val="22"/>
          <w:lang w:val="es-EC" w:eastAsia="en-US"/>
        </w:rPr>
        <w:t>de una parte del inmueble del predio No. 400690, No Cumple con el ¨Lote mínimo¨ y</w:t>
      </w:r>
      <w:r w:rsidR="00EC104D" w:rsidRPr="00EC104D">
        <w:rPr>
          <w:rFonts w:eastAsiaTheme="minorHAnsi"/>
          <w:i/>
          <w:sz w:val="22"/>
          <w:szCs w:val="22"/>
          <w:lang w:val="es-EC" w:eastAsia="en-US"/>
        </w:rPr>
        <w:t xml:space="preserve"> </w:t>
      </w:r>
      <w:r w:rsidR="00EC104D" w:rsidRPr="00EC104D">
        <w:rPr>
          <w:rFonts w:eastAsiaTheme="minorHAnsi"/>
          <w:i/>
          <w:iCs/>
          <w:sz w:val="22"/>
          <w:szCs w:val="22"/>
          <w:lang w:val="es-EC" w:eastAsia="en-US"/>
        </w:rPr>
        <w:t>tampoco cumple con el ¨Frente mínimo¨ establecida en la normativa vigente, razón por la</w:t>
      </w:r>
      <w:r w:rsidR="00EC104D" w:rsidRPr="00EC104D">
        <w:rPr>
          <w:rFonts w:eastAsiaTheme="minorHAnsi"/>
          <w:i/>
          <w:sz w:val="22"/>
          <w:szCs w:val="22"/>
          <w:lang w:val="es-EC" w:eastAsia="en-US"/>
        </w:rPr>
        <w:t xml:space="preserve"> </w:t>
      </w:r>
      <w:r w:rsidR="00EC104D" w:rsidRPr="00EC104D">
        <w:rPr>
          <w:rFonts w:eastAsiaTheme="minorHAnsi"/>
          <w:i/>
          <w:iCs/>
          <w:sz w:val="22"/>
          <w:szCs w:val="22"/>
          <w:lang w:val="es-EC" w:eastAsia="en-US"/>
        </w:rPr>
        <w:t xml:space="preserve">que se emite </w:t>
      </w:r>
      <w:r w:rsidR="00EC104D" w:rsidRPr="00EC104D">
        <w:rPr>
          <w:rFonts w:eastAsiaTheme="minorHAnsi"/>
          <w:b/>
          <w:bCs/>
          <w:i/>
          <w:iCs/>
          <w:sz w:val="22"/>
          <w:szCs w:val="22"/>
          <w:lang w:val="es-EC" w:eastAsia="en-US"/>
        </w:rPr>
        <w:t>Informe Técnico Desfavorable”</w:t>
      </w:r>
      <w:r w:rsidR="00EC104D" w:rsidRPr="00EC104D">
        <w:rPr>
          <w:rFonts w:eastAsiaTheme="minorHAnsi"/>
          <w:i/>
          <w:iCs/>
          <w:sz w:val="22"/>
          <w:szCs w:val="22"/>
          <w:lang w:val="es-EC" w:eastAsia="en-US"/>
        </w:rPr>
        <w:t xml:space="preserve">, </w:t>
      </w:r>
      <w:r w:rsidR="00EC104D" w:rsidRPr="00EC104D">
        <w:rPr>
          <w:rFonts w:eastAsiaTheme="minorHAnsi"/>
          <w:i/>
          <w:sz w:val="22"/>
          <w:szCs w:val="22"/>
          <w:lang w:val="es-EC" w:eastAsia="en-US"/>
        </w:rPr>
        <w:t>en e</w:t>
      </w:r>
      <w:r w:rsidR="00EC104D" w:rsidRPr="00EC104D">
        <w:rPr>
          <w:rFonts w:eastAsiaTheme="minorHAnsi"/>
          <w:i/>
          <w:sz w:val="22"/>
          <w:szCs w:val="22"/>
          <w:lang w:val="es-EC" w:eastAsia="en-US"/>
        </w:rPr>
        <w:t xml:space="preserve">ste sentido, se deberá proceder </w:t>
      </w:r>
      <w:r w:rsidR="00EC104D" w:rsidRPr="00EC104D">
        <w:rPr>
          <w:rFonts w:eastAsiaTheme="minorHAnsi"/>
          <w:i/>
          <w:sz w:val="22"/>
          <w:szCs w:val="22"/>
          <w:lang w:val="es-EC" w:eastAsia="en-US"/>
        </w:rPr>
        <w:t>conforme lo establece en el COOTAD y la Ordenanza 001</w:t>
      </w:r>
      <w:r w:rsidR="00EC104D">
        <w:rPr>
          <w:rFonts w:eastAsiaTheme="minorHAnsi"/>
          <w:sz w:val="22"/>
          <w:szCs w:val="22"/>
          <w:lang w:val="es-EC" w:eastAsia="en-US"/>
        </w:rPr>
        <w:t>.</w:t>
      </w:r>
    </w:p>
    <w:p w:rsidR="00EC104D" w:rsidRDefault="00EC104D" w:rsidP="00DC3DF0">
      <w:pPr>
        <w:autoSpaceDE w:val="0"/>
        <w:autoSpaceDN w:val="0"/>
        <w:adjustRightInd w:val="0"/>
        <w:ind w:left="705" w:hanging="705"/>
        <w:jc w:val="both"/>
        <w:rPr>
          <w:i/>
          <w:sz w:val="22"/>
          <w:lang w:eastAsia="es-EC"/>
        </w:rPr>
      </w:pPr>
    </w:p>
    <w:bookmarkEnd w:id="1"/>
    <w:p w:rsidR="00C84761" w:rsidRPr="0047453C" w:rsidRDefault="00192B30" w:rsidP="00C84761">
      <w:pPr>
        <w:autoSpaceDE w:val="0"/>
        <w:autoSpaceDN w:val="0"/>
        <w:adjustRightInd w:val="0"/>
        <w:jc w:val="both"/>
        <w:rPr>
          <w:sz w:val="22"/>
          <w:szCs w:val="22"/>
        </w:rPr>
      </w:pPr>
      <w:r w:rsidRPr="00192B30">
        <w:rPr>
          <w:b/>
          <w:sz w:val="22"/>
          <w:szCs w:val="22"/>
        </w:rPr>
        <w:t>Que</w:t>
      </w:r>
      <w:r w:rsidRPr="0047453C">
        <w:rPr>
          <w:sz w:val="22"/>
          <w:szCs w:val="22"/>
        </w:rPr>
        <w:t xml:space="preserve">, </w:t>
      </w:r>
      <w:r>
        <w:rPr>
          <w:sz w:val="22"/>
          <w:szCs w:val="22"/>
        </w:rPr>
        <w:tab/>
      </w:r>
      <w:r w:rsidRPr="0047453C">
        <w:rPr>
          <w:sz w:val="22"/>
          <w:szCs w:val="22"/>
        </w:rPr>
        <w:t>con</w:t>
      </w:r>
      <w:r w:rsidR="00A83A8D" w:rsidRPr="0047453C">
        <w:rPr>
          <w:sz w:val="22"/>
          <w:szCs w:val="22"/>
        </w:rPr>
        <w:t xml:space="preserve"> informe de la Comisión de Uso de Suelo</w:t>
      </w:r>
      <w:r w:rsidR="00C84761" w:rsidRPr="0047453C">
        <w:rPr>
          <w:sz w:val="22"/>
          <w:szCs w:val="22"/>
        </w:rPr>
        <w:t>, emitió c</w:t>
      </w:r>
      <w:r w:rsidR="008C1C80" w:rsidRPr="0047453C">
        <w:rPr>
          <w:sz w:val="22"/>
          <w:szCs w:val="22"/>
        </w:rPr>
        <w:t>r</w:t>
      </w:r>
      <w:r w:rsidR="00C84761" w:rsidRPr="0047453C">
        <w:rPr>
          <w:sz w:val="22"/>
          <w:szCs w:val="22"/>
        </w:rPr>
        <w:t>iterio favorable</w:t>
      </w:r>
    </w:p>
    <w:p w:rsidR="00C84761" w:rsidRPr="0047453C" w:rsidRDefault="00C84761" w:rsidP="00021DED">
      <w:pPr>
        <w:autoSpaceDE w:val="0"/>
        <w:autoSpaceDN w:val="0"/>
        <w:adjustRightInd w:val="0"/>
        <w:jc w:val="center"/>
        <w:rPr>
          <w:sz w:val="22"/>
          <w:szCs w:val="22"/>
        </w:rPr>
      </w:pPr>
    </w:p>
    <w:p w:rsidR="00C84761" w:rsidRPr="0047453C" w:rsidRDefault="00C84761" w:rsidP="00021DED">
      <w:pPr>
        <w:autoSpaceDE w:val="0"/>
        <w:autoSpaceDN w:val="0"/>
        <w:adjustRightInd w:val="0"/>
        <w:jc w:val="center"/>
        <w:rPr>
          <w:sz w:val="22"/>
          <w:szCs w:val="22"/>
        </w:rPr>
      </w:pPr>
    </w:p>
    <w:p w:rsidR="00600D8D" w:rsidRPr="0047453C" w:rsidRDefault="00842105" w:rsidP="00921E14">
      <w:pPr>
        <w:autoSpaceDE w:val="0"/>
        <w:autoSpaceDN w:val="0"/>
        <w:adjustRightInd w:val="0"/>
        <w:rPr>
          <w:rFonts w:eastAsiaTheme="minorHAnsi"/>
          <w:b/>
          <w:bCs/>
          <w:sz w:val="22"/>
          <w:szCs w:val="22"/>
          <w:lang w:val="es-EC" w:eastAsia="en-US"/>
        </w:rPr>
      </w:pPr>
      <w:r w:rsidRPr="0047453C">
        <w:rPr>
          <w:sz w:val="22"/>
          <w:szCs w:val="22"/>
        </w:rPr>
        <w:t>En el ejercicio de sus atribuciones legales,</w:t>
      </w:r>
    </w:p>
    <w:p w:rsidR="004D3600" w:rsidRDefault="004D3600" w:rsidP="00021DED">
      <w:pPr>
        <w:autoSpaceDE w:val="0"/>
        <w:autoSpaceDN w:val="0"/>
        <w:adjustRightInd w:val="0"/>
        <w:jc w:val="center"/>
        <w:rPr>
          <w:rFonts w:eastAsiaTheme="minorHAnsi"/>
          <w:b/>
          <w:bCs/>
          <w:sz w:val="22"/>
          <w:szCs w:val="22"/>
          <w:lang w:val="es-EC" w:eastAsia="en-US"/>
        </w:rPr>
      </w:pPr>
    </w:p>
    <w:p w:rsidR="00192B30" w:rsidRDefault="00192B30" w:rsidP="00021DED">
      <w:pPr>
        <w:autoSpaceDE w:val="0"/>
        <w:autoSpaceDN w:val="0"/>
        <w:adjustRightInd w:val="0"/>
        <w:jc w:val="center"/>
        <w:rPr>
          <w:rFonts w:eastAsiaTheme="minorHAnsi"/>
          <w:b/>
          <w:bCs/>
          <w:sz w:val="22"/>
          <w:szCs w:val="22"/>
          <w:lang w:val="es-EC" w:eastAsia="en-US"/>
        </w:rPr>
      </w:pPr>
    </w:p>
    <w:p w:rsidR="00192B30" w:rsidRDefault="00192B30" w:rsidP="00021DED">
      <w:pPr>
        <w:autoSpaceDE w:val="0"/>
        <w:autoSpaceDN w:val="0"/>
        <w:adjustRightInd w:val="0"/>
        <w:jc w:val="center"/>
        <w:rPr>
          <w:rFonts w:eastAsiaTheme="minorHAnsi"/>
          <w:b/>
          <w:bCs/>
          <w:sz w:val="22"/>
          <w:szCs w:val="22"/>
          <w:lang w:val="es-EC" w:eastAsia="en-US"/>
        </w:rPr>
      </w:pPr>
    </w:p>
    <w:p w:rsidR="00192B30" w:rsidRPr="0047453C" w:rsidRDefault="00192B30" w:rsidP="00021DED">
      <w:pPr>
        <w:autoSpaceDE w:val="0"/>
        <w:autoSpaceDN w:val="0"/>
        <w:adjustRightInd w:val="0"/>
        <w:jc w:val="center"/>
        <w:rPr>
          <w:rFonts w:eastAsiaTheme="minorHAnsi"/>
          <w:b/>
          <w:bCs/>
          <w:sz w:val="22"/>
          <w:szCs w:val="22"/>
          <w:lang w:val="es-EC" w:eastAsia="en-US"/>
        </w:rPr>
      </w:pPr>
    </w:p>
    <w:p w:rsidR="004D3600" w:rsidRPr="0047453C" w:rsidRDefault="004D3600" w:rsidP="00021DED">
      <w:pPr>
        <w:autoSpaceDE w:val="0"/>
        <w:autoSpaceDN w:val="0"/>
        <w:adjustRightInd w:val="0"/>
        <w:jc w:val="center"/>
        <w:rPr>
          <w:rFonts w:eastAsiaTheme="minorHAnsi"/>
          <w:b/>
          <w:bCs/>
          <w:sz w:val="22"/>
          <w:szCs w:val="22"/>
          <w:lang w:val="es-EC" w:eastAsia="en-US"/>
        </w:rPr>
      </w:pPr>
    </w:p>
    <w:p w:rsidR="00600D8D" w:rsidRPr="0047453C" w:rsidRDefault="00AD1A2A" w:rsidP="00600D8D">
      <w:pPr>
        <w:autoSpaceDE w:val="0"/>
        <w:autoSpaceDN w:val="0"/>
        <w:adjustRightInd w:val="0"/>
        <w:jc w:val="center"/>
        <w:rPr>
          <w:rFonts w:eastAsiaTheme="minorHAnsi"/>
          <w:b/>
          <w:bCs/>
          <w:sz w:val="22"/>
          <w:szCs w:val="22"/>
          <w:lang w:val="es-EC" w:eastAsia="en-US"/>
        </w:rPr>
      </w:pPr>
      <w:r w:rsidRPr="0047453C">
        <w:rPr>
          <w:rFonts w:eastAsiaTheme="minorHAnsi"/>
          <w:b/>
          <w:bCs/>
          <w:sz w:val="22"/>
          <w:szCs w:val="22"/>
          <w:lang w:val="es-EC" w:eastAsia="en-US"/>
        </w:rPr>
        <w:t>RESUELVO</w:t>
      </w:r>
    </w:p>
    <w:p w:rsidR="00600D8D" w:rsidRPr="0047453C" w:rsidRDefault="00600D8D" w:rsidP="00600D8D">
      <w:pPr>
        <w:autoSpaceDE w:val="0"/>
        <w:autoSpaceDN w:val="0"/>
        <w:adjustRightInd w:val="0"/>
        <w:jc w:val="center"/>
        <w:rPr>
          <w:sz w:val="22"/>
          <w:szCs w:val="22"/>
        </w:rPr>
      </w:pPr>
    </w:p>
    <w:p w:rsidR="00854F7C" w:rsidRPr="0047453C" w:rsidRDefault="00600D8D" w:rsidP="001E45AE">
      <w:pPr>
        <w:jc w:val="both"/>
        <w:rPr>
          <w:sz w:val="22"/>
          <w:szCs w:val="22"/>
          <w:lang w:val="es-EC" w:eastAsia="es-EC"/>
        </w:rPr>
      </w:pPr>
      <w:r w:rsidRPr="0047453C">
        <w:rPr>
          <w:rFonts w:eastAsiaTheme="minorHAnsi"/>
          <w:b/>
          <w:sz w:val="22"/>
          <w:szCs w:val="22"/>
          <w:lang w:val="es-EC" w:eastAsia="en-US"/>
        </w:rPr>
        <w:t>Artículo 1.-</w:t>
      </w:r>
      <w:r w:rsidRPr="0047453C">
        <w:rPr>
          <w:rFonts w:eastAsiaTheme="minorHAnsi"/>
          <w:sz w:val="22"/>
          <w:szCs w:val="22"/>
          <w:lang w:val="es-EC" w:eastAsia="en-US"/>
        </w:rPr>
        <w:t xml:space="preserve"> </w:t>
      </w:r>
      <w:r w:rsidR="00921E14" w:rsidRPr="0047453C">
        <w:rPr>
          <w:rFonts w:eastAsiaTheme="minorHAnsi"/>
          <w:sz w:val="22"/>
          <w:szCs w:val="22"/>
          <w:lang w:val="es-EC" w:eastAsia="en-US"/>
        </w:rPr>
        <w:t xml:space="preserve">De conformidad con la sentencia emitida dentro del </w:t>
      </w:r>
      <w:r w:rsidR="001E45AE" w:rsidRPr="0047453C">
        <w:rPr>
          <w:sz w:val="22"/>
          <w:szCs w:val="22"/>
          <w:lang w:val="es-EC" w:eastAsia="es-EC"/>
        </w:rPr>
        <w:t>proceso judicial No.</w:t>
      </w:r>
      <w:r w:rsidR="00192B30">
        <w:rPr>
          <w:sz w:val="22"/>
          <w:szCs w:val="22"/>
          <w:lang w:val="es-EC" w:eastAsia="es-EC"/>
        </w:rPr>
        <w:t xml:space="preserve"> 173</w:t>
      </w:r>
      <w:r w:rsidR="00EC104D">
        <w:rPr>
          <w:sz w:val="22"/>
          <w:szCs w:val="22"/>
          <w:lang w:val="es-EC" w:eastAsia="es-EC"/>
        </w:rPr>
        <w:t>06-2012</w:t>
      </w:r>
      <w:r w:rsidR="00430DCE" w:rsidRPr="0047453C">
        <w:rPr>
          <w:sz w:val="22"/>
          <w:szCs w:val="22"/>
          <w:lang w:val="es-EC" w:eastAsia="es-EC"/>
        </w:rPr>
        <w:t>-0</w:t>
      </w:r>
      <w:r w:rsidR="00EC104D">
        <w:rPr>
          <w:sz w:val="22"/>
          <w:szCs w:val="22"/>
          <w:lang w:val="es-EC" w:eastAsia="es-EC"/>
        </w:rPr>
        <w:t>294</w:t>
      </w:r>
      <w:r w:rsidR="00854F7C" w:rsidRPr="0047453C">
        <w:rPr>
          <w:sz w:val="22"/>
          <w:szCs w:val="22"/>
          <w:lang w:val="es-EC" w:eastAsia="es-EC"/>
        </w:rPr>
        <w:t xml:space="preserve">, mediante el cual el Juez de la Unidad Judicial Civil con sede en la parroquia de Iñaquito del Distrito </w:t>
      </w:r>
      <w:r w:rsidR="00921E14" w:rsidRPr="0047453C">
        <w:rPr>
          <w:sz w:val="22"/>
          <w:szCs w:val="22"/>
          <w:lang w:val="es-EC" w:eastAsia="es-EC"/>
        </w:rPr>
        <w:t>Metropolitano de Quito,</w:t>
      </w:r>
      <w:r w:rsidR="001E45AE" w:rsidRPr="0047453C">
        <w:rPr>
          <w:sz w:val="22"/>
          <w:szCs w:val="22"/>
          <w:lang w:val="es-EC" w:eastAsia="es-EC"/>
        </w:rPr>
        <w:t xml:space="preserve"> acepta la demanda favor de</w:t>
      </w:r>
      <w:r w:rsidR="00DC3DF0" w:rsidRPr="00DC3DF0">
        <w:rPr>
          <w:sz w:val="22"/>
          <w:szCs w:val="22"/>
          <w:lang w:val="es-EC" w:eastAsia="es-EC"/>
        </w:rPr>
        <w:t xml:space="preserve"> </w:t>
      </w:r>
      <w:r w:rsidR="00DC3DF0">
        <w:rPr>
          <w:rStyle w:val="markedcontent"/>
        </w:rPr>
        <w:t>los señores Juan José</w:t>
      </w:r>
      <w:r w:rsidR="00DC3DF0" w:rsidRPr="00DC3DF0">
        <w:rPr>
          <w:rStyle w:val="markedcontent"/>
        </w:rPr>
        <w:t xml:space="preserve"> </w:t>
      </w:r>
      <w:proofErr w:type="spellStart"/>
      <w:r w:rsidR="00DC3DF0">
        <w:rPr>
          <w:rStyle w:val="markedcontent"/>
        </w:rPr>
        <w:lastRenderedPageBreak/>
        <w:t>Sotalin</w:t>
      </w:r>
      <w:proofErr w:type="spellEnd"/>
      <w:r w:rsidR="00DC3DF0">
        <w:rPr>
          <w:rStyle w:val="markedcontent"/>
        </w:rPr>
        <w:t xml:space="preserve"> Peralta y María Alicia Vicente P</w:t>
      </w:r>
      <w:r w:rsidR="00DC3DF0" w:rsidRPr="00DC3DF0">
        <w:rPr>
          <w:rStyle w:val="markedcontent"/>
        </w:rPr>
        <w:t>eña</w:t>
      </w:r>
      <w:r w:rsidR="00DC3DF0">
        <w:rPr>
          <w:rStyle w:val="markedcontent"/>
        </w:rPr>
        <w:t>,</w:t>
      </w:r>
      <w:r w:rsidR="00192B30">
        <w:rPr>
          <w:sz w:val="22"/>
          <w:szCs w:val="22"/>
          <w:lang w:val="es-EC" w:eastAsia="es-EC"/>
        </w:rPr>
        <w:t xml:space="preserve"> adquirida</w:t>
      </w:r>
      <w:r w:rsidR="001E45AE" w:rsidRPr="0047453C">
        <w:rPr>
          <w:sz w:val="22"/>
          <w:szCs w:val="22"/>
          <w:lang w:val="es-EC" w:eastAsia="es-EC"/>
        </w:rPr>
        <w:t xml:space="preserve"> por prescripción extraordinaria de dominio, </w:t>
      </w:r>
      <w:r w:rsidR="00DC3DF0">
        <w:rPr>
          <w:sz w:val="22"/>
          <w:szCs w:val="22"/>
          <w:lang w:val="es-EC" w:eastAsia="es-EC"/>
        </w:rPr>
        <w:t xml:space="preserve">sobre parte del predio 400690,  en el sector Estación del Inca, Barrio Llano Grande de </w:t>
      </w:r>
      <w:r w:rsidR="00192B30">
        <w:rPr>
          <w:sz w:val="22"/>
          <w:szCs w:val="22"/>
          <w:lang w:val="es-EC" w:eastAsia="es-EC"/>
        </w:rPr>
        <w:t xml:space="preserve">la Parroquia </w:t>
      </w:r>
      <w:r w:rsidR="00DC3DF0">
        <w:rPr>
          <w:sz w:val="22"/>
          <w:szCs w:val="22"/>
          <w:lang w:val="es-EC" w:eastAsia="es-EC"/>
        </w:rPr>
        <w:t xml:space="preserve">Calderón </w:t>
      </w:r>
      <w:r w:rsidR="001E45AE" w:rsidRPr="0047453C">
        <w:rPr>
          <w:sz w:val="22"/>
          <w:szCs w:val="22"/>
          <w:lang w:val="es-EC" w:eastAsia="es-EC"/>
        </w:rPr>
        <w:t>del D</w:t>
      </w:r>
      <w:r w:rsidR="008E61FC" w:rsidRPr="0047453C">
        <w:rPr>
          <w:sz w:val="22"/>
          <w:szCs w:val="22"/>
          <w:lang w:val="es-EC" w:eastAsia="es-EC"/>
        </w:rPr>
        <w:t>istrito Metropolitano de Quito</w:t>
      </w:r>
      <w:r w:rsidR="00854F7C" w:rsidRPr="0047453C">
        <w:rPr>
          <w:sz w:val="22"/>
          <w:szCs w:val="22"/>
          <w:lang w:val="es-EC" w:eastAsia="es-EC"/>
        </w:rPr>
        <w:t xml:space="preserve">; </w:t>
      </w:r>
      <w:r w:rsidR="00AD1A2A" w:rsidRPr="0047453C">
        <w:rPr>
          <w:sz w:val="22"/>
          <w:szCs w:val="22"/>
          <w:lang w:val="es-EC" w:eastAsia="es-EC"/>
        </w:rPr>
        <w:t>Resuelvo……….</w:t>
      </w:r>
      <w:r w:rsidR="00854F7C" w:rsidRPr="0047453C">
        <w:rPr>
          <w:sz w:val="22"/>
          <w:szCs w:val="22"/>
          <w:lang w:val="es-EC" w:eastAsia="es-EC"/>
        </w:rPr>
        <w:t xml:space="preserve"> </w:t>
      </w:r>
    </w:p>
    <w:p w:rsidR="00854F7C" w:rsidRPr="0047453C" w:rsidRDefault="00854F7C" w:rsidP="00854F7C">
      <w:pPr>
        <w:jc w:val="both"/>
        <w:rPr>
          <w:sz w:val="22"/>
          <w:szCs w:val="22"/>
          <w:lang w:val="es-EC" w:eastAsia="es-EC"/>
        </w:rPr>
      </w:pPr>
    </w:p>
    <w:p w:rsidR="00600D8D" w:rsidRPr="0047453C" w:rsidRDefault="00600D8D" w:rsidP="00C924E2">
      <w:pPr>
        <w:autoSpaceDE w:val="0"/>
        <w:autoSpaceDN w:val="0"/>
        <w:adjustRightInd w:val="0"/>
        <w:jc w:val="both"/>
        <w:rPr>
          <w:rFonts w:eastAsiaTheme="minorHAnsi"/>
          <w:sz w:val="22"/>
          <w:szCs w:val="22"/>
          <w:lang w:val="es-EC" w:eastAsia="en-US"/>
        </w:rPr>
      </w:pPr>
      <w:r w:rsidRPr="0047453C">
        <w:rPr>
          <w:rFonts w:eastAsiaTheme="minorHAnsi"/>
          <w:b/>
          <w:sz w:val="22"/>
          <w:szCs w:val="22"/>
          <w:lang w:val="es-EC" w:eastAsia="en-US"/>
        </w:rPr>
        <w:t>Artículo 2.-</w:t>
      </w:r>
      <w:r w:rsidRPr="0047453C">
        <w:rPr>
          <w:rFonts w:eastAsiaTheme="minorHAnsi"/>
          <w:sz w:val="22"/>
          <w:szCs w:val="22"/>
          <w:lang w:val="es-EC" w:eastAsia="en-US"/>
        </w:rPr>
        <w:t xml:space="preserve"> Comuníquese al interesado, a fin de que se continúe con los trámites de ley. </w:t>
      </w:r>
    </w:p>
    <w:p w:rsidR="00600D8D" w:rsidRPr="0047453C" w:rsidRDefault="00600D8D" w:rsidP="00C924E2">
      <w:pPr>
        <w:autoSpaceDE w:val="0"/>
        <w:autoSpaceDN w:val="0"/>
        <w:adjustRightInd w:val="0"/>
        <w:jc w:val="both"/>
        <w:rPr>
          <w:rFonts w:eastAsiaTheme="minorHAnsi"/>
          <w:sz w:val="22"/>
          <w:szCs w:val="22"/>
          <w:lang w:val="es-EC" w:eastAsia="en-US"/>
        </w:rPr>
      </w:pPr>
    </w:p>
    <w:p w:rsidR="00600D8D" w:rsidRPr="0047453C" w:rsidRDefault="00600D8D" w:rsidP="00C924E2">
      <w:pPr>
        <w:autoSpaceDE w:val="0"/>
        <w:autoSpaceDN w:val="0"/>
        <w:adjustRightInd w:val="0"/>
        <w:jc w:val="both"/>
        <w:rPr>
          <w:rFonts w:eastAsiaTheme="minorHAnsi"/>
          <w:bCs/>
          <w:sz w:val="22"/>
          <w:szCs w:val="22"/>
          <w:lang w:val="es-EC" w:eastAsia="en-US"/>
        </w:rPr>
      </w:pPr>
      <w:bookmarkStart w:id="2" w:name="_Hlk40866429"/>
      <w:r w:rsidRPr="0047453C">
        <w:rPr>
          <w:rFonts w:eastAsiaTheme="minorHAnsi"/>
          <w:b/>
          <w:sz w:val="22"/>
          <w:szCs w:val="22"/>
          <w:lang w:val="es-EC" w:eastAsia="en-US"/>
        </w:rPr>
        <w:t xml:space="preserve">Disposición General Única. - </w:t>
      </w:r>
      <w:r w:rsidRPr="0047453C">
        <w:rPr>
          <w:rFonts w:eastAsiaTheme="minorHAnsi"/>
          <w:bCs/>
          <w:sz w:val="22"/>
          <w:szCs w:val="22"/>
          <w:lang w:val="es-EC" w:eastAsia="en-US"/>
        </w:rPr>
        <w:t>La presente resolución se aprueba en base a los informes que son de exclusiva responsabilidad de los funcionarios que lo suscriben y realizan.</w:t>
      </w:r>
    </w:p>
    <w:bookmarkEnd w:id="2"/>
    <w:p w:rsidR="00600D8D" w:rsidRPr="0047453C" w:rsidRDefault="00600D8D" w:rsidP="00600D8D">
      <w:pPr>
        <w:autoSpaceDE w:val="0"/>
        <w:autoSpaceDN w:val="0"/>
        <w:adjustRightInd w:val="0"/>
        <w:jc w:val="both"/>
        <w:rPr>
          <w:rFonts w:eastAsiaTheme="minorHAnsi"/>
          <w:bCs/>
          <w:sz w:val="22"/>
          <w:szCs w:val="22"/>
          <w:lang w:val="es-EC" w:eastAsia="en-US"/>
        </w:rPr>
      </w:pPr>
    </w:p>
    <w:p w:rsidR="00600D8D" w:rsidRPr="0047453C" w:rsidRDefault="00600D8D" w:rsidP="00600D8D">
      <w:pPr>
        <w:autoSpaceDE w:val="0"/>
        <w:autoSpaceDN w:val="0"/>
        <w:adjustRightInd w:val="0"/>
        <w:jc w:val="both"/>
        <w:rPr>
          <w:rFonts w:eastAsiaTheme="minorHAnsi"/>
          <w:sz w:val="22"/>
          <w:szCs w:val="22"/>
          <w:lang w:val="es-EC" w:eastAsia="en-US"/>
        </w:rPr>
      </w:pPr>
      <w:r w:rsidRPr="0047453C">
        <w:rPr>
          <w:rFonts w:eastAsiaTheme="minorHAnsi"/>
          <w:b/>
          <w:sz w:val="22"/>
          <w:szCs w:val="22"/>
          <w:lang w:val="es-EC" w:eastAsia="en-US"/>
        </w:rPr>
        <w:t>Disposición Final. -</w:t>
      </w:r>
      <w:r w:rsidRPr="0047453C">
        <w:rPr>
          <w:rFonts w:eastAsiaTheme="minorHAnsi"/>
          <w:sz w:val="22"/>
          <w:szCs w:val="22"/>
          <w:lang w:val="es-EC" w:eastAsia="en-US"/>
        </w:rPr>
        <w:t xml:space="preserve"> La presente resolución entrará en vigencia a partir </w:t>
      </w:r>
      <w:r w:rsidR="00842105" w:rsidRPr="0047453C">
        <w:rPr>
          <w:sz w:val="22"/>
          <w:szCs w:val="22"/>
        </w:rPr>
        <w:t>de la fecha de su expedición.</w:t>
      </w:r>
      <w:r w:rsidRPr="0047453C">
        <w:rPr>
          <w:sz w:val="22"/>
          <w:szCs w:val="22"/>
          <w:shd w:val="clear" w:color="auto" w:fill="FFFFFF"/>
        </w:rPr>
        <w:t xml:space="preserve"> </w:t>
      </w:r>
    </w:p>
    <w:p w:rsidR="00600D8D" w:rsidRPr="0047453C" w:rsidRDefault="00600D8D" w:rsidP="00600D8D">
      <w:pPr>
        <w:autoSpaceDE w:val="0"/>
        <w:autoSpaceDN w:val="0"/>
        <w:adjustRightInd w:val="0"/>
        <w:jc w:val="both"/>
        <w:rPr>
          <w:rFonts w:eastAsiaTheme="minorHAnsi"/>
          <w:sz w:val="22"/>
          <w:szCs w:val="22"/>
          <w:lang w:val="es-EC" w:eastAsia="en-US"/>
        </w:rPr>
      </w:pPr>
    </w:p>
    <w:p w:rsidR="00FE75E5" w:rsidRPr="0047453C" w:rsidRDefault="00FE75E5" w:rsidP="00131EC9">
      <w:pPr>
        <w:jc w:val="center"/>
        <w:rPr>
          <w:b/>
          <w:sz w:val="22"/>
          <w:szCs w:val="22"/>
        </w:rPr>
      </w:pPr>
    </w:p>
    <w:p w:rsidR="00FE75E5" w:rsidRPr="0047453C" w:rsidRDefault="00FE75E5" w:rsidP="00131EC9">
      <w:pPr>
        <w:jc w:val="center"/>
        <w:rPr>
          <w:b/>
          <w:sz w:val="22"/>
          <w:szCs w:val="22"/>
        </w:rPr>
      </w:pPr>
    </w:p>
    <w:p w:rsidR="00854F7C" w:rsidRDefault="00854F7C" w:rsidP="00854F7C">
      <w:pPr>
        <w:jc w:val="center"/>
        <w:rPr>
          <w:sz w:val="22"/>
          <w:szCs w:val="22"/>
        </w:rPr>
      </w:pPr>
    </w:p>
    <w:p w:rsidR="00DC3DF0" w:rsidRDefault="00DC3DF0" w:rsidP="00854F7C">
      <w:pPr>
        <w:jc w:val="center"/>
        <w:rPr>
          <w:sz w:val="22"/>
          <w:szCs w:val="22"/>
        </w:rPr>
      </w:pPr>
    </w:p>
    <w:p w:rsidR="00DC3DF0" w:rsidRPr="0047453C" w:rsidRDefault="00DC3DF0" w:rsidP="00854F7C">
      <w:pPr>
        <w:jc w:val="center"/>
        <w:rPr>
          <w:sz w:val="22"/>
          <w:szCs w:val="22"/>
        </w:rPr>
      </w:pPr>
      <w:bookmarkStart w:id="3" w:name="_GoBack"/>
      <w:bookmarkEnd w:id="3"/>
    </w:p>
    <w:p w:rsidR="00854F7C" w:rsidRPr="0047453C" w:rsidRDefault="00854F7C" w:rsidP="00854F7C">
      <w:pPr>
        <w:jc w:val="center"/>
        <w:rPr>
          <w:sz w:val="22"/>
          <w:szCs w:val="22"/>
        </w:rPr>
      </w:pPr>
    </w:p>
    <w:p w:rsidR="00854F7C" w:rsidRPr="0047453C" w:rsidRDefault="00DC3DF0" w:rsidP="00854F7C">
      <w:pPr>
        <w:jc w:val="center"/>
        <w:rPr>
          <w:sz w:val="22"/>
          <w:szCs w:val="22"/>
        </w:rPr>
      </w:pPr>
      <w:proofErr w:type="spellStart"/>
      <w:r>
        <w:rPr>
          <w:sz w:val="22"/>
          <w:szCs w:val="22"/>
        </w:rPr>
        <w:t>Mgs</w:t>
      </w:r>
      <w:proofErr w:type="spellEnd"/>
      <w:r>
        <w:rPr>
          <w:sz w:val="22"/>
          <w:szCs w:val="22"/>
        </w:rPr>
        <w:t>. Pavel Muñoz</w:t>
      </w:r>
    </w:p>
    <w:p w:rsidR="00854F7C" w:rsidRPr="0047453C" w:rsidRDefault="00854F7C" w:rsidP="00854F7C">
      <w:pPr>
        <w:jc w:val="center"/>
        <w:rPr>
          <w:b/>
          <w:sz w:val="22"/>
          <w:szCs w:val="22"/>
        </w:rPr>
      </w:pPr>
      <w:r w:rsidRPr="0047453C">
        <w:rPr>
          <w:b/>
          <w:sz w:val="22"/>
          <w:szCs w:val="22"/>
        </w:rPr>
        <w:t>ALCALDE DEL DISTRITO METROPOLITANO DE QUITO</w:t>
      </w:r>
    </w:p>
    <w:p w:rsidR="00854F7C" w:rsidRPr="0047453C" w:rsidRDefault="00854F7C" w:rsidP="00854F7C">
      <w:pPr>
        <w:jc w:val="both"/>
        <w:rPr>
          <w:rFonts w:eastAsia="Book Antiqua"/>
          <w:b/>
          <w:sz w:val="22"/>
          <w:szCs w:val="22"/>
        </w:rPr>
      </w:pPr>
    </w:p>
    <w:p w:rsidR="00854F7C" w:rsidRPr="0047453C" w:rsidRDefault="00854F7C" w:rsidP="00131EC9">
      <w:pPr>
        <w:jc w:val="center"/>
        <w:rPr>
          <w:b/>
          <w:sz w:val="22"/>
          <w:szCs w:val="22"/>
        </w:rPr>
      </w:pPr>
    </w:p>
    <w:p w:rsidR="00854F7C" w:rsidRPr="0047453C" w:rsidRDefault="00854F7C" w:rsidP="00131EC9">
      <w:pPr>
        <w:jc w:val="center"/>
        <w:rPr>
          <w:b/>
          <w:sz w:val="22"/>
          <w:szCs w:val="22"/>
        </w:rPr>
      </w:pPr>
    </w:p>
    <w:p w:rsidR="00854F7C" w:rsidRPr="0047453C" w:rsidRDefault="00854F7C" w:rsidP="00131EC9">
      <w:pPr>
        <w:jc w:val="center"/>
        <w:rPr>
          <w:b/>
          <w:sz w:val="22"/>
          <w:szCs w:val="22"/>
        </w:rPr>
      </w:pP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0"/>
        <w:gridCol w:w="1123"/>
        <w:gridCol w:w="1309"/>
        <w:gridCol w:w="1872"/>
        <w:gridCol w:w="753"/>
      </w:tblGrid>
      <w:tr w:rsidR="00DC3DF0" w:rsidRPr="0047453C" w:rsidTr="00DC3DF0">
        <w:trPr>
          <w:trHeight w:val="206"/>
        </w:trPr>
        <w:tc>
          <w:tcPr>
            <w:tcW w:w="1490"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rPr>
                <w:b/>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rPr>
                <w:b/>
                <w:sz w:val="22"/>
                <w:szCs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jc w:val="center"/>
              <w:rPr>
                <w:b/>
                <w:sz w:val="22"/>
                <w:szCs w:val="22"/>
              </w:rPr>
            </w:pPr>
          </w:p>
        </w:tc>
        <w:tc>
          <w:tcPr>
            <w:tcW w:w="1872" w:type="dxa"/>
            <w:shd w:val="clear" w:color="auto" w:fill="auto"/>
            <w:vAlign w:val="center"/>
          </w:tcPr>
          <w:p w:rsidR="00DC3DF0" w:rsidRPr="0047453C" w:rsidRDefault="00DC3DF0" w:rsidP="00DC3DF0">
            <w:pPr>
              <w:jc w:val="center"/>
              <w:rPr>
                <w:b/>
                <w:sz w:val="22"/>
                <w:szCs w:val="22"/>
              </w:rPr>
            </w:pPr>
          </w:p>
        </w:tc>
        <w:tc>
          <w:tcPr>
            <w:tcW w:w="753" w:type="dxa"/>
            <w:shd w:val="clear" w:color="auto" w:fill="auto"/>
            <w:vAlign w:val="center"/>
          </w:tcPr>
          <w:p w:rsidR="00DC3DF0" w:rsidRPr="0047453C" w:rsidRDefault="00DC3DF0" w:rsidP="00DC3DF0">
            <w:pPr>
              <w:rPr>
                <w:b/>
                <w:sz w:val="22"/>
                <w:szCs w:val="22"/>
              </w:rPr>
            </w:pPr>
          </w:p>
        </w:tc>
      </w:tr>
      <w:tr w:rsidR="00DC3DF0" w:rsidRPr="0047453C" w:rsidTr="00DC3DF0">
        <w:trPr>
          <w:trHeight w:val="247"/>
        </w:trPr>
        <w:tc>
          <w:tcPr>
            <w:tcW w:w="1490"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rPr>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rPr>
                <w:sz w:val="22"/>
                <w:szCs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DC3DF0" w:rsidRPr="0047453C" w:rsidRDefault="00DC3DF0" w:rsidP="00DC3DF0">
            <w:pPr>
              <w:jc w:val="center"/>
              <w:rPr>
                <w:sz w:val="22"/>
                <w:szCs w:val="22"/>
              </w:rPr>
            </w:pPr>
          </w:p>
        </w:tc>
        <w:tc>
          <w:tcPr>
            <w:tcW w:w="1872" w:type="dxa"/>
            <w:shd w:val="clear" w:color="auto" w:fill="auto"/>
            <w:vAlign w:val="center"/>
          </w:tcPr>
          <w:p w:rsidR="00DC3DF0" w:rsidRPr="0047453C" w:rsidRDefault="00DC3DF0" w:rsidP="00DC3DF0">
            <w:pPr>
              <w:jc w:val="center"/>
              <w:rPr>
                <w:sz w:val="22"/>
                <w:szCs w:val="22"/>
              </w:rPr>
            </w:pPr>
          </w:p>
        </w:tc>
        <w:tc>
          <w:tcPr>
            <w:tcW w:w="753" w:type="dxa"/>
            <w:shd w:val="clear" w:color="auto" w:fill="auto"/>
            <w:vAlign w:val="center"/>
          </w:tcPr>
          <w:p w:rsidR="00DC3DF0" w:rsidRPr="0047453C" w:rsidRDefault="00DC3DF0" w:rsidP="00DC3DF0">
            <w:pPr>
              <w:rPr>
                <w:sz w:val="22"/>
                <w:szCs w:val="22"/>
              </w:rPr>
            </w:pPr>
          </w:p>
        </w:tc>
      </w:tr>
      <w:tr w:rsidR="00DC3DF0" w:rsidRPr="0047453C" w:rsidTr="00DC3DF0">
        <w:tblPrEx>
          <w:tblLook w:val="0000" w:firstRow="0" w:lastRow="0" w:firstColumn="0" w:lastColumn="0" w:noHBand="0" w:noVBand="0"/>
        </w:tblPrEx>
        <w:trPr>
          <w:trHeight w:val="215"/>
        </w:trPr>
        <w:tc>
          <w:tcPr>
            <w:tcW w:w="1490" w:type="dxa"/>
            <w:vAlign w:val="center"/>
          </w:tcPr>
          <w:p w:rsidR="00DC3DF0" w:rsidRPr="0047453C" w:rsidRDefault="00DC3DF0" w:rsidP="00DC3DF0">
            <w:pPr>
              <w:rPr>
                <w:sz w:val="22"/>
                <w:szCs w:val="22"/>
              </w:rPr>
            </w:pPr>
          </w:p>
        </w:tc>
        <w:tc>
          <w:tcPr>
            <w:tcW w:w="1123" w:type="dxa"/>
            <w:shd w:val="clear" w:color="auto" w:fill="auto"/>
            <w:vAlign w:val="center"/>
          </w:tcPr>
          <w:p w:rsidR="00DC3DF0" w:rsidRPr="0047453C" w:rsidRDefault="00DC3DF0" w:rsidP="00DC3DF0">
            <w:pPr>
              <w:rPr>
                <w:sz w:val="22"/>
                <w:szCs w:val="22"/>
              </w:rPr>
            </w:pPr>
          </w:p>
        </w:tc>
        <w:tc>
          <w:tcPr>
            <w:tcW w:w="1309" w:type="dxa"/>
            <w:shd w:val="clear" w:color="auto" w:fill="auto"/>
            <w:vAlign w:val="center"/>
          </w:tcPr>
          <w:p w:rsidR="00DC3DF0" w:rsidRPr="0047453C" w:rsidRDefault="00DC3DF0" w:rsidP="00DC3DF0">
            <w:pPr>
              <w:jc w:val="center"/>
              <w:rPr>
                <w:sz w:val="22"/>
                <w:szCs w:val="22"/>
              </w:rPr>
            </w:pPr>
          </w:p>
        </w:tc>
        <w:tc>
          <w:tcPr>
            <w:tcW w:w="1872" w:type="dxa"/>
            <w:shd w:val="clear" w:color="auto" w:fill="auto"/>
            <w:vAlign w:val="center"/>
          </w:tcPr>
          <w:p w:rsidR="00DC3DF0" w:rsidRPr="0047453C" w:rsidRDefault="00DC3DF0" w:rsidP="00DC3DF0">
            <w:pPr>
              <w:jc w:val="center"/>
              <w:rPr>
                <w:sz w:val="22"/>
                <w:szCs w:val="22"/>
              </w:rPr>
            </w:pPr>
          </w:p>
        </w:tc>
        <w:tc>
          <w:tcPr>
            <w:tcW w:w="753" w:type="dxa"/>
            <w:shd w:val="clear" w:color="auto" w:fill="auto"/>
            <w:vAlign w:val="center"/>
          </w:tcPr>
          <w:p w:rsidR="00DC3DF0" w:rsidRPr="0047453C" w:rsidRDefault="00DC3DF0" w:rsidP="00DC3DF0">
            <w:pPr>
              <w:rPr>
                <w:b/>
                <w:sz w:val="22"/>
                <w:szCs w:val="22"/>
              </w:rPr>
            </w:pPr>
          </w:p>
        </w:tc>
      </w:tr>
    </w:tbl>
    <w:p w:rsidR="00854F7C" w:rsidRPr="0047453C" w:rsidRDefault="00854F7C" w:rsidP="00131EC9">
      <w:pPr>
        <w:jc w:val="center"/>
        <w:rPr>
          <w:b/>
          <w:sz w:val="22"/>
          <w:szCs w:val="22"/>
        </w:rPr>
      </w:pPr>
    </w:p>
    <w:sectPr w:rsidR="00854F7C" w:rsidRPr="00474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4E87"/>
    <w:rsid w:val="000849AC"/>
    <w:rsid w:val="000C1418"/>
    <w:rsid w:val="00131EC9"/>
    <w:rsid w:val="001338A8"/>
    <w:rsid w:val="001845EF"/>
    <w:rsid w:val="00192B30"/>
    <w:rsid w:val="001E45AE"/>
    <w:rsid w:val="0022248C"/>
    <w:rsid w:val="00257CEB"/>
    <w:rsid w:val="00261ABA"/>
    <w:rsid w:val="002A0AEE"/>
    <w:rsid w:val="002C61FA"/>
    <w:rsid w:val="003018D6"/>
    <w:rsid w:val="00307222"/>
    <w:rsid w:val="003F30BA"/>
    <w:rsid w:val="00430DCE"/>
    <w:rsid w:val="004647B3"/>
    <w:rsid w:val="0047453C"/>
    <w:rsid w:val="00495945"/>
    <w:rsid w:val="004B1A86"/>
    <w:rsid w:val="004B5626"/>
    <w:rsid w:val="004D3600"/>
    <w:rsid w:val="004D4F10"/>
    <w:rsid w:val="004E0D99"/>
    <w:rsid w:val="004F0BD8"/>
    <w:rsid w:val="00580BCF"/>
    <w:rsid w:val="00600D8D"/>
    <w:rsid w:val="006675C9"/>
    <w:rsid w:val="00842105"/>
    <w:rsid w:val="00852D76"/>
    <w:rsid w:val="00854F7C"/>
    <w:rsid w:val="00882DCB"/>
    <w:rsid w:val="008C1C80"/>
    <w:rsid w:val="008D0FA0"/>
    <w:rsid w:val="008E61FC"/>
    <w:rsid w:val="008F0B45"/>
    <w:rsid w:val="008F5CB3"/>
    <w:rsid w:val="00921E14"/>
    <w:rsid w:val="00932C20"/>
    <w:rsid w:val="009604A0"/>
    <w:rsid w:val="009C26AA"/>
    <w:rsid w:val="00A53F64"/>
    <w:rsid w:val="00A83A8D"/>
    <w:rsid w:val="00AD1A2A"/>
    <w:rsid w:val="00B34DDB"/>
    <w:rsid w:val="00B57C28"/>
    <w:rsid w:val="00BD745A"/>
    <w:rsid w:val="00BE7CDD"/>
    <w:rsid w:val="00C84761"/>
    <w:rsid w:val="00C924E2"/>
    <w:rsid w:val="00C977A3"/>
    <w:rsid w:val="00CC083B"/>
    <w:rsid w:val="00D27AB2"/>
    <w:rsid w:val="00D35171"/>
    <w:rsid w:val="00D513B0"/>
    <w:rsid w:val="00D746D2"/>
    <w:rsid w:val="00D768BF"/>
    <w:rsid w:val="00DC3DF0"/>
    <w:rsid w:val="00DE6C80"/>
    <w:rsid w:val="00DF5041"/>
    <w:rsid w:val="00E07958"/>
    <w:rsid w:val="00E1069E"/>
    <w:rsid w:val="00E21653"/>
    <w:rsid w:val="00E66166"/>
    <w:rsid w:val="00E925BC"/>
    <w:rsid w:val="00E954FE"/>
    <w:rsid w:val="00EC104D"/>
    <w:rsid w:val="00F17BE5"/>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D0D2"/>
  <w15:docId w15:val="{894CCF19-C77C-45F3-A3BC-575C36A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character" w:customStyle="1" w:styleId="fontstyle31">
    <w:name w:val="fontstyle31"/>
    <w:basedOn w:val="Fuentedeprrafopredeter"/>
    <w:rsid w:val="002C61FA"/>
    <w:rPr>
      <w:rFonts w:ascii="Times-Italic" w:hAnsi="Times-Italic" w:hint="default"/>
      <w:b w:val="0"/>
      <w:bCs w:val="0"/>
      <w:i/>
      <w:iCs/>
      <w:color w:val="000000"/>
      <w:sz w:val="22"/>
      <w:szCs w:val="22"/>
    </w:rPr>
  </w:style>
  <w:style w:type="character" w:customStyle="1" w:styleId="markedcontent">
    <w:name w:val="markedcontent"/>
    <w:basedOn w:val="Fuentedeprrafopredeter"/>
    <w:rsid w:val="00C977A3"/>
  </w:style>
  <w:style w:type="character" w:styleId="nfasis">
    <w:name w:val="Emphasis"/>
    <w:basedOn w:val="Fuentedeprrafopredeter"/>
    <w:uiPriority w:val="20"/>
    <w:qFormat/>
    <w:rsid w:val="0047453C"/>
    <w:rPr>
      <w:i/>
      <w:iCs/>
    </w:rPr>
  </w:style>
  <w:style w:type="character" w:styleId="Textoennegrita">
    <w:name w:val="Strong"/>
    <w:basedOn w:val="Fuentedeprrafopredeter"/>
    <w:uiPriority w:val="22"/>
    <w:qFormat/>
    <w:rsid w:val="00474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973098559">
      <w:bodyDiv w:val="1"/>
      <w:marLeft w:val="0"/>
      <w:marRight w:val="0"/>
      <w:marTop w:val="0"/>
      <w:marBottom w:val="0"/>
      <w:divBdr>
        <w:top w:val="none" w:sz="0" w:space="0" w:color="auto"/>
        <w:left w:val="none" w:sz="0" w:space="0" w:color="auto"/>
        <w:bottom w:val="none" w:sz="0" w:space="0" w:color="auto"/>
        <w:right w:val="none" w:sz="0" w:space="0" w:color="auto"/>
      </w:divBdr>
      <w:divsChild>
        <w:div w:id="105081658">
          <w:marLeft w:val="0"/>
          <w:marRight w:val="0"/>
          <w:marTop w:val="0"/>
          <w:marBottom w:val="0"/>
          <w:divBdr>
            <w:top w:val="none" w:sz="0" w:space="0" w:color="auto"/>
            <w:left w:val="none" w:sz="0" w:space="0" w:color="auto"/>
            <w:bottom w:val="none" w:sz="0" w:space="0" w:color="auto"/>
            <w:right w:val="none" w:sz="0" w:space="0" w:color="auto"/>
          </w:divBdr>
        </w:div>
        <w:div w:id="828596681">
          <w:marLeft w:val="0"/>
          <w:marRight w:val="0"/>
          <w:marTop w:val="0"/>
          <w:marBottom w:val="0"/>
          <w:divBdr>
            <w:top w:val="none" w:sz="0" w:space="0" w:color="auto"/>
            <w:left w:val="none" w:sz="0" w:space="0" w:color="auto"/>
            <w:bottom w:val="none" w:sz="0" w:space="0" w:color="auto"/>
            <w:right w:val="none" w:sz="0" w:space="0" w:color="auto"/>
          </w:divBdr>
        </w:div>
        <w:div w:id="15813376">
          <w:marLeft w:val="0"/>
          <w:marRight w:val="0"/>
          <w:marTop w:val="0"/>
          <w:marBottom w:val="0"/>
          <w:divBdr>
            <w:top w:val="none" w:sz="0" w:space="0" w:color="auto"/>
            <w:left w:val="none" w:sz="0" w:space="0" w:color="auto"/>
            <w:bottom w:val="none" w:sz="0" w:space="0" w:color="auto"/>
            <w:right w:val="none" w:sz="0" w:space="0" w:color="auto"/>
          </w:divBdr>
        </w:div>
        <w:div w:id="1555772782">
          <w:marLeft w:val="0"/>
          <w:marRight w:val="0"/>
          <w:marTop w:val="0"/>
          <w:marBottom w:val="0"/>
          <w:divBdr>
            <w:top w:val="none" w:sz="0" w:space="0" w:color="auto"/>
            <w:left w:val="none" w:sz="0" w:space="0" w:color="auto"/>
            <w:bottom w:val="none" w:sz="0" w:space="0" w:color="auto"/>
            <w:right w:val="none" w:sz="0" w:space="0" w:color="auto"/>
          </w:divBdr>
        </w:div>
        <w:div w:id="1109859782">
          <w:marLeft w:val="0"/>
          <w:marRight w:val="0"/>
          <w:marTop w:val="0"/>
          <w:marBottom w:val="0"/>
          <w:divBdr>
            <w:top w:val="none" w:sz="0" w:space="0" w:color="auto"/>
            <w:left w:val="none" w:sz="0" w:space="0" w:color="auto"/>
            <w:bottom w:val="none" w:sz="0" w:space="0" w:color="auto"/>
            <w:right w:val="none" w:sz="0" w:space="0" w:color="auto"/>
          </w:divBdr>
        </w:div>
        <w:div w:id="1244070016">
          <w:marLeft w:val="0"/>
          <w:marRight w:val="0"/>
          <w:marTop w:val="0"/>
          <w:marBottom w:val="0"/>
          <w:divBdr>
            <w:top w:val="none" w:sz="0" w:space="0" w:color="auto"/>
            <w:left w:val="none" w:sz="0" w:space="0" w:color="auto"/>
            <w:bottom w:val="none" w:sz="0" w:space="0" w:color="auto"/>
            <w:right w:val="none" w:sz="0" w:space="0" w:color="auto"/>
          </w:divBdr>
        </w:div>
        <w:div w:id="816070268">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171022010">
      <w:bodyDiv w:val="1"/>
      <w:marLeft w:val="0"/>
      <w:marRight w:val="0"/>
      <w:marTop w:val="0"/>
      <w:marBottom w:val="0"/>
      <w:divBdr>
        <w:top w:val="none" w:sz="0" w:space="0" w:color="auto"/>
        <w:left w:val="none" w:sz="0" w:space="0" w:color="auto"/>
        <w:bottom w:val="none" w:sz="0" w:space="0" w:color="auto"/>
        <w:right w:val="none" w:sz="0" w:space="0" w:color="auto"/>
      </w:divBdr>
      <w:divsChild>
        <w:div w:id="1931280665">
          <w:marLeft w:val="0"/>
          <w:marRight w:val="0"/>
          <w:marTop w:val="0"/>
          <w:marBottom w:val="0"/>
          <w:divBdr>
            <w:top w:val="none" w:sz="0" w:space="0" w:color="auto"/>
            <w:left w:val="none" w:sz="0" w:space="0" w:color="auto"/>
            <w:bottom w:val="none" w:sz="0" w:space="0" w:color="auto"/>
            <w:right w:val="none" w:sz="0" w:space="0" w:color="auto"/>
          </w:divBdr>
        </w:div>
        <w:div w:id="318727961">
          <w:marLeft w:val="0"/>
          <w:marRight w:val="0"/>
          <w:marTop w:val="0"/>
          <w:marBottom w:val="0"/>
          <w:divBdr>
            <w:top w:val="none" w:sz="0" w:space="0" w:color="auto"/>
            <w:left w:val="none" w:sz="0" w:space="0" w:color="auto"/>
            <w:bottom w:val="none" w:sz="0" w:space="0" w:color="auto"/>
            <w:right w:val="none" w:sz="0" w:space="0" w:color="auto"/>
          </w:divBdr>
        </w:div>
        <w:div w:id="1663191326">
          <w:marLeft w:val="0"/>
          <w:marRight w:val="0"/>
          <w:marTop w:val="0"/>
          <w:marBottom w:val="0"/>
          <w:divBdr>
            <w:top w:val="none" w:sz="0" w:space="0" w:color="auto"/>
            <w:left w:val="none" w:sz="0" w:space="0" w:color="auto"/>
            <w:bottom w:val="none" w:sz="0" w:space="0" w:color="auto"/>
            <w:right w:val="none" w:sz="0" w:space="0" w:color="auto"/>
          </w:divBdr>
        </w:div>
        <w:div w:id="615454658">
          <w:marLeft w:val="0"/>
          <w:marRight w:val="0"/>
          <w:marTop w:val="0"/>
          <w:marBottom w:val="0"/>
          <w:divBdr>
            <w:top w:val="none" w:sz="0" w:space="0" w:color="auto"/>
            <w:left w:val="none" w:sz="0" w:space="0" w:color="auto"/>
            <w:bottom w:val="none" w:sz="0" w:space="0" w:color="auto"/>
            <w:right w:val="none" w:sz="0" w:space="0" w:color="auto"/>
          </w:divBdr>
        </w:div>
        <w:div w:id="1795752334">
          <w:marLeft w:val="0"/>
          <w:marRight w:val="0"/>
          <w:marTop w:val="0"/>
          <w:marBottom w:val="0"/>
          <w:divBdr>
            <w:top w:val="none" w:sz="0" w:space="0" w:color="auto"/>
            <w:left w:val="none" w:sz="0" w:space="0" w:color="auto"/>
            <w:bottom w:val="none" w:sz="0" w:space="0" w:color="auto"/>
            <w:right w:val="none" w:sz="0" w:space="0" w:color="auto"/>
          </w:divBdr>
        </w:div>
        <w:div w:id="454636229">
          <w:marLeft w:val="0"/>
          <w:marRight w:val="0"/>
          <w:marTop w:val="0"/>
          <w:marBottom w:val="0"/>
          <w:divBdr>
            <w:top w:val="none" w:sz="0" w:space="0" w:color="auto"/>
            <w:left w:val="none" w:sz="0" w:space="0" w:color="auto"/>
            <w:bottom w:val="none" w:sz="0" w:space="0" w:color="auto"/>
            <w:right w:val="none" w:sz="0" w:space="0" w:color="auto"/>
          </w:divBdr>
        </w:div>
        <w:div w:id="1341618327">
          <w:marLeft w:val="0"/>
          <w:marRight w:val="0"/>
          <w:marTop w:val="0"/>
          <w:marBottom w:val="0"/>
          <w:divBdr>
            <w:top w:val="none" w:sz="0" w:space="0" w:color="auto"/>
            <w:left w:val="none" w:sz="0" w:space="0" w:color="auto"/>
            <w:bottom w:val="none" w:sz="0" w:space="0" w:color="auto"/>
            <w:right w:val="none" w:sz="0" w:space="0" w:color="auto"/>
          </w:divBdr>
        </w:div>
        <w:div w:id="1434550147">
          <w:marLeft w:val="0"/>
          <w:marRight w:val="0"/>
          <w:marTop w:val="0"/>
          <w:marBottom w:val="0"/>
          <w:divBdr>
            <w:top w:val="none" w:sz="0" w:space="0" w:color="auto"/>
            <w:left w:val="none" w:sz="0" w:space="0" w:color="auto"/>
            <w:bottom w:val="none" w:sz="0" w:space="0" w:color="auto"/>
            <w:right w:val="none" w:sz="0" w:space="0" w:color="auto"/>
          </w:divBdr>
        </w:div>
        <w:div w:id="1900092473">
          <w:marLeft w:val="0"/>
          <w:marRight w:val="0"/>
          <w:marTop w:val="0"/>
          <w:marBottom w:val="0"/>
          <w:divBdr>
            <w:top w:val="none" w:sz="0" w:space="0" w:color="auto"/>
            <w:left w:val="none" w:sz="0" w:space="0" w:color="auto"/>
            <w:bottom w:val="none" w:sz="0" w:space="0" w:color="auto"/>
            <w:right w:val="none" w:sz="0" w:space="0" w:color="auto"/>
          </w:divBdr>
        </w:div>
        <w:div w:id="902452976">
          <w:marLeft w:val="0"/>
          <w:marRight w:val="0"/>
          <w:marTop w:val="0"/>
          <w:marBottom w:val="0"/>
          <w:divBdr>
            <w:top w:val="none" w:sz="0" w:space="0" w:color="auto"/>
            <w:left w:val="none" w:sz="0" w:space="0" w:color="auto"/>
            <w:bottom w:val="none" w:sz="0" w:space="0" w:color="auto"/>
            <w:right w:val="none" w:sz="0" w:space="0" w:color="auto"/>
          </w:divBdr>
        </w:div>
        <w:div w:id="1559828733">
          <w:marLeft w:val="0"/>
          <w:marRight w:val="0"/>
          <w:marTop w:val="0"/>
          <w:marBottom w:val="0"/>
          <w:divBdr>
            <w:top w:val="none" w:sz="0" w:space="0" w:color="auto"/>
            <w:left w:val="none" w:sz="0" w:space="0" w:color="auto"/>
            <w:bottom w:val="none" w:sz="0" w:space="0" w:color="auto"/>
            <w:right w:val="none" w:sz="0" w:space="0" w:color="auto"/>
          </w:divBdr>
        </w:div>
        <w:div w:id="811750728">
          <w:marLeft w:val="0"/>
          <w:marRight w:val="0"/>
          <w:marTop w:val="0"/>
          <w:marBottom w:val="0"/>
          <w:divBdr>
            <w:top w:val="none" w:sz="0" w:space="0" w:color="auto"/>
            <w:left w:val="none" w:sz="0" w:space="0" w:color="auto"/>
            <w:bottom w:val="none" w:sz="0" w:space="0" w:color="auto"/>
            <w:right w:val="none" w:sz="0" w:space="0" w:color="auto"/>
          </w:divBdr>
        </w:div>
        <w:div w:id="1576628298">
          <w:marLeft w:val="0"/>
          <w:marRight w:val="0"/>
          <w:marTop w:val="0"/>
          <w:marBottom w:val="0"/>
          <w:divBdr>
            <w:top w:val="none" w:sz="0" w:space="0" w:color="auto"/>
            <w:left w:val="none" w:sz="0" w:space="0" w:color="auto"/>
            <w:bottom w:val="none" w:sz="0" w:space="0" w:color="auto"/>
            <w:right w:val="none" w:sz="0" w:space="0" w:color="auto"/>
          </w:divBdr>
        </w:div>
        <w:div w:id="1783111674">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FDCB-60CF-46B3-A9A2-F1ABB3A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4</cp:revision>
  <dcterms:created xsi:type="dcterms:W3CDTF">2023-06-20T20:22:00Z</dcterms:created>
  <dcterms:modified xsi:type="dcterms:W3CDTF">2023-06-20T20:49:00Z</dcterms:modified>
</cp:coreProperties>
</file>