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CE" w:rsidRPr="00DF2676" w:rsidRDefault="000071CE" w:rsidP="000071CE">
      <w:pPr>
        <w:autoSpaceDE w:val="0"/>
        <w:autoSpaceDN w:val="0"/>
        <w:adjustRightInd w:val="0"/>
        <w:jc w:val="center"/>
        <w:rPr>
          <w:rFonts w:ascii="Palatino Linotype" w:hAnsi="Palatino Linotype"/>
          <w:b/>
        </w:rPr>
      </w:pPr>
      <w:r w:rsidRPr="00DF2676">
        <w:rPr>
          <w:rFonts w:ascii="Palatino Linotype" w:hAnsi="Palatino Linotype"/>
          <w:b/>
        </w:rPr>
        <w:t>EL CONCEJO METROPOLITANO DE QUITO</w:t>
      </w:r>
    </w:p>
    <w:p w:rsidR="000071CE" w:rsidRPr="00DF2676" w:rsidRDefault="000071CE" w:rsidP="000071CE">
      <w:pPr>
        <w:autoSpaceDE w:val="0"/>
        <w:autoSpaceDN w:val="0"/>
        <w:adjustRightInd w:val="0"/>
        <w:jc w:val="center"/>
        <w:rPr>
          <w:rFonts w:ascii="Palatino Linotype" w:hAnsi="Palatino Linotype"/>
        </w:rPr>
      </w:pPr>
    </w:p>
    <w:p w:rsidR="000071CE" w:rsidRPr="00DF2676" w:rsidRDefault="000071CE" w:rsidP="000071CE">
      <w:pPr>
        <w:autoSpaceDE w:val="0"/>
        <w:autoSpaceDN w:val="0"/>
        <w:adjustRightInd w:val="0"/>
        <w:jc w:val="center"/>
        <w:rPr>
          <w:rFonts w:ascii="Palatino Linotype" w:hAnsi="Palatino Linotype"/>
          <w:b/>
        </w:rPr>
      </w:pPr>
      <w:r w:rsidRPr="00DF2676">
        <w:rPr>
          <w:rFonts w:ascii="Palatino Linotype" w:hAnsi="Palatino Linotype"/>
          <w:b/>
        </w:rPr>
        <w:t xml:space="preserve"> CONSIDERANDO:</w:t>
      </w:r>
    </w:p>
    <w:p w:rsidR="000071CE" w:rsidRPr="00DF2676" w:rsidRDefault="000071CE" w:rsidP="000071CE">
      <w:pPr>
        <w:autoSpaceDE w:val="0"/>
        <w:autoSpaceDN w:val="0"/>
        <w:adjustRightInd w:val="0"/>
        <w:jc w:val="both"/>
        <w:rPr>
          <w:rFonts w:ascii="Palatino Linotype" w:eastAsiaTheme="minorHAnsi" w:hAnsi="Palatino Linotype"/>
          <w:color w:val="000000" w:themeColor="text1"/>
          <w:lang w:val="es-EC" w:eastAsia="en-US"/>
        </w:rPr>
      </w:pPr>
    </w:p>
    <w:p w:rsidR="000071CE" w:rsidRPr="00DF2676"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r w:rsidRPr="00DF2676">
        <w:rPr>
          <w:rFonts w:ascii="Palatino Linotype" w:hAnsi="Palatino Linotype"/>
          <w:b/>
          <w:bCs/>
          <w:color w:val="000000" w:themeColor="text1"/>
          <w:lang w:val="es-EC" w:eastAsia="en-US"/>
        </w:rPr>
        <w:t>Que</w:t>
      </w:r>
      <w:r w:rsidRPr="00DF2676">
        <w:rPr>
          <w:rFonts w:ascii="Palatino Linotype" w:hAnsi="Palatino Linotype"/>
          <w:color w:val="000000" w:themeColor="text1"/>
          <w:lang w:val="es-EC" w:eastAsia="en-US"/>
        </w:rPr>
        <w:t xml:space="preserve">, </w:t>
      </w:r>
      <w:r w:rsidRPr="00DF2676">
        <w:rPr>
          <w:rFonts w:ascii="Palatino Linotype" w:hAnsi="Palatino Linotype"/>
          <w:color w:val="000000" w:themeColor="text1"/>
          <w:lang w:val="es-EC" w:eastAsia="en-US"/>
        </w:rPr>
        <w:tab/>
        <w:t>el artículo</w:t>
      </w:r>
      <w:r w:rsidRPr="00DF2676">
        <w:rPr>
          <w:rFonts w:ascii="Palatino Linotype" w:hAnsi="Palatino Linotype"/>
          <w:color w:val="000000" w:themeColor="text1"/>
          <w:lang w:eastAsia="en-US"/>
        </w:rPr>
        <w:t> 226 de la Constitución</w:t>
      </w:r>
      <w:r w:rsidR="006D7366" w:rsidRPr="00DF2676">
        <w:rPr>
          <w:rFonts w:ascii="Palatino Linotype" w:hAnsi="Palatino Linotype"/>
          <w:color w:val="000000" w:themeColor="text1"/>
          <w:lang w:eastAsia="en-US"/>
        </w:rPr>
        <w:t xml:space="preserve"> de la República, en adelante, “la Constitución”,</w:t>
      </w:r>
      <w:r w:rsidRPr="00DF2676">
        <w:rPr>
          <w:rFonts w:ascii="Palatino Linotype" w:hAnsi="Palatino Linotype"/>
          <w:color w:val="000000" w:themeColor="text1"/>
          <w:lang w:eastAsia="en-US"/>
        </w:rPr>
        <w:t xml:space="preserve"> determina que: </w:t>
      </w:r>
      <w:r w:rsidRPr="00DF2676">
        <w:rPr>
          <w:rFonts w:ascii="Palatino Linotype" w:hAnsi="Palatino Linotype"/>
          <w:i/>
          <w:color w:val="000000" w:themeColor="text1"/>
          <w:lang w:eastAsia="en-U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DF2676">
        <w:rPr>
          <w:rFonts w:ascii="Palatino Linotype" w:hAnsi="Palatino Linotype"/>
          <w:i/>
          <w:iCs/>
          <w:color w:val="000000" w:themeColor="text1"/>
          <w:lang w:val="es-EC" w:eastAsia="en-US"/>
        </w:rPr>
        <w:t>”</w:t>
      </w:r>
      <w:r w:rsidRPr="00DF2676">
        <w:rPr>
          <w:rFonts w:ascii="Palatino Linotype" w:hAnsi="Palatino Linotype"/>
          <w:iCs/>
          <w:color w:val="000000" w:themeColor="text1"/>
          <w:lang w:val="es-EC" w:eastAsia="en-US"/>
        </w:rPr>
        <w:t>;</w:t>
      </w:r>
    </w:p>
    <w:p w:rsidR="000071CE" w:rsidRPr="00DF2676"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p>
    <w:p w:rsidR="000071CE" w:rsidRPr="00DF2676"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r w:rsidRPr="00DF2676">
        <w:rPr>
          <w:rFonts w:ascii="Palatino Linotype" w:hAnsi="Palatino Linotype"/>
          <w:b/>
          <w:bCs/>
          <w:color w:val="000000" w:themeColor="text1"/>
          <w:lang w:val="es-EC" w:eastAsia="en-US"/>
        </w:rPr>
        <w:t>Que</w:t>
      </w:r>
      <w:r w:rsidRPr="00DF2676">
        <w:rPr>
          <w:rFonts w:ascii="Palatino Linotype" w:hAnsi="Palatino Linotype"/>
          <w:color w:val="000000" w:themeColor="text1"/>
          <w:lang w:val="es-EC" w:eastAsia="en-US"/>
        </w:rPr>
        <w:t xml:space="preserve">, </w:t>
      </w:r>
      <w:r w:rsidRPr="00DF2676">
        <w:rPr>
          <w:rFonts w:ascii="Palatino Linotype" w:hAnsi="Palatino Linotype"/>
          <w:color w:val="000000" w:themeColor="text1"/>
          <w:lang w:val="es-EC" w:eastAsia="en-US"/>
        </w:rPr>
        <w:tab/>
        <w:t xml:space="preserve"> el artículo 227 de la Constitución</w:t>
      </w:r>
      <w:r w:rsidRPr="00DF2676">
        <w:rPr>
          <w:rFonts w:ascii="Palatino Linotype" w:hAnsi="Palatino Linotype" w:cs="Arial"/>
          <w:color w:val="000000" w:themeColor="text1"/>
          <w:shd w:val="clear" w:color="auto" w:fill="FFFFFF"/>
        </w:rPr>
        <w:t xml:space="preserve"> menciona: </w:t>
      </w:r>
      <w:r w:rsidR="006D7366" w:rsidRPr="00DF2676">
        <w:rPr>
          <w:rFonts w:ascii="Palatino Linotype" w:hAnsi="Palatino Linotype" w:cs="Arial"/>
          <w:i/>
          <w:color w:val="000000" w:themeColor="text1"/>
          <w:shd w:val="clear" w:color="auto" w:fill="FFFFFF"/>
        </w:rPr>
        <w:t>“</w:t>
      </w:r>
      <w:r w:rsidRPr="00DF2676">
        <w:rPr>
          <w:rFonts w:ascii="Palatino Linotype" w:hAnsi="Palatino Linotype"/>
          <w:i/>
          <w:color w:val="000000" w:themeColor="text1"/>
          <w:lang w:eastAsia="en-US"/>
        </w:rPr>
        <w:t xml:space="preserve">La administración pública constituye un servicio a la colectividad que se rige por los principios de eficacia, eficiencia, calidad, jerarquía, desconcentración, descentralización, coordinación, participación, planificación, transparencia y </w:t>
      </w:r>
      <w:r w:rsidR="003434C1" w:rsidRPr="00DF2676">
        <w:rPr>
          <w:rFonts w:ascii="Palatino Linotype" w:hAnsi="Palatino Linotype"/>
          <w:i/>
          <w:color w:val="000000" w:themeColor="text1"/>
          <w:lang w:eastAsia="en-US"/>
        </w:rPr>
        <w:t>evaluación.</w:t>
      </w:r>
      <w:r w:rsidR="006D7366" w:rsidRPr="00DF2676">
        <w:rPr>
          <w:rFonts w:ascii="Palatino Linotype" w:hAnsi="Palatino Linotype"/>
          <w:i/>
          <w:color w:val="000000" w:themeColor="text1"/>
          <w:lang w:eastAsia="en-US"/>
        </w:rPr>
        <w:t>”</w:t>
      </w:r>
      <w:r w:rsidRPr="00DF2676">
        <w:rPr>
          <w:rFonts w:ascii="Palatino Linotype" w:hAnsi="Palatino Linotype"/>
          <w:i/>
          <w:color w:val="000000" w:themeColor="text1"/>
          <w:lang w:val="es-EC" w:eastAsia="en-US"/>
        </w:rPr>
        <w:t>;</w:t>
      </w:r>
    </w:p>
    <w:p w:rsidR="000071CE" w:rsidRPr="00DF2676" w:rsidRDefault="000071CE" w:rsidP="000071CE">
      <w:pPr>
        <w:autoSpaceDE w:val="0"/>
        <w:autoSpaceDN w:val="0"/>
        <w:adjustRightInd w:val="0"/>
        <w:ind w:left="709" w:hanging="709"/>
        <w:jc w:val="both"/>
        <w:rPr>
          <w:rFonts w:ascii="Palatino Linotype" w:hAnsi="Palatino Linotype"/>
          <w:color w:val="000000" w:themeColor="text1"/>
          <w:lang w:val="es-EC" w:eastAsia="en-US"/>
        </w:rPr>
      </w:pPr>
    </w:p>
    <w:p w:rsidR="00883F6B" w:rsidRPr="00DF2676" w:rsidRDefault="000071CE" w:rsidP="000071CE">
      <w:pPr>
        <w:autoSpaceDE w:val="0"/>
        <w:autoSpaceDN w:val="0"/>
        <w:adjustRightInd w:val="0"/>
        <w:ind w:left="709" w:hanging="709"/>
        <w:jc w:val="both"/>
        <w:rPr>
          <w:rFonts w:ascii="Palatino Linotype" w:hAnsi="Palatino Linotype"/>
          <w:i/>
          <w:color w:val="000000" w:themeColor="text1"/>
          <w:shd w:val="clear" w:color="auto" w:fill="FFFFFF"/>
        </w:rPr>
      </w:pPr>
      <w:r w:rsidRPr="00DF2676">
        <w:rPr>
          <w:rFonts w:ascii="Palatino Linotype" w:hAnsi="Palatino Linotype"/>
          <w:b/>
          <w:color w:val="000000" w:themeColor="text1"/>
          <w:lang w:val="es-EC" w:eastAsia="en-US"/>
        </w:rPr>
        <w:t>Que,</w:t>
      </w:r>
      <w:r w:rsidRPr="00DF2676">
        <w:rPr>
          <w:rFonts w:ascii="Palatino Linotype" w:hAnsi="Palatino Linotype"/>
          <w:color w:val="000000" w:themeColor="text1"/>
          <w:lang w:val="es-EC" w:eastAsia="en-US"/>
        </w:rPr>
        <w:t xml:space="preserve"> </w:t>
      </w:r>
      <w:r w:rsidRPr="00DF2676">
        <w:rPr>
          <w:rFonts w:ascii="Palatino Linotype" w:hAnsi="Palatino Linotype"/>
          <w:color w:val="000000" w:themeColor="text1"/>
          <w:lang w:val="es-EC" w:eastAsia="en-US"/>
        </w:rPr>
        <w:tab/>
      </w:r>
      <w:r w:rsidR="0026029C" w:rsidRPr="00DF2676">
        <w:rPr>
          <w:rFonts w:ascii="Palatino Linotype" w:hAnsi="Palatino Linotype"/>
          <w:color w:val="000000" w:themeColor="text1"/>
          <w:lang w:val="es-EC" w:eastAsia="en-US"/>
        </w:rPr>
        <w:t>el</w:t>
      </w:r>
      <w:r w:rsidRPr="00DF2676">
        <w:rPr>
          <w:rFonts w:ascii="Palatino Linotype" w:hAnsi="Palatino Linotype"/>
          <w:color w:val="000000" w:themeColor="text1"/>
          <w:lang w:val="es-EC" w:eastAsia="en-US"/>
        </w:rPr>
        <w:t xml:space="preserve"> artículo</w:t>
      </w:r>
      <w:r w:rsidRPr="00DF2676">
        <w:rPr>
          <w:rStyle w:val="nrmar"/>
          <w:rFonts w:ascii="Palatino Linotype" w:hAnsi="Palatino Linotype"/>
          <w:color w:val="000000" w:themeColor="text1"/>
          <w:shd w:val="clear" w:color="auto" w:fill="FFFFFF"/>
        </w:rPr>
        <w:t xml:space="preserve"> 240</w:t>
      </w:r>
      <w:r w:rsidR="003434C1" w:rsidRPr="00DF2676">
        <w:rPr>
          <w:rFonts w:ascii="Palatino Linotype" w:hAnsi="Palatino Linotype"/>
          <w:color w:val="000000" w:themeColor="text1"/>
          <w:shd w:val="clear" w:color="auto" w:fill="FFFFFF"/>
        </w:rPr>
        <w:t xml:space="preserve"> </w:t>
      </w:r>
      <w:r w:rsidR="0026029C" w:rsidRPr="00DF2676">
        <w:rPr>
          <w:rFonts w:ascii="Palatino Linotype" w:hAnsi="Palatino Linotype"/>
          <w:color w:val="000000" w:themeColor="text1"/>
          <w:shd w:val="clear" w:color="auto" w:fill="FFFFFF"/>
        </w:rPr>
        <w:t xml:space="preserve">de la Constitución </w:t>
      </w:r>
      <w:r w:rsidR="003434C1" w:rsidRPr="00DF2676">
        <w:rPr>
          <w:rFonts w:ascii="Palatino Linotype" w:hAnsi="Palatino Linotype"/>
          <w:color w:val="000000" w:themeColor="text1"/>
          <w:shd w:val="clear" w:color="auto" w:fill="FFFFFF"/>
        </w:rPr>
        <w:t>manda que:</w:t>
      </w:r>
      <w:r w:rsidRPr="00DF2676">
        <w:rPr>
          <w:rFonts w:ascii="Palatino Linotype" w:hAnsi="Palatino Linotype"/>
          <w:color w:val="000000" w:themeColor="text1"/>
          <w:shd w:val="clear" w:color="auto" w:fill="FFFFFF"/>
        </w:rPr>
        <w:t xml:space="preserve"> </w:t>
      </w:r>
      <w:r w:rsidR="003434C1" w:rsidRPr="00DF2676">
        <w:rPr>
          <w:rFonts w:ascii="Palatino Linotype" w:hAnsi="Palatino Linotype"/>
          <w:i/>
          <w:color w:val="000000" w:themeColor="text1"/>
          <w:shd w:val="clear" w:color="auto" w:fill="FFFFFF"/>
        </w:rPr>
        <w:t>“</w:t>
      </w:r>
      <w:r w:rsidRPr="00DF2676">
        <w:rPr>
          <w:rFonts w:ascii="Palatino Linotype" w:hAnsi="Palatino Linotype"/>
          <w:i/>
          <w:color w:val="000000" w:themeColor="text1"/>
          <w:shd w:val="clear" w:color="auto" w:fill="FFFFFF"/>
        </w:rPr>
        <w:t>Los gobiernos autónomos descentralizados de las regiones, distritos metropolitanos, provincias y cantones tendrán facultades legislativas en el ámbito de su</w:t>
      </w:r>
      <w:r w:rsidR="003434C1" w:rsidRPr="00DF2676">
        <w:rPr>
          <w:rFonts w:ascii="Palatino Linotype" w:hAnsi="Palatino Linotype"/>
          <w:i/>
          <w:color w:val="000000" w:themeColor="text1"/>
          <w:shd w:val="clear" w:color="auto" w:fill="FFFFFF"/>
        </w:rPr>
        <w:t xml:space="preserve">s competencias y jurisdicciones </w:t>
      </w:r>
      <w:r w:rsidR="00D96D2E" w:rsidRPr="00DF2676">
        <w:rPr>
          <w:rFonts w:ascii="Palatino Linotype" w:hAnsi="Palatino Linotype"/>
          <w:i/>
          <w:color w:val="000000" w:themeColor="text1"/>
          <w:shd w:val="clear" w:color="auto" w:fill="FFFFFF"/>
        </w:rPr>
        <w:t>territoriales. (</w:t>
      </w:r>
      <w:r w:rsidR="006D7366" w:rsidRPr="00DF2676">
        <w:rPr>
          <w:rFonts w:ascii="Palatino Linotype" w:hAnsi="Palatino Linotype"/>
          <w:i/>
          <w:color w:val="000000" w:themeColor="text1"/>
          <w:shd w:val="clear" w:color="auto" w:fill="FFFFFF"/>
        </w:rPr>
        <w:t>…)”;</w:t>
      </w:r>
    </w:p>
    <w:p w:rsidR="00883F6B" w:rsidRPr="00DF2676" w:rsidRDefault="00883F6B" w:rsidP="000071CE">
      <w:pPr>
        <w:autoSpaceDE w:val="0"/>
        <w:autoSpaceDN w:val="0"/>
        <w:adjustRightInd w:val="0"/>
        <w:ind w:left="709" w:hanging="709"/>
        <w:jc w:val="both"/>
        <w:rPr>
          <w:rFonts w:ascii="Palatino Linotype" w:hAnsi="Palatino Linotype"/>
          <w:i/>
          <w:color w:val="000000" w:themeColor="text1"/>
          <w:shd w:val="clear" w:color="auto" w:fill="FFFFFF"/>
        </w:rPr>
      </w:pPr>
    </w:p>
    <w:p w:rsidR="00883F6B" w:rsidRPr="00DF2676" w:rsidRDefault="00883F6B" w:rsidP="000071CE">
      <w:pPr>
        <w:autoSpaceDE w:val="0"/>
        <w:autoSpaceDN w:val="0"/>
        <w:adjustRightInd w:val="0"/>
        <w:ind w:left="709" w:hanging="709"/>
        <w:jc w:val="both"/>
        <w:rPr>
          <w:rFonts w:ascii="Palatino Linotype" w:hAnsi="Palatino Linotype"/>
          <w:i/>
          <w:lang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Pr="00DF2676">
        <w:rPr>
          <w:rFonts w:ascii="Palatino Linotype" w:hAnsi="Palatino Linotype"/>
          <w:lang w:eastAsia="en-US"/>
        </w:rPr>
        <w:t xml:space="preserve">el artículo 266 de la Constitución dispone: </w:t>
      </w:r>
      <w:r w:rsidRPr="00DF2676">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83F6B" w:rsidRPr="00DF2676" w:rsidRDefault="00883F6B" w:rsidP="000071CE">
      <w:pPr>
        <w:autoSpaceDE w:val="0"/>
        <w:autoSpaceDN w:val="0"/>
        <w:adjustRightInd w:val="0"/>
        <w:ind w:left="709" w:hanging="709"/>
        <w:jc w:val="both"/>
        <w:rPr>
          <w:rFonts w:ascii="Palatino Linotype" w:hAnsi="Palatino Linotype"/>
          <w:i/>
          <w:lang w:eastAsia="en-US"/>
        </w:rPr>
      </w:pPr>
    </w:p>
    <w:p w:rsidR="00883F6B" w:rsidRPr="00DF2676" w:rsidRDefault="00883F6B" w:rsidP="00883F6B">
      <w:pPr>
        <w:autoSpaceDE w:val="0"/>
        <w:autoSpaceDN w:val="0"/>
        <w:adjustRightInd w:val="0"/>
        <w:ind w:left="709" w:hanging="709"/>
        <w:jc w:val="both"/>
        <w:rPr>
          <w:rFonts w:ascii="Palatino Linotype" w:hAnsi="Palatino Linotype"/>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Pr="00DF2676">
        <w:rPr>
          <w:rFonts w:ascii="Palatino Linotype" w:hAnsi="Palatino Linotype"/>
          <w:lang w:eastAsia="en-US"/>
        </w:rPr>
        <w:t xml:space="preserve">el artículo 7 del Código Orgánico de Organización Territorial, Autonomía y Descentralización, en adelante COOTAD, señala: </w:t>
      </w:r>
      <w:r w:rsidRPr="00DF2676">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DF2676">
        <w:rPr>
          <w:rFonts w:ascii="Palatino Linotype" w:hAnsi="Palatino Linotype"/>
          <w:lang w:eastAsia="en-US"/>
        </w:rPr>
        <w:t xml:space="preserve"> </w:t>
      </w:r>
      <w:r w:rsidRPr="00DF2676">
        <w:rPr>
          <w:rFonts w:ascii="Palatino Linotype" w:hAnsi="Palatino Linotype"/>
          <w:lang w:val="es-EC" w:eastAsia="en-US"/>
        </w:rPr>
        <w:t xml:space="preserve"> </w:t>
      </w:r>
    </w:p>
    <w:p w:rsidR="00883F6B" w:rsidRPr="00DF2676" w:rsidRDefault="00883F6B" w:rsidP="000071CE">
      <w:pPr>
        <w:autoSpaceDE w:val="0"/>
        <w:autoSpaceDN w:val="0"/>
        <w:adjustRightInd w:val="0"/>
        <w:ind w:left="709" w:hanging="709"/>
        <w:jc w:val="both"/>
        <w:rPr>
          <w:rFonts w:ascii="Palatino Linotype" w:hAnsi="Palatino Linotype"/>
          <w:i/>
          <w:lang w:eastAsia="en-US"/>
        </w:rPr>
      </w:pPr>
    </w:p>
    <w:p w:rsidR="000071CE" w:rsidRPr="00DF2676" w:rsidRDefault="000071CE" w:rsidP="000071CE">
      <w:pPr>
        <w:autoSpaceDE w:val="0"/>
        <w:autoSpaceDN w:val="0"/>
        <w:adjustRightInd w:val="0"/>
        <w:ind w:left="709" w:hanging="709"/>
        <w:jc w:val="both"/>
        <w:rPr>
          <w:rFonts w:ascii="Palatino Linotype" w:hAnsi="Palatino Linotype"/>
          <w:lang w:val="es-EC" w:eastAsia="en-US"/>
        </w:rPr>
      </w:pPr>
    </w:p>
    <w:p w:rsidR="000071CE" w:rsidRPr="00DF2676" w:rsidRDefault="000071CE" w:rsidP="000071CE">
      <w:pPr>
        <w:autoSpaceDE w:val="0"/>
        <w:autoSpaceDN w:val="0"/>
        <w:adjustRightInd w:val="0"/>
        <w:ind w:left="709" w:hanging="709"/>
        <w:jc w:val="both"/>
        <w:rPr>
          <w:rFonts w:ascii="Palatino Linotype" w:hAnsi="Palatino Linotype"/>
          <w:lang w:val="es-EC" w:eastAsia="en-US"/>
        </w:rPr>
      </w:pPr>
      <w:r w:rsidRPr="00DF2676">
        <w:rPr>
          <w:rFonts w:ascii="Palatino Linotype" w:hAnsi="Palatino Linotype"/>
          <w:b/>
          <w:lang w:val="es-EC" w:eastAsia="en-US"/>
        </w:rPr>
        <w:lastRenderedPageBreak/>
        <w:t>Que,</w:t>
      </w:r>
      <w:r w:rsidRPr="00DF2676">
        <w:rPr>
          <w:rFonts w:ascii="Palatino Linotype" w:hAnsi="Palatino Linotype"/>
          <w:lang w:val="es-EC" w:eastAsia="en-US"/>
        </w:rPr>
        <w:t xml:space="preserve"> </w:t>
      </w:r>
      <w:r w:rsidRPr="00DF2676">
        <w:rPr>
          <w:rFonts w:ascii="Palatino Linotype" w:hAnsi="Palatino Linotype"/>
          <w:lang w:val="es-EC" w:eastAsia="en-US"/>
        </w:rPr>
        <w:tab/>
        <w:t xml:space="preserve">los literales a) y d) del artículo 87 del COOTAD, establecen como atribuciones del Concejo Metropolitano: </w:t>
      </w:r>
      <w:r w:rsidRPr="00DF2676">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DF2676">
        <w:rPr>
          <w:rFonts w:ascii="Palatino Linotype" w:hAnsi="Palatino Linotype"/>
          <w:lang w:val="es-EC" w:eastAsia="en-US"/>
        </w:rPr>
        <w:t xml:space="preserve"> </w:t>
      </w:r>
    </w:p>
    <w:p w:rsidR="000071CE" w:rsidRPr="00DF2676" w:rsidRDefault="000071CE" w:rsidP="000071CE">
      <w:pPr>
        <w:autoSpaceDE w:val="0"/>
        <w:autoSpaceDN w:val="0"/>
        <w:adjustRightInd w:val="0"/>
        <w:ind w:left="709" w:hanging="709"/>
        <w:jc w:val="both"/>
        <w:rPr>
          <w:rFonts w:ascii="Palatino Linotype" w:hAnsi="Palatino Linotype"/>
          <w:lang w:val="es-EC" w:eastAsia="en-US"/>
        </w:rPr>
      </w:pPr>
    </w:p>
    <w:p w:rsidR="0026029C" w:rsidRPr="00DF2676" w:rsidRDefault="000071CE" w:rsidP="000071CE">
      <w:pPr>
        <w:autoSpaceDE w:val="0"/>
        <w:autoSpaceDN w:val="0"/>
        <w:adjustRightInd w:val="0"/>
        <w:ind w:left="709" w:hanging="709"/>
        <w:jc w:val="both"/>
        <w:rPr>
          <w:rFonts w:ascii="Palatino Linotype" w:hAnsi="Palatino Linotype"/>
          <w:i/>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0026029C" w:rsidRPr="00DF2676">
        <w:rPr>
          <w:rFonts w:ascii="Palatino Linotype" w:hAnsi="Palatino Linotype"/>
          <w:lang w:val="es-EC" w:eastAsia="en-US"/>
        </w:rPr>
        <w:t>el a</w:t>
      </w:r>
      <w:r w:rsidR="006D7366" w:rsidRPr="00DF2676">
        <w:rPr>
          <w:rFonts w:ascii="Palatino Linotype" w:hAnsi="Palatino Linotype"/>
          <w:lang w:val="es-EC" w:eastAsia="en-US"/>
        </w:rPr>
        <w:t xml:space="preserve">rtículo 323 del COOTAD dispone: </w:t>
      </w:r>
      <w:r w:rsidR="006D7366" w:rsidRPr="00DF2676">
        <w:rPr>
          <w:rFonts w:ascii="Palatino Linotype" w:hAnsi="Palatino Linotype"/>
          <w:i/>
          <w:lang w:val="es-EC" w:eastAsia="en-US"/>
        </w:rPr>
        <w:t>“</w:t>
      </w:r>
      <w:r w:rsidR="0026029C" w:rsidRPr="00DF2676">
        <w:rPr>
          <w:rFonts w:ascii="Palatino Linotype" w:hAnsi="Palatino Linotype"/>
          <w:i/>
          <w:lang w:val="es-EC"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26029C" w:rsidRPr="00DF2676" w:rsidRDefault="0026029C" w:rsidP="000071CE">
      <w:pPr>
        <w:autoSpaceDE w:val="0"/>
        <w:autoSpaceDN w:val="0"/>
        <w:adjustRightInd w:val="0"/>
        <w:ind w:left="709" w:hanging="709"/>
        <w:jc w:val="both"/>
        <w:rPr>
          <w:rFonts w:ascii="Palatino Linotype" w:hAnsi="Palatino Linotype"/>
          <w:i/>
          <w:lang w:val="es-EC" w:eastAsia="en-US"/>
        </w:rPr>
      </w:pPr>
    </w:p>
    <w:p w:rsidR="0026029C" w:rsidRPr="00DF2676" w:rsidRDefault="0026029C" w:rsidP="0026029C">
      <w:pPr>
        <w:ind w:left="708" w:hanging="708"/>
        <w:jc w:val="both"/>
        <w:rPr>
          <w:rFonts w:ascii="Palatino Linotype" w:hAnsi="Palatino Linotype"/>
          <w:i/>
          <w:lang w:val="es-EC" w:eastAsia="en-US"/>
        </w:rPr>
      </w:pPr>
      <w:r w:rsidRPr="00DF2676">
        <w:rPr>
          <w:rFonts w:ascii="Palatino Linotype" w:hAnsi="Palatino Linotype" w:cstheme="minorHAnsi"/>
          <w:b/>
        </w:rPr>
        <w:t xml:space="preserve">Que, </w:t>
      </w:r>
      <w:r w:rsidRPr="00DF2676">
        <w:rPr>
          <w:rFonts w:ascii="Palatino Linotype" w:hAnsi="Palatino Linotype" w:cstheme="minorHAnsi"/>
          <w:b/>
        </w:rPr>
        <w:tab/>
      </w:r>
      <w:r w:rsidRPr="00DF2676">
        <w:rPr>
          <w:rFonts w:ascii="Palatino Linotype" w:hAnsi="Palatino Linotype"/>
          <w:lang w:val="es-EC" w:eastAsia="en-US"/>
        </w:rPr>
        <w:t>el artículo 415 del COOTAD establece</w:t>
      </w:r>
      <w:r w:rsidRPr="00DF2676">
        <w:rPr>
          <w:rFonts w:ascii="Palatino Linotype" w:hAnsi="Palatino Linotype"/>
          <w:i/>
          <w:lang w:val="es-EC" w:eastAsia="en-US"/>
        </w:rPr>
        <w:t>: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26029C" w:rsidRPr="00DF2676" w:rsidRDefault="0026029C" w:rsidP="00422523">
      <w:pPr>
        <w:autoSpaceDE w:val="0"/>
        <w:autoSpaceDN w:val="0"/>
        <w:adjustRightInd w:val="0"/>
        <w:jc w:val="both"/>
        <w:rPr>
          <w:rFonts w:ascii="Palatino Linotype" w:hAnsi="Palatino Linotype" w:cstheme="minorHAnsi"/>
          <w:b/>
        </w:rPr>
      </w:pPr>
    </w:p>
    <w:p w:rsidR="004D1DE6" w:rsidRPr="00DF2676" w:rsidRDefault="0026029C" w:rsidP="0026029C">
      <w:pPr>
        <w:autoSpaceDE w:val="0"/>
        <w:autoSpaceDN w:val="0"/>
        <w:adjustRightInd w:val="0"/>
        <w:ind w:left="709" w:hanging="709"/>
        <w:jc w:val="both"/>
        <w:rPr>
          <w:rFonts w:ascii="Palatino Linotype" w:hAnsi="Palatino Linotype" w:cstheme="minorHAnsi"/>
        </w:rPr>
      </w:pPr>
      <w:r w:rsidRPr="00DF2676">
        <w:rPr>
          <w:rFonts w:ascii="Palatino Linotype" w:hAnsi="Palatino Linotype" w:cstheme="minorHAnsi"/>
          <w:b/>
        </w:rPr>
        <w:t>Que,</w:t>
      </w:r>
      <w:r w:rsidRPr="00DF2676">
        <w:rPr>
          <w:rFonts w:ascii="Palatino Linotype" w:hAnsi="Palatino Linotype" w:cstheme="minorHAnsi"/>
        </w:rPr>
        <w:t xml:space="preserve"> </w:t>
      </w:r>
      <w:r w:rsidRPr="00DF2676">
        <w:rPr>
          <w:rFonts w:ascii="Palatino Linotype" w:hAnsi="Palatino Linotype" w:cstheme="minorHAnsi"/>
        </w:rPr>
        <w:tab/>
      </w:r>
      <w:r w:rsidR="004D1DE6" w:rsidRPr="00DF2676">
        <w:rPr>
          <w:rFonts w:ascii="Palatino Linotype" w:hAnsi="Palatino Linotype" w:cstheme="minorHAnsi"/>
        </w:rPr>
        <w:t xml:space="preserve">el artículo 423 </w:t>
      </w:r>
      <w:r w:rsidR="004D1DE6" w:rsidRPr="00DF2676">
        <w:rPr>
          <w:rFonts w:ascii="Palatino Linotype" w:hAnsi="Palatino Linotype"/>
          <w:lang w:val="es-EC" w:eastAsia="en-US"/>
        </w:rPr>
        <w:t>del COOTAD indica que</w:t>
      </w:r>
      <w:r w:rsidR="004D1DE6" w:rsidRPr="00DF2676">
        <w:rPr>
          <w:rFonts w:ascii="Palatino Linotype" w:hAnsi="Palatino Linotype" w:cstheme="minorHAnsi"/>
        </w:rPr>
        <w:t xml:space="preserve">: </w:t>
      </w:r>
      <w:r w:rsidR="004D1DE6" w:rsidRPr="00DF2676">
        <w:rPr>
          <w:rFonts w:ascii="Palatino Linotype" w:hAnsi="Palatino Linotype" w:cstheme="minorHAnsi"/>
          <w:i/>
        </w:rPr>
        <w:t>“Los bienes de cualquiera de las categorías establecidas en este Código, pueden pasar a otra de las mismas, previa resolución del órgano de legislación del gobierno autónomo descentralizado con el voto favorable de las dos terceras partes de sus miembros. (…)”;</w:t>
      </w:r>
    </w:p>
    <w:p w:rsidR="004D1DE6" w:rsidRPr="00DF2676" w:rsidRDefault="004D1DE6" w:rsidP="0026029C">
      <w:pPr>
        <w:autoSpaceDE w:val="0"/>
        <w:autoSpaceDN w:val="0"/>
        <w:adjustRightInd w:val="0"/>
        <w:ind w:left="709" w:hanging="709"/>
        <w:jc w:val="both"/>
        <w:rPr>
          <w:rFonts w:ascii="Palatino Linotype" w:hAnsi="Palatino Linotype" w:cstheme="minorHAnsi"/>
        </w:rPr>
      </w:pPr>
    </w:p>
    <w:p w:rsidR="001F3120" w:rsidRPr="00DF2676" w:rsidRDefault="004D1DE6" w:rsidP="004D1DE6">
      <w:pPr>
        <w:autoSpaceDE w:val="0"/>
        <w:autoSpaceDN w:val="0"/>
        <w:adjustRightInd w:val="0"/>
        <w:ind w:left="709" w:hanging="709"/>
        <w:jc w:val="both"/>
        <w:rPr>
          <w:rFonts w:ascii="Palatino Linotype" w:hAnsi="Palatino Linotype" w:cstheme="minorHAnsi"/>
        </w:rPr>
      </w:pPr>
      <w:r w:rsidRPr="00DF2676">
        <w:rPr>
          <w:rFonts w:ascii="Palatino Linotype" w:hAnsi="Palatino Linotype" w:cstheme="minorHAnsi"/>
          <w:b/>
        </w:rPr>
        <w:t>Que,</w:t>
      </w:r>
      <w:r w:rsidRPr="00DF2676">
        <w:rPr>
          <w:rFonts w:ascii="Palatino Linotype" w:hAnsi="Palatino Linotype" w:cstheme="minorHAnsi"/>
        </w:rPr>
        <w:tab/>
      </w:r>
      <w:r w:rsidR="001F3120" w:rsidRPr="00DF2676">
        <w:rPr>
          <w:rFonts w:ascii="Palatino Linotype" w:hAnsi="Palatino Linotype"/>
          <w:lang w:val="es-EC" w:eastAsia="en-US"/>
        </w:rPr>
        <w:t xml:space="preserve">el artículo 436 del COOTAD </w:t>
      </w:r>
      <w:r w:rsidR="0026029C" w:rsidRPr="00DF2676">
        <w:rPr>
          <w:rFonts w:ascii="Palatino Linotype" w:hAnsi="Palatino Linotype"/>
          <w:lang w:val="es-EC" w:eastAsia="en-US"/>
        </w:rPr>
        <w:t>señala</w:t>
      </w:r>
      <w:r w:rsidR="001F3120" w:rsidRPr="00DF2676">
        <w:rPr>
          <w:rFonts w:ascii="Palatino Linotype" w:hAnsi="Palatino Linotype"/>
          <w:lang w:val="es-EC" w:eastAsia="en-US"/>
        </w:rPr>
        <w:t xml:space="preserve"> que</w:t>
      </w:r>
      <w:r w:rsidR="006D7366" w:rsidRPr="00DF2676">
        <w:rPr>
          <w:rFonts w:ascii="Palatino Linotype" w:hAnsi="Palatino Linotype"/>
          <w:lang w:val="es-EC" w:eastAsia="en-US"/>
        </w:rPr>
        <w:t xml:space="preserve">: </w:t>
      </w:r>
      <w:r w:rsidR="006D7366" w:rsidRPr="00DF2676">
        <w:rPr>
          <w:rFonts w:ascii="Palatino Linotype" w:hAnsi="Palatino Linotype"/>
          <w:i/>
          <w:lang w:val="es-EC" w:eastAsia="en-US"/>
        </w:rPr>
        <w:t>“Los</w:t>
      </w:r>
      <w:r w:rsidR="001F3120" w:rsidRPr="00DF2676">
        <w:rPr>
          <w:rFonts w:ascii="Palatino Linotype" w:hAnsi="Palatino Linotype"/>
          <w:i/>
          <w:lang w:val="es-EC" w:eastAsia="en-US"/>
        </w:rPr>
        <w:t xml:space="preserve">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w:t>
      </w:r>
      <w:r w:rsidR="00760167" w:rsidRPr="00DF2676">
        <w:rPr>
          <w:rFonts w:ascii="Palatino Linotype" w:hAnsi="Palatino Linotype"/>
          <w:i/>
          <w:lang w:val="es-EC" w:eastAsia="en-US"/>
        </w:rPr>
        <w:t>público.</w:t>
      </w:r>
      <w:r w:rsidR="006D7366" w:rsidRPr="00DF2676">
        <w:rPr>
          <w:rFonts w:ascii="Palatino Linotype" w:hAnsi="Palatino Linotype"/>
          <w:i/>
          <w:lang w:val="es-EC" w:eastAsia="en-US"/>
        </w:rPr>
        <w:t>”</w:t>
      </w:r>
      <w:r w:rsidR="00365DDC" w:rsidRPr="00DF2676">
        <w:rPr>
          <w:rFonts w:ascii="Palatino Linotype" w:hAnsi="Palatino Linotype"/>
          <w:i/>
          <w:lang w:val="es-EC" w:eastAsia="en-US"/>
        </w:rPr>
        <w:t>;</w:t>
      </w:r>
    </w:p>
    <w:p w:rsidR="000071CE" w:rsidRPr="00DF2676" w:rsidRDefault="000071CE" w:rsidP="0026029C">
      <w:pPr>
        <w:autoSpaceDE w:val="0"/>
        <w:autoSpaceDN w:val="0"/>
        <w:adjustRightInd w:val="0"/>
        <w:jc w:val="both"/>
        <w:rPr>
          <w:rFonts w:ascii="Palatino Linotype" w:hAnsi="Palatino Linotype"/>
          <w:lang w:val="es-EC" w:eastAsia="en-US"/>
        </w:rPr>
      </w:pPr>
    </w:p>
    <w:p w:rsidR="000071CE" w:rsidRPr="00DF2676" w:rsidRDefault="000071CE" w:rsidP="00760167">
      <w:pPr>
        <w:autoSpaceDE w:val="0"/>
        <w:autoSpaceDN w:val="0"/>
        <w:adjustRightInd w:val="0"/>
        <w:ind w:left="709" w:hanging="709"/>
        <w:jc w:val="both"/>
        <w:rPr>
          <w:rFonts w:ascii="Palatino Linotype" w:hAnsi="Palatino Linotype"/>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00760167" w:rsidRPr="00DF2676">
        <w:rPr>
          <w:rFonts w:ascii="Palatino Linotype" w:hAnsi="Palatino Linotype"/>
          <w:lang w:val="es-EC" w:eastAsia="en-US"/>
        </w:rPr>
        <w:t>el artículo 534, literal a) del COOTAD, menciona que las municipalidades y demás organismos de derecho público se encuentran exentos del pago del impuesto de alcabala por transferencia de dominio;</w:t>
      </w:r>
    </w:p>
    <w:p w:rsidR="000071CE" w:rsidRPr="00DF2676" w:rsidRDefault="000071CE" w:rsidP="000071CE">
      <w:pPr>
        <w:autoSpaceDE w:val="0"/>
        <w:autoSpaceDN w:val="0"/>
        <w:adjustRightInd w:val="0"/>
        <w:ind w:left="709" w:hanging="709"/>
        <w:jc w:val="both"/>
        <w:rPr>
          <w:rFonts w:ascii="Palatino Linotype" w:hAnsi="Palatino Linotype"/>
          <w:lang w:val="es-EC" w:eastAsia="en-US"/>
        </w:rPr>
      </w:pPr>
    </w:p>
    <w:p w:rsidR="000071CE" w:rsidRPr="00DF2676" w:rsidRDefault="000071CE" w:rsidP="00D330F8">
      <w:pPr>
        <w:autoSpaceDE w:val="0"/>
        <w:autoSpaceDN w:val="0"/>
        <w:adjustRightInd w:val="0"/>
        <w:jc w:val="both"/>
        <w:rPr>
          <w:rFonts w:ascii="Palatino Linotype" w:hAnsi="Palatino Linotype"/>
          <w:lang w:val="es-EC" w:eastAsia="en-US"/>
        </w:rPr>
      </w:pPr>
    </w:p>
    <w:p w:rsidR="00883F6B" w:rsidRPr="00DF2676" w:rsidRDefault="00883F6B" w:rsidP="00883F6B">
      <w:pPr>
        <w:autoSpaceDE w:val="0"/>
        <w:autoSpaceDN w:val="0"/>
        <w:adjustRightInd w:val="0"/>
        <w:ind w:left="709" w:hanging="709"/>
        <w:jc w:val="both"/>
        <w:rPr>
          <w:rFonts w:ascii="Palatino Linotype" w:eastAsia="Palatino Linotype" w:hAnsi="Palatino Linotype" w:cs="Palatino Linotype"/>
          <w:i/>
          <w:lang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Pr="00DF2676">
        <w:rPr>
          <w:rFonts w:ascii="Palatino Linotype" w:eastAsia="Palatino Linotype" w:hAnsi="Palatino Linotype" w:cs="Palatino Linotype"/>
          <w:lang w:eastAsia="en-US"/>
        </w:rPr>
        <w:t xml:space="preserve">el artículo 98 del Código Orgánico Administrativo, señala: </w:t>
      </w:r>
      <w:r w:rsidRPr="00DF2676">
        <w:rPr>
          <w:rFonts w:ascii="Palatino Linotype" w:eastAsia="Palatino Linotype" w:hAnsi="Palatino Linotype" w:cs="Palatino Linotype"/>
          <w:i/>
          <w:lang w:eastAsia="en-US"/>
        </w:rPr>
        <w:t xml:space="preserve">“Acto administrativo. es la declaración unilateral de voluntad, efectuada en ejercicio de la función administrativa que produce efectos jurídicos individuales o generales, siempre que se agote con su cumplimiento y de forma directa...”; </w:t>
      </w:r>
    </w:p>
    <w:p w:rsidR="00FB7425" w:rsidRPr="00DF2676" w:rsidRDefault="00FB7425" w:rsidP="00883F6B">
      <w:pPr>
        <w:autoSpaceDE w:val="0"/>
        <w:autoSpaceDN w:val="0"/>
        <w:adjustRightInd w:val="0"/>
        <w:ind w:left="709" w:hanging="709"/>
        <w:jc w:val="both"/>
        <w:rPr>
          <w:rFonts w:ascii="Palatino Linotype" w:eastAsia="Palatino Linotype" w:hAnsi="Palatino Linotype" w:cs="Palatino Linotype"/>
          <w:i/>
          <w:lang w:eastAsia="en-US"/>
        </w:rPr>
      </w:pPr>
    </w:p>
    <w:p w:rsidR="00FB7425" w:rsidRPr="00DF2676" w:rsidRDefault="00FB7425" w:rsidP="00FB7425">
      <w:pPr>
        <w:autoSpaceDE w:val="0"/>
        <w:autoSpaceDN w:val="0"/>
        <w:adjustRightInd w:val="0"/>
        <w:ind w:left="709" w:hanging="709"/>
        <w:jc w:val="both"/>
        <w:rPr>
          <w:rFonts w:ascii="Palatino Linotype" w:hAnsi="Palatino Linotype"/>
          <w:i/>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ab/>
        <w:t xml:space="preserve">el artículo 58 numeral 8 de </w:t>
      </w:r>
      <w:r w:rsidRPr="00DF2676">
        <w:rPr>
          <w:rFonts w:ascii="Palatino Linotype" w:hAnsi="Palatino Linotype"/>
        </w:rPr>
        <w:t xml:space="preserve">la Ley Orgánica del Sistema Nacional de Contratación Pública, </w:t>
      </w:r>
      <w:r w:rsidRPr="00DF2676">
        <w:rPr>
          <w:rFonts w:ascii="Palatino Linotype" w:hAnsi="Palatino Linotype"/>
          <w:lang w:val="es-EC" w:eastAsia="en-US"/>
        </w:rPr>
        <w:t xml:space="preserve">dispone que: </w:t>
      </w:r>
      <w:r w:rsidRPr="00DF2676">
        <w:rPr>
          <w:rFonts w:ascii="Palatino Linotype" w:hAnsi="Palatino Linotype"/>
          <w:i/>
          <w:lang w:val="es-EC" w:eastAsia="en-US"/>
        </w:rPr>
        <w:t>“Para la transferencia de dominio de bienes inmuebles entre entidades del sector público, siempre y cuando llegaren a un acuerdo sobre aquella, no se requerirá de declaratoria de utilidad pública o interés social ni, en el caso de donación de insinuación judicial. Se la podrá realizar por compraventa, permuta, donación, compensación de cuentas, traslado de partidas presupuestarias o de activos. (…)”;</w:t>
      </w:r>
    </w:p>
    <w:p w:rsidR="00444032" w:rsidRPr="00DF2676" w:rsidRDefault="00444032" w:rsidP="00444032">
      <w:pPr>
        <w:autoSpaceDE w:val="0"/>
        <w:autoSpaceDN w:val="0"/>
        <w:adjustRightInd w:val="0"/>
        <w:ind w:left="709" w:hanging="709"/>
        <w:jc w:val="both"/>
        <w:rPr>
          <w:rFonts w:ascii="Palatino Linotype" w:hAnsi="Palatino Linotype"/>
          <w:i/>
          <w:lang w:val="es-EC" w:eastAsia="en-US"/>
        </w:rPr>
      </w:pPr>
    </w:p>
    <w:p w:rsidR="00444032" w:rsidRPr="00DF2676" w:rsidRDefault="00444032" w:rsidP="00444032">
      <w:pPr>
        <w:autoSpaceDE w:val="0"/>
        <w:autoSpaceDN w:val="0"/>
        <w:adjustRightInd w:val="0"/>
        <w:ind w:left="709" w:hanging="709"/>
        <w:jc w:val="both"/>
        <w:rPr>
          <w:rFonts w:ascii="Palatino Linotype" w:hAnsi="Palatino Linotype"/>
          <w:i/>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ab/>
        <w:t xml:space="preserve">el Código Civil en su artículo 1416 menciona que: </w:t>
      </w:r>
      <w:r w:rsidRPr="00DF2676">
        <w:rPr>
          <w:rFonts w:ascii="Palatino Linotype" w:hAnsi="Palatino Linotype"/>
          <w:i/>
          <w:lang w:val="es-EC" w:eastAsia="en-US"/>
        </w:rPr>
        <w:t>“No valdrá la donación entre vivos de cualquiera especie de bienes raíces, si no es otorgada por escritura pública e inscrita en el correspondiente registro. (…)”</w:t>
      </w:r>
      <w:r w:rsidRPr="00DF2676">
        <w:rPr>
          <w:rFonts w:ascii="Palatino Linotype" w:hAnsi="Palatino Linotype"/>
          <w:lang w:val="es-EC" w:eastAsia="en-US"/>
        </w:rPr>
        <w:t>;</w:t>
      </w:r>
    </w:p>
    <w:p w:rsidR="00FB7425" w:rsidRPr="00DF2676" w:rsidRDefault="00FB7425" w:rsidP="00444032">
      <w:pPr>
        <w:autoSpaceDE w:val="0"/>
        <w:autoSpaceDN w:val="0"/>
        <w:adjustRightInd w:val="0"/>
        <w:jc w:val="both"/>
        <w:rPr>
          <w:rFonts w:ascii="Palatino Linotype" w:hAnsi="Palatino Linotype"/>
          <w:i/>
          <w:lang w:val="es-EC" w:eastAsia="en-US"/>
        </w:rPr>
      </w:pPr>
    </w:p>
    <w:p w:rsidR="00E90956" w:rsidRPr="00DF2676" w:rsidRDefault="00E90956" w:rsidP="002C14AA">
      <w:pPr>
        <w:autoSpaceDE w:val="0"/>
        <w:autoSpaceDN w:val="0"/>
        <w:adjustRightInd w:val="0"/>
        <w:ind w:left="708" w:hanging="708"/>
        <w:jc w:val="both"/>
        <w:rPr>
          <w:rFonts w:ascii="Palatino Linotype" w:eastAsiaTheme="minorHAnsi" w:hAnsi="Palatino Linotype"/>
          <w:lang w:val="es-EC" w:eastAsia="en-US"/>
        </w:rPr>
      </w:pPr>
      <w:r w:rsidRPr="00DF2676">
        <w:rPr>
          <w:rFonts w:ascii="Palatino Linotype" w:hAnsi="Palatino Linotype"/>
          <w:b/>
          <w:lang w:val="es-EC" w:eastAsia="en-US"/>
        </w:rPr>
        <w:t>Que,</w:t>
      </w:r>
      <w:r w:rsidRPr="00DF2676">
        <w:rPr>
          <w:rFonts w:ascii="Palatino Linotype" w:hAnsi="Palatino Linotype"/>
          <w:b/>
          <w:lang w:val="es-EC" w:eastAsia="en-US"/>
        </w:rPr>
        <w:tab/>
      </w:r>
      <w:r w:rsidRPr="00DF2676">
        <w:rPr>
          <w:rFonts w:ascii="Palatino Linotype" w:hAnsi="Palatino Linotype"/>
          <w:lang w:val="es-EC" w:eastAsia="en-US"/>
        </w:rPr>
        <w:t>mediante Oficio Nro. EPMHV-GG-2021-0181-O de 04 de mayo de 2021, la Empresa Pública Metropolitana de Hábitat y Vivienda ("EPMHV") informó que, en el Proyecto Inmobiliario JIPIJAPA-LA Y, que contempla alrededor de 2,000 unidades de viviendas, 800 unidades de oficinas y locales comerciales, así como espacios verdes y plazas públicas, se incluyen los terrenos municipales N</w:t>
      </w:r>
      <w:r w:rsidR="00B57C99">
        <w:rPr>
          <w:rFonts w:ascii="Palatino Linotype" w:hAnsi="Palatino Linotype"/>
          <w:lang w:val="es-EC" w:eastAsia="en-US"/>
        </w:rPr>
        <w:t>r</w:t>
      </w:r>
      <w:r w:rsidRPr="00DF2676">
        <w:rPr>
          <w:rFonts w:ascii="Palatino Linotype" w:hAnsi="Palatino Linotype"/>
          <w:lang w:val="es-EC" w:eastAsia="en-US"/>
        </w:rPr>
        <w:t>o. 3565960, 3624884, 3652013 y 3652150, que conforman la antigua Estación La Y del trolebús. Esto ha llevado a la EPMHV a iniciar gestiones con la Dirección Metropolitana de Gestión de Bienes Inmuebles para transferir la propiedad de estos terrenos a través de la figura de donación, como se solicitó a través de Oficio N</w:t>
      </w:r>
      <w:r w:rsidR="00B57C99">
        <w:rPr>
          <w:rFonts w:ascii="Palatino Linotype" w:hAnsi="Palatino Linotype"/>
          <w:lang w:val="es-EC" w:eastAsia="en-US"/>
        </w:rPr>
        <w:t>r</w:t>
      </w:r>
      <w:r w:rsidRPr="00DF2676">
        <w:rPr>
          <w:rFonts w:ascii="Palatino Linotype" w:hAnsi="Palatino Linotype"/>
          <w:lang w:val="es-EC" w:eastAsia="en-US"/>
        </w:rPr>
        <w:t>o. GADDMQ-DMGBI-2021</w:t>
      </w:r>
      <w:r w:rsidR="00B57C99">
        <w:rPr>
          <w:rFonts w:ascii="Palatino Linotype" w:hAnsi="Palatino Linotype"/>
          <w:lang w:val="es-EC" w:eastAsia="en-US"/>
        </w:rPr>
        <w:t>-1181-O del 28 de abril de 2021;</w:t>
      </w:r>
    </w:p>
    <w:p w:rsidR="00E90956" w:rsidRPr="00DF2676" w:rsidRDefault="00E90956" w:rsidP="002C14AA">
      <w:pPr>
        <w:autoSpaceDE w:val="0"/>
        <w:autoSpaceDN w:val="0"/>
        <w:adjustRightInd w:val="0"/>
        <w:jc w:val="both"/>
        <w:rPr>
          <w:rFonts w:ascii="Palatino Linotype" w:hAnsi="Palatino Linotype"/>
          <w:b/>
          <w:lang w:val="es-EC" w:eastAsia="en-US"/>
        </w:rPr>
      </w:pPr>
    </w:p>
    <w:p w:rsidR="000071CE" w:rsidRPr="00DF2676" w:rsidRDefault="00DA72C0" w:rsidP="00DA72C0">
      <w:pPr>
        <w:autoSpaceDE w:val="0"/>
        <w:autoSpaceDN w:val="0"/>
        <w:adjustRightInd w:val="0"/>
        <w:ind w:left="708" w:hanging="708"/>
        <w:jc w:val="both"/>
        <w:rPr>
          <w:rFonts w:ascii="Palatino Linotype" w:hAnsi="Palatino Linotype"/>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00CA64BA" w:rsidRPr="00DF2676">
        <w:rPr>
          <w:rFonts w:ascii="Palatino Linotype" w:hAnsi="Palatino Linotype"/>
          <w:lang w:val="es-EC" w:eastAsia="en-US"/>
        </w:rPr>
        <w:t>la Administración Zonal Eugenio Espejo, mediante Oficio Nro. GADDMQ AZEE-2022-1914-O de 15 de junio de 2022, emit</w:t>
      </w:r>
      <w:r w:rsidR="00507B97">
        <w:rPr>
          <w:rFonts w:ascii="Palatino Linotype" w:hAnsi="Palatino Linotype"/>
          <w:lang w:val="es-EC" w:eastAsia="en-US"/>
        </w:rPr>
        <w:t>ió</w:t>
      </w:r>
      <w:r w:rsidR="00CA64BA" w:rsidRPr="00DF2676">
        <w:rPr>
          <w:rFonts w:ascii="Palatino Linotype" w:hAnsi="Palatino Linotype"/>
          <w:lang w:val="es-EC" w:eastAsia="en-US"/>
        </w:rPr>
        <w:t xml:space="preserve"> informe favorable para que se continúe con el trámite de transferencia de dominio por donación de los predios 3565960,</w:t>
      </w:r>
      <w:r w:rsidR="00C10CCA" w:rsidRPr="00DF2676">
        <w:rPr>
          <w:rFonts w:ascii="Palatino Linotype" w:hAnsi="Palatino Linotype"/>
          <w:lang w:val="es-EC" w:eastAsia="en-US"/>
        </w:rPr>
        <w:t xml:space="preserve"> </w:t>
      </w:r>
      <w:r w:rsidR="00CA64BA" w:rsidRPr="00DF2676">
        <w:rPr>
          <w:rFonts w:ascii="Palatino Linotype" w:hAnsi="Palatino Linotype"/>
          <w:lang w:val="es-EC" w:eastAsia="en-US"/>
        </w:rPr>
        <w:t>3624884, 3652013 y 3652150 de propiedad municipal, donde funcionaba la estación Trole Bus la “Y”, a favor de la Empresa Pública Metropolitana de Hábitat y Vivienda, para que se implemente el Proyecto Inmobiliari</w:t>
      </w:r>
      <w:r w:rsidR="004D229D">
        <w:rPr>
          <w:rFonts w:ascii="Palatino Linotype" w:hAnsi="Palatino Linotype"/>
          <w:lang w:val="es-EC" w:eastAsia="en-US"/>
        </w:rPr>
        <w:t>o-Jipijapa-La Y;</w:t>
      </w:r>
      <w:r w:rsidR="00CA64BA" w:rsidRPr="00DF2676">
        <w:rPr>
          <w:rFonts w:ascii="Palatino Linotype" w:hAnsi="Palatino Linotype"/>
          <w:lang w:val="es-EC" w:eastAsia="en-US"/>
        </w:rPr>
        <w:t xml:space="preserve"> </w:t>
      </w:r>
    </w:p>
    <w:p w:rsidR="004B502A" w:rsidRPr="00DF2676" w:rsidRDefault="004B502A" w:rsidP="00DA72C0">
      <w:pPr>
        <w:autoSpaceDE w:val="0"/>
        <w:autoSpaceDN w:val="0"/>
        <w:adjustRightInd w:val="0"/>
        <w:ind w:left="708" w:hanging="708"/>
        <w:jc w:val="both"/>
        <w:rPr>
          <w:rFonts w:ascii="Palatino Linotype" w:hAnsi="Palatino Linotype"/>
          <w:lang w:val="es-EC" w:eastAsia="en-US"/>
        </w:rPr>
      </w:pPr>
    </w:p>
    <w:p w:rsidR="004B502A" w:rsidRPr="00DF2676" w:rsidRDefault="004B502A" w:rsidP="008D0912">
      <w:pPr>
        <w:autoSpaceDE w:val="0"/>
        <w:autoSpaceDN w:val="0"/>
        <w:adjustRightInd w:val="0"/>
        <w:ind w:left="708"/>
        <w:jc w:val="both"/>
        <w:rPr>
          <w:rFonts w:ascii="Palatino Linotype" w:eastAsiaTheme="minorHAnsi" w:hAnsi="Palatino Linotype"/>
          <w:lang w:val="es-EC" w:eastAsia="en-US"/>
        </w:rPr>
      </w:pPr>
    </w:p>
    <w:p w:rsidR="004B502A" w:rsidRPr="00DF2676" w:rsidRDefault="004B502A" w:rsidP="008D0912">
      <w:pPr>
        <w:autoSpaceDE w:val="0"/>
        <w:autoSpaceDN w:val="0"/>
        <w:adjustRightInd w:val="0"/>
        <w:jc w:val="both"/>
        <w:rPr>
          <w:rFonts w:ascii="Palatino Linotype" w:hAnsi="Palatino Linotype"/>
          <w:b/>
          <w:lang w:val="es-EC" w:eastAsia="en-US"/>
        </w:rPr>
      </w:pPr>
    </w:p>
    <w:p w:rsidR="000071CE" w:rsidRPr="00DF2676" w:rsidRDefault="000071CE" w:rsidP="008D0912">
      <w:pPr>
        <w:autoSpaceDE w:val="0"/>
        <w:autoSpaceDN w:val="0"/>
        <w:adjustRightInd w:val="0"/>
        <w:ind w:left="708" w:hanging="708"/>
        <w:jc w:val="both"/>
        <w:rPr>
          <w:rFonts w:ascii="Palatino Linotype" w:hAnsi="Palatino Linotype"/>
          <w:lang w:val="es-EC" w:eastAsia="en-US"/>
        </w:rPr>
      </w:pPr>
      <w:r w:rsidRPr="00DF2676">
        <w:rPr>
          <w:rFonts w:ascii="Palatino Linotype" w:hAnsi="Palatino Linotype"/>
          <w:b/>
          <w:lang w:val="es-EC" w:eastAsia="en-US"/>
        </w:rPr>
        <w:t>Que</w:t>
      </w:r>
      <w:r w:rsidR="0056220B" w:rsidRPr="00DF2676">
        <w:rPr>
          <w:rFonts w:ascii="Palatino Linotype" w:hAnsi="Palatino Linotype"/>
          <w:lang w:val="es-EC" w:eastAsia="en-US"/>
        </w:rPr>
        <w:t>,</w:t>
      </w:r>
      <w:r w:rsidR="0056220B" w:rsidRPr="00DF2676">
        <w:rPr>
          <w:rFonts w:ascii="Palatino Linotype" w:hAnsi="Palatino Linotype"/>
          <w:lang w:val="es-EC" w:eastAsia="en-US"/>
        </w:rPr>
        <w:tab/>
      </w:r>
      <w:r w:rsidR="00DA72C0" w:rsidRPr="00DF2676">
        <w:rPr>
          <w:rFonts w:ascii="Palatino Linotype" w:hAnsi="Palatino Linotype"/>
        </w:rPr>
        <w:t xml:space="preserve">el Econ. Pedro Fernando Núñez Gómez, Director Metropolitano Financiero, </w:t>
      </w:r>
      <w:r w:rsidR="00DA72C0" w:rsidRPr="00507B97">
        <w:rPr>
          <w:rFonts w:ascii="Palatino Linotype" w:hAnsi="Palatino Linotype"/>
        </w:rPr>
        <w:t>emit</w:t>
      </w:r>
      <w:r w:rsidR="00507B97" w:rsidRPr="00507B97">
        <w:rPr>
          <w:rFonts w:ascii="Palatino Linotype" w:hAnsi="Palatino Linotype"/>
        </w:rPr>
        <w:t>ió criterio favorable</w:t>
      </w:r>
      <w:r w:rsidR="00DA72C0" w:rsidRPr="00507B97">
        <w:rPr>
          <w:rFonts w:ascii="Palatino Linotype" w:hAnsi="Palatino Linotype"/>
        </w:rPr>
        <w:t xml:space="preserve"> para continuar con el trámite administrativo de la posible donación de los predios N</w:t>
      </w:r>
      <w:r w:rsidR="00B57C99">
        <w:rPr>
          <w:rFonts w:ascii="Palatino Linotype" w:hAnsi="Palatino Linotype"/>
        </w:rPr>
        <w:t>r</w:t>
      </w:r>
      <w:r w:rsidR="00DA72C0" w:rsidRPr="00507B97">
        <w:rPr>
          <w:rFonts w:ascii="Palatino Linotype" w:hAnsi="Palatino Linotype"/>
        </w:rPr>
        <w:t>o. 3565960, 3624884, 3652013 y 3652150 a favor de la Empresa Pública Metropolitana de Hábitat y Vivienda</w:t>
      </w:r>
      <w:r w:rsidRPr="00DF2676">
        <w:rPr>
          <w:rFonts w:ascii="Palatino Linotype" w:hAnsi="Palatino Linotype"/>
          <w:lang w:val="es-EC" w:eastAsia="en-US"/>
        </w:rPr>
        <w:t>;</w:t>
      </w:r>
    </w:p>
    <w:p w:rsidR="000071CE" w:rsidRPr="00DF2676" w:rsidRDefault="000071CE" w:rsidP="000071CE">
      <w:pPr>
        <w:autoSpaceDE w:val="0"/>
        <w:autoSpaceDN w:val="0"/>
        <w:adjustRightInd w:val="0"/>
        <w:ind w:left="709" w:hanging="709"/>
        <w:jc w:val="both"/>
        <w:rPr>
          <w:rFonts w:ascii="Palatino Linotype" w:hAnsi="Palatino Linotype"/>
          <w:lang w:val="es-EC" w:eastAsia="en-US"/>
        </w:rPr>
      </w:pPr>
    </w:p>
    <w:p w:rsidR="008D0912" w:rsidRPr="00DF2676" w:rsidRDefault="000071CE" w:rsidP="000071CE">
      <w:pPr>
        <w:autoSpaceDE w:val="0"/>
        <w:autoSpaceDN w:val="0"/>
        <w:adjustRightInd w:val="0"/>
        <w:ind w:left="709" w:hanging="709"/>
        <w:jc w:val="both"/>
        <w:rPr>
          <w:rFonts w:ascii="Palatino Linotype" w:hAnsi="Palatino Linotype"/>
          <w:i/>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00DA72C0" w:rsidRPr="00DF2676">
        <w:rPr>
          <w:rFonts w:ascii="Palatino Linotype" w:hAnsi="Palatino Linotype"/>
        </w:rPr>
        <w:t>con Oficio Nro. STHV-2022-1201-O de 09 de agosto de 2022, el Arq. Mauricio Ernesto Marín Echeverría, Secretario de Territorio, Hábitat y Vivienda, inform</w:t>
      </w:r>
      <w:r w:rsidR="00507B97">
        <w:rPr>
          <w:rFonts w:ascii="Palatino Linotype" w:hAnsi="Palatino Linotype"/>
        </w:rPr>
        <w:t xml:space="preserve">ó que </w:t>
      </w:r>
      <w:r w:rsidR="00DA72C0" w:rsidRPr="00DF2676">
        <w:rPr>
          <w:rFonts w:ascii="Palatino Linotype" w:hAnsi="Palatino Linotype"/>
        </w:rPr>
        <w:t xml:space="preserve">el Proyecto Inmobiliario-Jipijapa-La Y, a desarrollarse en los predios </w:t>
      </w:r>
      <w:proofErr w:type="spellStart"/>
      <w:r w:rsidR="00DA72C0" w:rsidRPr="00DF2676">
        <w:rPr>
          <w:rFonts w:ascii="Palatino Linotype" w:hAnsi="Palatino Linotype"/>
        </w:rPr>
        <w:t>N</w:t>
      </w:r>
      <w:r w:rsidR="00B57C99">
        <w:rPr>
          <w:rFonts w:ascii="Palatino Linotype" w:hAnsi="Palatino Linotype"/>
        </w:rPr>
        <w:t>r</w:t>
      </w:r>
      <w:r w:rsidR="00DA72C0" w:rsidRPr="00DF2676">
        <w:rPr>
          <w:rFonts w:ascii="Palatino Linotype" w:hAnsi="Palatino Linotype"/>
        </w:rPr>
        <w:t>os</w:t>
      </w:r>
      <w:proofErr w:type="spellEnd"/>
      <w:r w:rsidR="00DA72C0" w:rsidRPr="00DF2676">
        <w:rPr>
          <w:rFonts w:ascii="Palatino Linotype" w:hAnsi="Palatino Linotype"/>
        </w:rPr>
        <w:t>. 3565960, 3624884, 3652013 y 3652150 de propiedad municipal, no se opone a la planifica</w:t>
      </w:r>
      <w:r w:rsidR="008D0912" w:rsidRPr="00DF2676">
        <w:rPr>
          <w:rFonts w:ascii="Palatino Linotype" w:hAnsi="Palatino Linotype"/>
        </w:rPr>
        <w:t>ción y ordenamiento territorial</w:t>
      </w:r>
      <w:r w:rsidRPr="00DF2676">
        <w:rPr>
          <w:rFonts w:ascii="Palatino Linotype" w:hAnsi="Palatino Linotype"/>
          <w:i/>
        </w:rPr>
        <w:t>;</w:t>
      </w:r>
    </w:p>
    <w:p w:rsidR="008D0912" w:rsidRPr="00DF2676" w:rsidRDefault="008D0912" w:rsidP="000071CE">
      <w:pPr>
        <w:autoSpaceDE w:val="0"/>
        <w:autoSpaceDN w:val="0"/>
        <w:adjustRightInd w:val="0"/>
        <w:ind w:left="709" w:hanging="709"/>
        <w:jc w:val="both"/>
        <w:rPr>
          <w:rFonts w:ascii="Palatino Linotype" w:hAnsi="Palatino Linotype"/>
        </w:rPr>
      </w:pPr>
    </w:p>
    <w:p w:rsidR="008D0912" w:rsidRPr="00DF2676" w:rsidRDefault="008D0912" w:rsidP="008D0912">
      <w:pPr>
        <w:autoSpaceDE w:val="0"/>
        <w:autoSpaceDN w:val="0"/>
        <w:adjustRightInd w:val="0"/>
        <w:ind w:left="708" w:hanging="708"/>
        <w:jc w:val="both"/>
        <w:rPr>
          <w:rFonts w:ascii="Palatino Linotype" w:eastAsiaTheme="minorHAnsi" w:hAnsi="Palatino Linotype"/>
          <w:lang w:val="es-EC" w:eastAsia="en-US"/>
        </w:rPr>
      </w:pPr>
      <w:r w:rsidRPr="00DF2676">
        <w:rPr>
          <w:rFonts w:ascii="Palatino Linotype" w:eastAsiaTheme="minorHAnsi" w:hAnsi="Palatino Linotype"/>
          <w:b/>
          <w:lang w:val="es-EC" w:eastAsia="en-US"/>
        </w:rPr>
        <w:t>Que,</w:t>
      </w:r>
      <w:r w:rsidRPr="00DF2676">
        <w:rPr>
          <w:rFonts w:ascii="Palatino Linotype" w:eastAsiaTheme="minorHAnsi" w:hAnsi="Palatino Linotype"/>
          <w:lang w:val="es-EC" w:eastAsia="en-US"/>
        </w:rPr>
        <w:tab/>
      </w:r>
      <w:r w:rsidR="00507B97">
        <w:rPr>
          <w:rFonts w:ascii="Palatino Linotype" w:eastAsiaTheme="minorHAnsi" w:hAnsi="Palatino Linotype"/>
          <w:lang w:val="es-EC" w:eastAsia="en-US"/>
        </w:rPr>
        <w:t>c</w:t>
      </w:r>
      <w:r w:rsidRPr="00DF2676">
        <w:rPr>
          <w:rFonts w:ascii="Palatino Linotype" w:eastAsiaTheme="minorHAnsi" w:hAnsi="Palatino Linotype"/>
          <w:lang w:val="es-EC" w:eastAsia="en-US"/>
        </w:rPr>
        <w:t xml:space="preserve">on Oficio Nro. GADDMQ-AZEE-2022-3713-O de 10 de noviembre de 2022, la Administración Zonal Eugenio Espejo, remitió </w:t>
      </w:r>
      <w:r w:rsidR="00507B97">
        <w:rPr>
          <w:rFonts w:ascii="Palatino Linotype" w:eastAsiaTheme="minorHAnsi" w:hAnsi="Palatino Linotype"/>
          <w:lang w:val="es-EC" w:eastAsia="en-US"/>
        </w:rPr>
        <w:t>los informes ambiental y social;</w:t>
      </w:r>
    </w:p>
    <w:p w:rsidR="008D0912" w:rsidRPr="00DF2676" w:rsidRDefault="008D0912" w:rsidP="008D0912">
      <w:pPr>
        <w:autoSpaceDE w:val="0"/>
        <w:autoSpaceDN w:val="0"/>
        <w:adjustRightInd w:val="0"/>
        <w:ind w:left="708" w:hanging="708"/>
        <w:jc w:val="both"/>
        <w:rPr>
          <w:rFonts w:ascii="Palatino Linotype" w:eastAsiaTheme="minorHAnsi" w:hAnsi="Palatino Linotype"/>
          <w:lang w:val="es-EC" w:eastAsia="en-US"/>
        </w:rPr>
      </w:pPr>
    </w:p>
    <w:p w:rsidR="008D0912" w:rsidRPr="00DF2676" w:rsidRDefault="008D0912" w:rsidP="008D0912">
      <w:pPr>
        <w:autoSpaceDE w:val="0"/>
        <w:autoSpaceDN w:val="0"/>
        <w:adjustRightInd w:val="0"/>
        <w:ind w:left="708" w:hanging="708"/>
        <w:jc w:val="both"/>
        <w:rPr>
          <w:rFonts w:ascii="Palatino Linotype" w:hAnsi="Palatino Linotype"/>
          <w:b/>
          <w:lang w:val="es-EC" w:eastAsia="en-US"/>
        </w:rPr>
      </w:pPr>
      <w:r w:rsidRPr="00DF2676">
        <w:rPr>
          <w:rFonts w:ascii="Palatino Linotype" w:eastAsiaTheme="minorHAnsi" w:hAnsi="Palatino Linotype"/>
          <w:b/>
          <w:lang w:val="es-EC" w:eastAsia="en-US"/>
        </w:rPr>
        <w:t>Que,</w:t>
      </w:r>
      <w:r w:rsidRPr="00DF2676">
        <w:rPr>
          <w:rFonts w:ascii="Palatino Linotype" w:eastAsiaTheme="minorHAnsi" w:hAnsi="Palatino Linotype"/>
          <w:lang w:val="es-EC" w:eastAsia="en-US"/>
        </w:rPr>
        <w:tab/>
        <w:t xml:space="preserve">con Oficio </w:t>
      </w:r>
      <w:r w:rsidRPr="00DF2676">
        <w:rPr>
          <w:rFonts w:ascii="Palatino Linotype" w:eastAsiaTheme="minorHAnsi" w:hAnsi="Palatino Linotype"/>
          <w:bCs/>
          <w:lang w:val="es-EC" w:eastAsia="en-US"/>
        </w:rPr>
        <w:t>Nro. GADDMQ-AZEE-2022-4006-O de 25 de noviembre de 2022</w:t>
      </w:r>
      <w:r w:rsidRPr="00DF2676">
        <w:rPr>
          <w:rFonts w:ascii="Palatino Linotype" w:eastAsiaTheme="minorHAnsi" w:hAnsi="Palatino Linotype"/>
          <w:b/>
          <w:bCs/>
          <w:lang w:val="es-EC" w:eastAsia="en-US"/>
        </w:rPr>
        <w:t>,</w:t>
      </w:r>
      <w:r w:rsidRPr="00DF2676">
        <w:rPr>
          <w:rFonts w:ascii="Palatino Linotype" w:eastAsiaTheme="minorHAnsi" w:hAnsi="Palatino Linotype"/>
          <w:lang w:val="es-EC" w:eastAsia="en-US"/>
        </w:rPr>
        <w:t xml:space="preserve"> la Administración Zonal Eugenio </w:t>
      </w:r>
      <w:r w:rsidR="00507B97">
        <w:rPr>
          <w:rFonts w:ascii="Palatino Linotype" w:eastAsiaTheme="minorHAnsi" w:hAnsi="Palatino Linotype"/>
          <w:lang w:val="es-EC" w:eastAsia="en-US"/>
        </w:rPr>
        <w:t xml:space="preserve">Espejo </w:t>
      </w:r>
      <w:r w:rsidRPr="00DF2676">
        <w:rPr>
          <w:rFonts w:ascii="Palatino Linotype" w:eastAsiaTheme="minorHAnsi" w:hAnsi="Palatino Linotype"/>
          <w:lang w:val="es-EC" w:eastAsia="en-US"/>
        </w:rPr>
        <w:t>remit</w:t>
      </w:r>
      <w:r w:rsidR="00507B97">
        <w:rPr>
          <w:rFonts w:ascii="Palatino Linotype" w:eastAsiaTheme="minorHAnsi" w:hAnsi="Palatino Linotype"/>
          <w:lang w:val="es-EC" w:eastAsia="en-US"/>
        </w:rPr>
        <w:t>ió</w:t>
      </w:r>
      <w:r w:rsidRPr="00DF2676">
        <w:rPr>
          <w:rFonts w:ascii="Palatino Linotype" w:eastAsiaTheme="minorHAnsi" w:hAnsi="Palatino Linotype"/>
          <w:lang w:val="es-EC" w:eastAsia="en-US"/>
        </w:rPr>
        <w:t xml:space="preserve"> el </w:t>
      </w:r>
      <w:r w:rsidR="00507B97" w:rsidRPr="00DF2676">
        <w:rPr>
          <w:rFonts w:ascii="Palatino Linotype" w:eastAsiaTheme="minorHAnsi" w:hAnsi="Palatino Linotype"/>
          <w:lang w:val="es-EC" w:eastAsia="en-US"/>
        </w:rPr>
        <w:t xml:space="preserve">informe social </w:t>
      </w:r>
      <w:r w:rsidRPr="00DF2676">
        <w:rPr>
          <w:rFonts w:ascii="Palatino Linotype" w:eastAsiaTheme="minorHAnsi" w:hAnsi="Palatino Linotype"/>
          <w:lang w:val="es-EC" w:eastAsia="en-US"/>
        </w:rPr>
        <w:t>actualizado Nro.</w:t>
      </w:r>
      <w:r w:rsidRPr="00DF2676">
        <w:rPr>
          <w:rFonts w:ascii="Palatino Linotype" w:eastAsiaTheme="minorHAnsi" w:hAnsi="Palatino Linotype"/>
          <w:b/>
          <w:bCs/>
          <w:lang w:val="es-EC" w:eastAsia="en-US"/>
        </w:rPr>
        <w:t xml:space="preserve"> </w:t>
      </w:r>
      <w:r w:rsidR="00507B97">
        <w:rPr>
          <w:rFonts w:ascii="Palatino Linotype" w:eastAsiaTheme="minorHAnsi" w:hAnsi="Palatino Linotype"/>
          <w:lang w:val="es-EC" w:eastAsia="en-US"/>
        </w:rPr>
        <w:t>AZEE-DGPD-UPC-020-2022 de 18 de noviembre de 2022;</w:t>
      </w:r>
    </w:p>
    <w:p w:rsidR="002C14AA" w:rsidRPr="00DF2676" w:rsidRDefault="002C14AA" w:rsidP="008D0912">
      <w:pPr>
        <w:autoSpaceDE w:val="0"/>
        <w:autoSpaceDN w:val="0"/>
        <w:adjustRightInd w:val="0"/>
        <w:jc w:val="both"/>
        <w:rPr>
          <w:rFonts w:ascii="Palatino Linotype" w:hAnsi="Palatino Linotype"/>
        </w:rPr>
      </w:pPr>
    </w:p>
    <w:p w:rsidR="002C14AA" w:rsidRPr="00DF2676" w:rsidRDefault="002C14AA" w:rsidP="002C14AA">
      <w:pPr>
        <w:autoSpaceDE w:val="0"/>
        <w:autoSpaceDN w:val="0"/>
        <w:adjustRightInd w:val="0"/>
        <w:ind w:left="709" w:hanging="709"/>
        <w:jc w:val="both"/>
        <w:rPr>
          <w:rFonts w:ascii="Palatino Linotype" w:hAnsi="Palatino Linotype"/>
        </w:rPr>
      </w:pPr>
      <w:r w:rsidRPr="00DF2676">
        <w:rPr>
          <w:rFonts w:ascii="Palatino Linotype" w:hAnsi="Palatino Linotype"/>
          <w:b/>
          <w:lang w:val="es-EC" w:eastAsia="en-US"/>
        </w:rPr>
        <w:t xml:space="preserve">Que, </w:t>
      </w:r>
      <w:r w:rsidRPr="00DF2676">
        <w:rPr>
          <w:rFonts w:ascii="Palatino Linotype" w:hAnsi="Palatino Linotype"/>
          <w:b/>
          <w:lang w:val="es-EC" w:eastAsia="en-US"/>
        </w:rPr>
        <w:tab/>
      </w:r>
      <w:r w:rsidRPr="00DF2676">
        <w:rPr>
          <w:rFonts w:ascii="Palatino Linotype" w:hAnsi="Palatino Linotype"/>
        </w:rPr>
        <w:t xml:space="preserve">de los certificados del Registro de la Propiedad del Distrito Metropolitano de Quito, adjuntos al Oficio Nro. GADDMQ-RPDMQ-DC-2023-0039-OF de 03 de enero de 2023, se desprende que el Municipio del Distrito Metropolitano de Quito es propietario de los predios </w:t>
      </w:r>
      <w:r w:rsidR="004D229D" w:rsidRPr="00DF2676">
        <w:rPr>
          <w:rFonts w:ascii="Palatino Linotype" w:hAnsi="Palatino Linotype"/>
        </w:rPr>
        <w:t>N</w:t>
      </w:r>
      <w:r w:rsidR="004D229D">
        <w:rPr>
          <w:rFonts w:ascii="Palatino Linotype" w:hAnsi="Palatino Linotype"/>
        </w:rPr>
        <w:t>ro.</w:t>
      </w:r>
      <w:r w:rsidR="00507B97">
        <w:rPr>
          <w:rFonts w:ascii="Palatino Linotype" w:hAnsi="Palatino Linotype"/>
        </w:rPr>
        <w:t>:</w:t>
      </w:r>
      <w:r w:rsidRPr="00DF2676">
        <w:rPr>
          <w:rFonts w:ascii="Palatino Linotype" w:hAnsi="Palatino Linotype"/>
        </w:rPr>
        <w:t xml:space="preserve"> 3565960, 3624884, 3652013, </w:t>
      </w:r>
      <w:r w:rsidR="00507B97">
        <w:rPr>
          <w:rFonts w:ascii="Palatino Linotype" w:hAnsi="Palatino Linotype"/>
        </w:rPr>
        <w:t>3652150;</w:t>
      </w:r>
    </w:p>
    <w:p w:rsidR="000071CE" w:rsidRPr="00DF2676" w:rsidRDefault="000071CE" w:rsidP="002C14AA">
      <w:pPr>
        <w:autoSpaceDE w:val="0"/>
        <w:autoSpaceDN w:val="0"/>
        <w:adjustRightInd w:val="0"/>
        <w:jc w:val="both"/>
        <w:rPr>
          <w:rFonts w:ascii="Palatino Linotype" w:hAnsi="Palatino Linotype"/>
        </w:rPr>
      </w:pPr>
    </w:p>
    <w:p w:rsidR="000071CE" w:rsidRPr="00DF2676" w:rsidRDefault="000071CE" w:rsidP="00B669D0">
      <w:pPr>
        <w:autoSpaceDE w:val="0"/>
        <w:autoSpaceDN w:val="0"/>
        <w:adjustRightInd w:val="0"/>
        <w:ind w:left="709" w:hanging="709"/>
        <w:jc w:val="both"/>
        <w:rPr>
          <w:rFonts w:ascii="Palatino Linotype" w:hAnsi="Palatino Linotype"/>
          <w:i/>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 xml:space="preserve"> </w:t>
      </w:r>
      <w:r w:rsidRPr="00DF2676">
        <w:rPr>
          <w:rFonts w:ascii="Palatino Linotype" w:hAnsi="Palatino Linotype"/>
          <w:lang w:val="es-EC" w:eastAsia="en-US"/>
        </w:rPr>
        <w:tab/>
      </w:r>
      <w:r w:rsidR="001D624B" w:rsidRPr="00DF2676">
        <w:rPr>
          <w:rFonts w:ascii="Palatino Linotype" w:hAnsi="Palatino Linotype"/>
          <w:lang w:val="es-EC" w:eastAsia="en-US"/>
        </w:rPr>
        <w:t xml:space="preserve">con </w:t>
      </w:r>
      <w:r w:rsidR="00DA72C0" w:rsidRPr="00DF2676">
        <w:rPr>
          <w:rFonts w:ascii="Palatino Linotype" w:hAnsi="Palatino Linotype"/>
        </w:rPr>
        <w:t xml:space="preserve">Oficio Nro. GADDMQ-DMGBI-2023-3896-O de 19 de septiembre de 2023, el Ing. Carlos Yépez, Director Metropolitano de Gestión de Bienes Inmuebles, </w:t>
      </w:r>
      <w:r w:rsidR="00DA72C0" w:rsidRPr="00507B97">
        <w:rPr>
          <w:rFonts w:ascii="Palatino Linotype" w:hAnsi="Palatino Linotype"/>
        </w:rPr>
        <w:t>emit</w:t>
      </w:r>
      <w:r w:rsidR="00507B97" w:rsidRPr="00507B97">
        <w:rPr>
          <w:rFonts w:ascii="Palatino Linotype" w:hAnsi="Palatino Linotype"/>
        </w:rPr>
        <w:t>ió</w:t>
      </w:r>
      <w:r w:rsidR="00DA72C0" w:rsidRPr="00507B97">
        <w:rPr>
          <w:rFonts w:ascii="Palatino Linotype" w:hAnsi="Palatino Linotype"/>
        </w:rPr>
        <w:t xml:space="preserve"> criterio favorable para la transferencia de dominio mediante donación de los predios N</w:t>
      </w:r>
      <w:r w:rsidR="00507B97">
        <w:rPr>
          <w:rFonts w:ascii="Palatino Linotype" w:hAnsi="Palatino Linotype"/>
        </w:rPr>
        <w:t xml:space="preserve">ro. </w:t>
      </w:r>
      <w:r w:rsidR="00DA72C0" w:rsidRPr="00507B97">
        <w:rPr>
          <w:rFonts w:ascii="Palatino Linotype" w:hAnsi="Palatino Linotype"/>
        </w:rPr>
        <w:t xml:space="preserve">3565960, 3624884, 3652013 y 3652150 a favor de la </w:t>
      </w:r>
      <w:r w:rsidR="00507B97" w:rsidRPr="00507B97">
        <w:rPr>
          <w:rFonts w:ascii="Palatino Linotype" w:hAnsi="Palatino Linotype"/>
        </w:rPr>
        <w:t>Empresa Pública Metropolitana de Hábitat y Vivienda</w:t>
      </w:r>
      <w:r w:rsidR="00DA72C0" w:rsidRPr="00507B97">
        <w:rPr>
          <w:rFonts w:ascii="Palatino Linotype" w:hAnsi="Palatino Linotype"/>
        </w:rPr>
        <w:t>, que tiene como objeto la construcción del Proyecto Inmobiliario JIPIJAPA-LA Y</w:t>
      </w:r>
      <w:r w:rsidR="00B669D0" w:rsidRPr="00DF2676">
        <w:rPr>
          <w:rFonts w:ascii="Palatino Linotype" w:hAnsi="Palatino Linotype"/>
          <w:i/>
          <w:lang w:val="es-EC" w:eastAsia="en-US"/>
        </w:rPr>
        <w:t>;</w:t>
      </w:r>
    </w:p>
    <w:p w:rsidR="002C14AA" w:rsidRPr="00DF2676" w:rsidRDefault="002C14AA" w:rsidP="002C14AA">
      <w:pPr>
        <w:autoSpaceDE w:val="0"/>
        <w:autoSpaceDN w:val="0"/>
        <w:adjustRightInd w:val="0"/>
        <w:jc w:val="both"/>
        <w:rPr>
          <w:rFonts w:ascii="Palatino Linotype" w:hAnsi="Palatino Linotype"/>
          <w:b/>
          <w:lang w:val="es-EC" w:eastAsia="en-US"/>
        </w:rPr>
      </w:pPr>
    </w:p>
    <w:p w:rsidR="002C14AA" w:rsidRPr="00DF2676" w:rsidRDefault="002C14AA" w:rsidP="002C14AA">
      <w:pPr>
        <w:autoSpaceDE w:val="0"/>
        <w:autoSpaceDN w:val="0"/>
        <w:adjustRightInd w:val="0"/>
        <w:ind w:left="708" w:hanging="708"/>
        <w:jc w:val="both"/>
        <w:rPr>
          <w:rFonts w:ascii="Palatino Linotype" w:hAnsi="Palatino Linotype"/>
          <w:lang w:val="es-EC" w:eastAsia="en-US"/>
        </w:rPr>
      </w:pPr>
      <w:r w:rsidRPr="00DF2676">
        <w:rPr>
          <w:rFonts w:ascii="Palatino Linotype" w:hAnsi="Palatino Linotype"/>
          <w:b/>
          <w:lang w:val="es-EC" w:eastAsia="en-US"/>
        </w:rPr>
        <w:t>Que</w:t>
      </w:r>
      <w:r w:rsidRPr="00DF2676">
        <w:rPr>
          <w:rFonts w:ascii="Palatino Linotype" w:hAnsi="Palatino Linotype"/>
          <w:lang w:val="es-EC" w:eastAsia="en-US"/>
        </w:rPr>
        <w:t>,</w:t>
      </w:r>
      <w:r w:rsidRPr="00DF2676">
        <w:rPr>
          <w:rFonts w:ascii="Palatino Linotype" w:hAnsi="Palatino Linotype"/>
          <w:lang w:val="es-EC" w:eastAsia="en-US"/>
        </w:rPr>
        <w:tab/>
        <w:t>de acuerdo con la ficha técnica Nro. STHV-DMC-UCE-2023-2136 de 16 de octubre de 2023, el predio N</w:t>
      </w:r>
      <w:r w:rsidR="00B57C99">
        <w:rPr>
          <w:rFonts w:ascii="Palatino Linotype" w:hAnsi="Palatino Linotype"/>
          <w:lang w:val="es-EC" w:eastAsia="en-US"/>
        </w:rPr>
        <w:t>r</w:t>
      </w:r>
      <w:r w:rsidRPr="00DF2676">
        <w:rPr>
          <w:rFonts w:ascii="Palatino Linotype" w:hAnsi="Palatino Linotype"/>
          <w:lang w:val="es-EC" w:eastAsia="en-US"/>
        </w:rPr>
        <w:t xml:space="preserve">o. 3565960 fue adquirido mediante escritura de permuta, otorgado por el Instituto Nacional Autónomo de </w:t>
      </w:r>
      <w:r w:rsidRPr="00DF2676">
        <w:rPr>
          <w:rFonts w:ascii="Palatino Linotype" w:hAnsi="Palatino Linotype"/>
          <w:lang w:val="es-EC" w:eastAsia="en-US"/>
        </w:rPr>
        <w:lastRenderedPageBreak/>
        <w:t xml:space="preserve">Investigaciones Agropecuarias INIAP a favor del Municipio del Distrito Metropolitano de Quito, celebrada en la Notaría Decimo Segunda del Cantón Quito, ante el Dr. Jaime Patricio </w:t>
      </w:r>
      <w:proofErr w:type="spellStart"/>
      <w:r w:rsidRPr="00DF2676">
        <w:rPr>
          <w:rFonts w:ascii="Palatino Linotype" w:hAnsi="Palatino Linotype"/>
          <w:lang w:val="es-EC" w:eastAsia="en-US"/>
        </w:rPr>
        <w:t>Nolivos</w:t>
      </w:r>
      <w:proofErr w:type="spellEnd"/>
      <w:r w:rsidRPr="00DF2676">
        <w:rPr>
          <w:rFonts w:ascii="Palatino Linotype" w:hAnsi="Palatino Linotype"/>
          <w:lang w:val="es-EC" w:eastAsia="en-US"/>
        </w:rPr>
        <w:t xml:space="preserve"> el 4 de abril de 1994 e inscrita en el Registro de la Propiedad el 30 de mayo de 1994. El predio N</w:t>
      </w:r>
      <w:r w:rsidR="00B57C99">
        <w:rPr>
          <w:rFonts w:ascii="Palatino Linotype" w:hAnsi="Palatino Linotype"/>
          <w:lang w:val="es-EC" w:eastAsia="en-US"/>
        </w:rPr>
        <w:t>r</w:t>
      </w:r>
      <w:r w:rsidRPr="00DF2676">
        <w:rPr>
          <w:rFonts w:ascii="Palatino Linotype" w:hAnsi="Palatino Linotype"/>
          <w:lang w:val="es-EC" w:eastAsia="en-US"/>
        </w:rPr>
        <w:t>o. 3565960 es considerado en el Registro Contable-Categoría 22000</w:t>
      </w:r>
      <w:r w:rsidR="00B57C99">
        <w:rPr>
          <w:rFonts w:ascii="Palatino Linotype" w:hAnsi="Palatino Linotype"/>
          <w:lang w:val="es-EC" w:eastAsia="en-US"/>
        </w:rPr>
        <w:t>, como: BIEN DE DOMINIO PRIVADO;</w:t>
      </w:r>
    </w:p>
    <w:p w:rsidR="002C14AA" w:rsidRPr="00DF2676" w:rsidRDefault="002C14AA" w:rsidP="002C14AA">
      <w:pPr>
        <w:autoSpaceDE w:val="0"/>
        <w:autoSpaceDN w:val="0"/>
        <w:adjustRightInd w:val="0"/>
        <w:ind w:left="708" w:hanging="708"/>
        <w:jc w:val="both"/>
        <w:rPr>
          <w:rFonts w:ascii="Palatino Linotype" w:hAnsi="Palatino Linotype"/>
          <w:highlight w:val="yellow"/>
          <w:lang w:val="es-EC" w:eastAsia="en-US"/>
        </w:rPr>
      </w:pPr>
    </w:p>
    <w:p w:rsidR="002C14AA" w:rsidRPr="00DF2676" w:rsidRDefault="002C14AA" w:rsidP="002C14AA">
      <w:pPr>
        <w:autoSpaceDE w:val="0"/>
        <w:autoSpaceDN w:val="0"/>
        <w:adjustRightInd w:val="0"/>
        <w:ind w:left="708" w:hanging="708"/>
        <w:jc w:val="both"/>
        <w:rPr>
          <w:rFonts w:ascii="Palatino Linotype" w:hAnsi="Palatino Linotype"/>
          <w:lang w:val="es-EC" w:eastAsia="en-US"/>
        </w:rPr>
      </w:pPr>
      <w:r w:rsidRPr="00DF2676">
        <w:rPr>
          <w:rFonts w:ascii="Palatino Linotype" w:hAnsi="Palatino Linotype"/>
          <w:b/>
          <w:lang w:val="es-EC" w:eastAsia="en-US"/>
        </w:rPr>
        <w:t xml:space="preserve">Que, </w:t>
      </w:r>
      <w:r w:rsidRPr="00DF2676">
        <w:rPr>
          <w:rFonts w:ascii="Palatino Linotype" w:hAnsi="Palatino Linotype"/>
          <w:b/>
          <w:lang w:val="es-EC" w:eastAsia="en-US"/>
        </w:rPr>
        <w:tab/>
      </w:r>
      <w:r w:rsidRPr="00DF2676">
        <w:rPr>
          <w:rFonts w:ascii="Palatino Linotype" w:hAnsi="Palatino Linotype"/>
          <w:lang w:val="es-EC" w:eastAsia="en-US"/>
        </w:rPr>
        <w:t>según la ficha técnica Nro. STHV-DMC-UCE-2023-2137 de 16 de octubre de 2023, el predio N</w:t>
      </w:r>
      <w:r w:rsidR="00B57C99">
        <w:rPr>
          <w:rFonts w:ascii="Palatino Linotype" w:hAnsi="Palatino Linotype"/>
          <w:lang w:val="es-EC" w:eastAsia="en-US"/>
        </w:rPr>
        <w:t>r</w:t>
      </w:r>
      <w:r w:rsidRPr="00DF2676">
        <w:rPr>
          <w:rFonts w:ascii="Palatino Linotype" w:hAnsi="Palatino Linotype"/>
          <w:lang w:val="es-EC" w:eastAsia="en-US"/>
        </w:rPr>
        <w:t>o. 3624884 fue adquirido mediante escritura de permuta, otorgado por Predios Inversiones CIA-L.T.D.A. a favor del Municipio del Distrito Metropolitano de Quito, celebrada en la Notaría Primera, ante el Dr. Jorge Machado Cevallos el 7 de octubre de 1994 e inscrita en el Registro de la Propiedad el 17 de febrero de 1995. El predio N</w:t>
      </w:r>
      <w:r w:rsidR="00B57C99">
        <w:rPr>
          <w:rFonts w:ascii="Palatino Linotype" w:hAnsi="Palatino Linotype"/>
          <w:lang w:val="es-EC" w:eastAsia="en-US"/>
        </w:rPr>
        <w:t>r</w:t>
      </w:r>
      <w:r w:rsidRPr="00DF2676">
        <w:rPr>
          <w:rFonts w:ascii="Palatino Linotype" w:hAnsi="Palatino Linotype"/>
          <w:lang w:val="es-EC" w:eastAsia="en-US"/>
        </w:rPr>
        <w:t>o. 3624884 es considerado en el Registro Contable-Categoría 22000</w:t>
      </w:r>
      <w:r w:rsidR="00B57C99">
        <w:rPr>
          <w:rFonts w:ascii="Palatino Linotype" w:hAnsi="Palatino Linotype"/>
          <w:lang w:val="es-EC" w:eastAsia="en-US"/>
        </w:rPr>
        <w:t>, como: BIEN DE DOMINIO PRIVADO;</w:t>
      </w:r>
    </w:p>
    <w:p w:rsidR="002C14AA" w:rsidRPr="00DF2676" w:rsidRDefault="002C14AA" w:rsidP="002C14AA">
      <w:pPr>
        <w:autoSpaceDE w:val="0"/>
        <w:autoSpaceDN w:val="0"/>
        <w:adjustRightInd w:val="0"/>
        <w:ind w:left="708" w:hanging="708"/>
        <w:jc w:val="both"/>
        <w:rPr>
          <w:rFonts w:ascii="Palatino Linotype" w:hAnsi="Palatino Linotype"/>
          <w:lang w:val="es-EC" w:eastAsia="en-US"/>
        </w:rPr>
      </w:pPr>
    </w:p>
    <w:p w:rsidR="002C14AA" w:rsidRPr="00DF2676" w:rsidRDefault="002C14AA" w:rsidP="002C14AA">
      <w:pPr>
        <w:autoSpaceDE w:val="0"/>
        <w:autoSpaceDN w:val="0"/>
        <w:adjustRightInd w:val="0"/>
        <w:ind w:left="708" w:hanging="708"/>
        <w:jc w:val="both"/>
        <w:rPr>
          <w:rFonts w:ascii="Palatino Linotype" w:hAnsi="Palatino Linotype"/>
          <w:lang w:val="es-EC" w:eastAsia="en-US"/>
        </w:rPr>
      </w:pPr>
      <w:r w:rsidRPr="00DF2676">
        <w:rPr>
          <w:rFonts w:ascii="Palatino Linotype" w:hAnsi="Palatino Linotype"/>
          <w:b/>
          <w:lang w:val="es-EC" w:eastAsia="en-US"/>
        </w:rPr>
        <w:t>Que,</w:t>
      </w:r>
      <w:r w:rsidRPr="00DF2676">
        <w:rPr>
          <w:rFonts w:ascii="Palatino Linotype" w:hAnsi="Palatino Linotype"/>
          <w:b/>
          <w:lang w:val="es-EC" w:eastAsia="en-US"/>
        </w:rPr>
        <w:tab/>
      </w:r>
      <w:r w:rsidRPr="00DF2676">
        <w:rPr>
          <w:rFonts w:ascii="Palatino Linotype" w:hAnsi="Palatino Linotype"/>
          <w:lang w:val="es-EC" w:eastAsia="en-US"/>
        </w:rPr>
        <w:t>de conformidad con la ficha técnica Nro. STHV-DMC-UCE-2023-2152 de 18 de octubre de 2023, el predio N</w:t>
      </w:r>
      <w:r w:rsidR="00B57C99">
        <w:rPr>
          <w:rFonts w:ascii="Palatino Linotype" w:hAnsi="Palatino Linotype"/>
          <w:lang w:val="es-EC" w:eastAsia="en-US"/>
        </w:rPr>
        <w:t>r</w:t>
      </w:r>
      <w:r w:rsidRPr="00DF2676">
        <w:rPr>
          <w:rFonts w:ascii="Palatino Linotype" w:hAnsi="Palatino Linotype"/>
          <w:lang w:val="es-EC" w:eastAsia="en-US"/>
        </w:rPr>
        <w:t>o. 3652013 fue adquirido mediante escritura de donación otorgada por la Empresa Pública Metropolitana de Transporte de Pasajeros de Quito a favor del Municipio del Distrito Metropolitano de Quito, realizada en la Notaría Decima Quinta, ante el Dr. Wilson Ramiro López Andrade el 3 de diciembre de 2013, e inscrita en el Registro de la Propiedad el 8 de abril de 2015. El predio N</w:t>
      </w:r>
      <w:r w:rsidR="00B57C99">
        <w:rPr>
          <w:rFonts w:ascii="Palatino Linotype" w:hAnsi="Palatino Linotype"/>
          <w:lang w:val="es-EC" w:eastAsia="en-US"/>
        </w:rPr>
        <w:t>r</w:t>
      </w:r>
      <w:r w:rsidRPr="00DF2676">
        <w:rPr>
          <w:rFonts w:ascii="Palatino Linotype" w:hAnsi="Palatino Linotype"/>
          <w:lang w:val="es-EC" w:eastAsia="en-US"/>
        </w:rPr>
        <w:t>o. 3652013 es considerado en el Registro Contable-Categoría 22000</w:t>
      </w:r>
      <w:r w:rsidR="00B57C99">
        <w:rPr>
          <w:rFonts w:ascii="Palatino Linotype" w:hAnsi="Palatino Linotype"/>
          <w:lang w:val="es-EC" w:eastAsia="en-US"/>
        </w:rPr>
        <w:t>, como: BIEN DE DOMINIO PRIVADO;</w:t>
      </w:r>
    </w:p>
    <w:p w:rsidR="002C14AA" w:rsidRPr="00DF2676" w:rsidRDefault="002C14AA" w:rsidP="002C14AA">
      <w:pPr>
        <w:autoSpaceDE w:val="0"/>
        <w:autoSpaceDN w:val="0"/>
        <w:adjustRightInd w:val="0"/>
        <w:ind w:left="708" w:hanging="708"/>
        <w:jc w:val="both"/>
        <w:rPr>
          <w:rFonts w:ascii="Palatino Linotype" w:hAnsi="Palatino Linotype"/>
          <w:lang w:val="es-EC" w:eastAsia="en-US"/>
        </w:rPr>
      </w:pPr>
    </w:p>
    <w:p w:rsidR="002C14AA" w:rsidRPr="00DF2676" w:rsidRDefault="002C14AA" w:rsidP="00DF2676">
      <w:pPr>
        <w:autoSpaceDE w:val="0"/>
        <w:autoSpaceDN w:val="0"/>
        <w:adjustRightInd w:val="0"/>
        <w:ind w:left="708" w:hanging="708"/>
        <w:jc w:val="both"/>
        <w:rPr>
          <w:rFonts w:ascii="Palatino Linotype" w:hAnsi="Palatino Linotype"/>
          <w:highlight w:val="yellow"/>
        </w:rPr>
      </w:pPr>
      <w:r w:rsidRPr="00DF2676">
        <w:rPr>
          <w:rFonts w:ascii="Palatino Linotype" w:hAnsi="Palatino Linotype"/>
          <w:b/>
          <w:lang w:val="es-EC" w:eastAsia="en-US"/>
        </w:rPr>
        <w:t>Que,</w:t>
      </w:r>
      <w:r w:rsidRPr="00DF2676">
        <w:rPr>
          <w:rFonts w:ascii="Palatino Linotype" w:hAnsi="Palatino Linotype"/>
          <w:b/>
          <w:lang w:val="es-EC" w:eastAsia="en-US"/>
        </w:rPr>
        <w:tab/>
      </w:r>
      <w:r w:rsidRPr="00DF2676">
        <w:rPr>
          <w:rFonts w:ascii="Palatino Linotype" w:hAnsi="Palatino Linotype"/>
        </w:rPr>
        <w:t>conforme a la ficha técnica Nro. STHV-DMC-UCE-2023-2153 de 18 de octubre de 2023, el predio N</w:t>
      </w:r>
      <w:r w:rsidR="00B57C99">
        <w:rPr>
          <w:rFonts w:ascii="Palatino Linotype" w:hAnsi="Palatino Linotype"/>
        </w:rPr>
        <w:t>r</w:t>
      </w:r>
      <w:r w:rsidRPr="00DF2676">
        <w:rPr>
          <w:rFonts w:ascii="Palatino Linotype" w:hAnsi="Palatino Linotype"/>
        </w:rPr>
        <w:t>o. 3652150 fue adquirido mediante escritura de donación otorgada por la Empresa Pública Metropolitana de Transporte de Pasajeros de Quito a favor del Municipio del Distrito Metropolitano de Quito, realizada en la Notaría Decima Quinta, ante el Dr. Wilson Ramiro López Andrade el 3 de diciembre de 2013 e inscrita en el Registro de la Propiedad el 8 de abril de 2015. El predio N</w:t>
      </w:r>
      <w:r w:rsidR="00B57C99">
        <w:rPr>
          <w:rFonts w:ascii="Palatino Linotype" w:hAnsi="Palatino Linotype"/>
        </w:rPr>
        <w:t>r</w:t>
      </w:r>
      <w:r w:rsidRPr="00DF2676">
        <w:rPr>
          <w:rFonts w:ascii="Palatino Linotype" w:hAnsi="Palatino Linotype"/>
        </w:rPr>
        <w:t>o. 3652150 es considerado en el Registro Contable-Categoría 22000</w:t>
      </w:r>
      <w:r w:rsidR="00B57C99">
        <w:rPr>
          <w:rFonts w:ascii="Palatino Linotype" w:hAnsi="Palatino Linotype"/>
        </w:rPr>
        <w:t>, como: BIEN DE DOMINIO PRIVADO;</w:t>
      </w:r>
    </w:p>
    <w:p w:rsidR="000071CE" w:rsidRPr="00DF2676" w:rsidRDefault="000071CE" w:rsidP="000071CE">
      <w:pPr>
        <w:autoSpaceDE w:val="0"/>
        <w:autoSpaceDN w:val="0"/>
        <w:adjustRightInd w:val="0"/>
        <w:ind w:left="709" w:hanging="709"/>
        <w:jc w:val="both"/>
        <w:rPr>
          <w:rFonts w:ascii="Palatino Linotype" w:hAnsi="Palatino Linotype"/>
          <w:bCs/>
          <w:lang w:val="es-EC" w:eastAsia="en-US"/>
        </w:rPr>
      </w:pPr>
    </w:p>
    <w:p w:rsidR="003C03FE" w:rsidRPr="00DF2676" w:rsidRDefault="000071CE" w:rsidP="00EA786B">
      <w:pPr>
        <w:autoSpaceDE w:val="0"/>
        <w:autoSpaceDN w:val="0"/>
        <w:adjustRightInd w:val="0"/>
        <w:ind w:left="709" w:hanging="709"/>
        <w:jc w:val="both"/>
        <w:rPr>
          <w:rFonts w:ascii="Palatino Linotype" w:hAnsi="Palatino Linotype"/>
          <w:bCs/>
          <w:lang w:val="es-EC" w:eastAsia="en-US"/>
        </w:rPr>
      </w:pPr>
      <w:r w:rsidRPr="00DF2676">
        <w:rPr>
          <w:rFonts w:ascii="Palatino Linotype" w:hAnsi="Palatino Linotype"/>
          <w:b/>
          <w:bCs/>
          <w:lang w:val="es-EC" w:eastAsia="en-US"/>
        </w:rPr>
        <w:t xml:space="preserve">Que, </w:t>
      </w:r>
      <w:r w:rsidR="003E0810" w:rsidRPr="00DF2676">
        <w:rPr>
          <w:rFonts w:ascii="Palatino Linotype" w:hAnsi="Palatino Linotype"/>
          <w:b/>
          <w:bCs/>
          <w:lang w:val="es-EC" w:eastAsia="en-US"/>
        </w:rPr>
        <w:tab/>
      </w:r>
      <w:r w:rsidR="00B669D0" w:rsidRPr="00DF2676">
        <w:rPr>
          <w:rFonts w:ascii="Palatino Linotype" w:hAnsi="Palatino Linotype"/>
          <w:bCs/>
          <w:lang w:val="es-EC" w:eastAsia="en-US"/>
        </w:rPr>
        <w:t>la</w:t>
      </w:r>
      <w:r w:rsidR="00B669D0" w:rsidRPr="00DF2676">
        <w:rPr>
          <w:rFonts w:ascii="Palatino Linotype" w:hAnsi="Palatino Linotype"/>
          <w:b/>
          <w:bCs/>
          <w:lang w:val="es-EC" w:eastAsia="en-US"/>
        </w:rPr>
        <w:t xml:space="preserve"> </w:t>
      </w:r>
      <w:r w:rsidR="00B669D0" w:rsidRPr="00DF2676">
        <w:rPr>
          <w:rFonts w:ascii="Palatino Linotype" w:hAnsi="Palatino Linotype"/>
        </w:rPr>
        <w:t>Procuraduría Metropolitana, mediante Memorando Nro. GADDMQ-PM-2023-3870-M de 26 de octubre de 2023, emit</w:t>
      </w:r>
      <w:r w:rsidR="00B57C99">
        <w:rPr>
          <w:rFonts w:ascii="Palatino Linotype" w:hAnsi="Palatino Linotype"/>
        </w:rPr>
        <w:t xml:space="preserve">ió </w:t>
      </w:r>
      <w:r w:rsidR="00B669D0" w:rsidRPr="00DF2676">
        <w:rPr>
          <w:rFonts w:ascii="Palatino Linotype" w:hAnsi="Palatino Linotype"/>
        </w:rPr>
        <w:t>criterio legal favorable para que</w:t>
      </w:r>
      <w:r w:rsidR="00B57C99">
        <w:rPr>
          <w:rFonts w:ascii="Palatino Linotype" w:hAnsi="Palatino Linotype"/>
        </w:rPr>
        <w:t xml:space="preserve">: </w:t>
      </w:r>
      <w:r w:rsidR="00B57C99" w:rsidRPr="00B57C99">
        <w:rPr>
          <w:rFonts w:ascii="Palatino Linotype" w:hAnsi="Palatino Linotype"/>
          <w:i/>
        </w:rPr>
        <w:t>“…</w:t>
      </w:r>
      <w:r w:rsidR="00B669D0" w:rsidRPr="00B57C99">
        <w:rPr>
          <w:rFonts w:ascii="Palatino Linotype" w:hAnsi="Palatino Linotype"/>
          <w:i/>
        </w:rPr>
        <w:t xml:space="preserve">de estimarlo pertinente, la Comisión de Propiedad y Espacio </w:t>
      </w:r>
      <w:r w:rsidR="00B669D0" w:rsidRPr="00B57C99">
        <w:rPr>
          <w:rFonts w:ascii="Palatino Linotype" w:hAnsi="Palatino Linotype"/>
          <w:i/>
        </w:rPr>
        <w:lastRenderedPageBreak/>
        <w:t>Público, continúe con el procedimiento para obtener del Concejo Metropolitano de Quito la autorización para la donación de los predios Nos. 3565960, 3624884, 3652013 y 3652150 a favor de la Empresa Pública Metropolitana de Hábitat y Vivienda, para destinarlo al Proyecto Inmobiliario-Jipijapa-La Y, conforme a los datos constantes en las fichas técnicas valorativas Nos. STHV-DMC-UCE-2023-2136 (predio No. 3565960) y STHV-DMC-UCE-2023-2137 (predio No. 3624884) de 16 de octubre de 2023, remitidas mediante Oficio Nro. GADDMQ-STHV-DMC-UCE-2023-2131-O, de 17 de octubre 2023; y, fichas técnicas valorativas Nos. STHV-DMC-2023-2152 (predio No. 3652013) y STHV-DMC-UCE-2023-2153 (predio No. 3652150) de 18 de octubre de 2023, remitidas mediante Oficio Nro. GADDMQ-STHV-DMC-UCE-2023-2144 de 18 de octubre de 2023, de la Unidad de Catastro Especial de la Dirección Metropolitana de Catastro.</w:t>
      </w:r>
      <w:r w:rsidR="00EA786B" w:rsidRPr="00B57C99">
        <w:rPr>
          <w:rFonts w:ascii="Palatino Linotype" w:hAnsi="Palatino Linotype"/>
          <w:bCs/>
          <w:i/>
          <w:lang w:val="es-EC" w:eastAsia="en-US"/>
        </w:rPr>
        <w:t>”</w:t>
      </w:r>
      <w:r w:rsidR="003E0810" w:rsidRPr="00B57C99">
        <w:rPr>
          <w:rFonts w:ascii="Palatino Linotype" w:hAnsi="Palatino Linotype"/>
          <w:bCs/>
          <w:i/>
          <w:lang w:val="es-EC" w:eastAsia="en-US"/>
        </w:rPr>
        <w:t>;</w:t>
      </w:r>
    </w:p>
    <w:p w:rsidR="003C03FE" w:rsidRPr="00DF2676" w:rsidRDefault="003C03FE" w:rsidP="003E0810">
      <w:pPr>
        <w:autoSpaceDE w:val="0"/>
        <w:autoSpaceDN w:val="0"/>
        <w:adjustRightInd w:val="0"/>
        <w:jc w:val="both"/>
        <w:rPr>
          <w:rFonts w:ascii="Palatino Linotype" w:hAnsi="Palatino Linotype"/>
          <w:b/>
          <w:bCs/>
          <w:lang w:val="es-EC" w:eastAsia="en-US"/>
        </w:rPr>
      </w:pPr>
    </w:p>
    <w:p w:rsidR="000071CE" w:rsidRPr="00DF2676" w:rsidRDefault="003C03FE" w:rsidP="000071CE">
      <w:pPr>
        <w:autoSpaceDE w:val="0"/>
        <w:autoSpaceDN w:val="0"/>
        <w:adjustRightInd w:val="0"/>
        <w:ind w:left="709" w:hanging="709"/>
        <w:jc w:val="both"/>
        <w:rPr>
          <w:rFonts w:ascii="Palatino Linotype" w:hAnsi="Palatino Linotype"/>
          <w:bCs/>
          <w:highlight w:val="yellow"/>
          <w:lang w:val="es-EC" w:eastAsia="en-US"/>
        </w:rPr>
      </w:pPr>
      <w:r w:rsidRPr="00DF2676">
        <w:rPr>
          <w:rFonts w:ascii="Palatino Linotype" w:hAnsi="Palatino Linotype"/>
          <w:b/>
          <w:bCs/>
          <w:highlight w:val="yellow"/>
          <w:lang w:val="es-EC" w:eastAsia="en-US"/>
        </w:rPr>
        <w:t>Que</w:t>
      </w:r>
      <w:r w:rsidRPr="00DF2676">
        <w:rPr>
          <w:rFonts w:ascii="Palatino Linotype" w:hAnsi="Palatino Linotype"/>
          <w:bCs/>
          <w:highlight w:val="yellow"/>
          <w:lang w:val="es-EC" w:eastAsia="en-US"/>
        </w:rPr>
        <w:t>,</w:t>
      </w:r>
      <w:r w:rsidRPr="00DF2676">
        <w:rPr>
          <w:rFonts w:ascii="Palatino Linotype" w:hAnsi="Palatino Linotype"/>
          <w:bCs/>
          <w:highlight w:val="yellow"/>
          <w:lang w:val="es-EC" w:eastAsia="en-US"/>
        </w:rPr>
        <w:tab/>
      </w:r>
      <w:r w:rsidR="000071CE" w:rsidRPr="00DF2676">
        <w:rPr>
          <w:rFonts w:ascii="Palatino Linotype" w:hAnsi="Palatino Linotype"/>
          <w:bCs/>
          <w:highlight w:val="yellow"/>
          <w:lang w:val="es-EC" w:eastAsia="en-US"/>
        </w:rPr>
        <w:t>la Comisión de Propiedad y Espacio Público, emitió el Informe No. IC-</w:t>
      </w:r>
      <w:r w:rsidR="003E0810" w:rsidRPr="00DF2676">
        <w:rPr>
          <w:rFonts w:ascii="Palatino Linotype" w:hAnsi="Palatino Linotype"/>
          <w:bCs/>
          <w:highlight w:val="yellow"/>
          <w:lang w:val="es-EC" w:eastAsia="en-US"/>
        </w:rPr>
        <w:t>XXXXXX</w:t>
      </w:r>
      <w:r w:rsidR="000071CE" w:rsidRPr="00DF2676">
        <w:rPr>
          <w:rFonts w:ascii="Palatino Linotype" w:hAnsi="Palatino Linotype"/>
          <w:bCs/>
          <w:highlight w:val="yellow"/>
          <w:lang w:val="es-EC" w:eastAsia="en-US"/>
        </w:rPr>
        <w:t xml:space="preserve"> de </w:t>
      </w:r>
      <w:r w:rsidR="003E0810" w:rsidRPr="00DF2676">
        <w:rPr>
          <w:rFonts w:ascii="Palatino Linotype" w:hAnsi="Palatino Linotype"/>
          <w:bCs/>
          <w:highlight w:val="yellow"/>
          <w:lang w:val="es-EC" w:eastAsia="en-US"/>
        </w:rPr>
        <w:t>XXXXXXX</w:t>
      </w:r>
      <w:r w:rsidR="000071CE" w:rsidRPr="00DF2676">
        <w:rPr>
          <w:rFonts w:ascii="Palatino Linotype" w:hAnsi="Palatino Linotype"/>
          <w:bCs/>
          <w:highlight w:val="yellow"/>
          <w:lang w:val="es-EC" w:eastAsia="en-US"/>
        </w:rPr>
        <w:t xml:space="preserve"> de </w:t>
      </w:r>
      <w:r w:rsidR="003E0810" w:rsidRPr="00DF2676">
        <w:rPr>
          <w:rFonts w:ascii="Palatino Linotype" w:hAnsi="Palatino Linotype"/>
          <w:bCs/>
          <w:highlight w:val="yellow"/>
          <w:lang w:val="es-EC" w:eastAsia="en-US"/>
        </w:rPr>
        <w:t>XXXXXX</w:t>
      </w:r>
      <w:r w:rsidR="000071CE" w:rsidRPr="00DF2676">
        <w:rPr>
          <w:rFonts w:ascii="Palatino Linotype" w:hAnsi="Palatino Linotype"/>
          <w:bCs/>
          <w:highlight w:val="yellow"/>
          <w:lang w:val="es-EC" w:eastAsia="en-US"/>
        </w:rPr>
        <w:t xml:space="preserve"> de 2023, mediante el cual se emite dictamen favorable para que el Concejo Metropolitano se pronuncie en los términos previstos en la presente resolución; y,</w:t>
      </w:r>
    </w:p>
    <w:p w:rsidR="000071CE" w:rsidRPr="00DF2676" w:rsidRDefault="000071CE" w:rsidP="000071CE">
      <w:pPr>
        <w:autoSpaceDE w:val="0"/>
        <w:autoSpaceDN w:val="0"/>
        <w:adjustRightInd w:val="0"/>
        <w:ind w:left="709" w:hanging="709"/>
        <w:jc w:val="both"/>
        <w:rPr>
          <w:rFonts w:ascii="Palatino Linotype" w:hAnsi="Palatino Linotype"/>
          <w:bCs/>
          <w:highlight w:val="yellow"/>
          <w:lang w:val="es-EC" w:eastAsia="en-US"/>
        </w:rPr>
      </w:pPr>
    </w:p>
    <w:p w:rsidR="000071CE" w:rsidRPr="00DF2676" w:rsidRDefault="000071CE" w:rsidP="000071CE">
      <w:pPr>
        <w:autoSpaceDE w:val="0"/>
        <w:autoSpaceDN w:val="0"/>
        <w:adjustRightInd w:val="0"/>
        <w:ind w:left="709" w:hanging="709"/>
        <w:jc w:val="both"/>
        <w:rPr>
          <w:rFonts w:ascii="Palatino Linotype" w:hAnsi="Palatino Linotype"/>
          <w:bCs/>
          <w:lang w:eastAsia="en-US"/>
        </w:rPr>
      </w:pPr>
      <w:r w:rsidRPr="00DF2676">
        <w:rPr>
          <w:rFonts w:ascii="Palatino Linotype" w:hAnsi="Palatino Linotype"/>
          <w:b/>
          <w:bCs/>
          <w:highlight w:val="yellow"/>
          <w:lang w:val="es-EC" w:eastAsia="en-US"/>
        </w:rPr>
        <w:t xml:space="preserve">Que, </w:t>
      </w:r>
      <w:r w:rsidR="003E0810" w:rsidRPr="00DF2676">
        <w:rPr>
          <w:rFonts w:ascii="Palatino Linotype" w:hAnsi="Palatino Linotype"/>
          <w:b/>
          <w:bCs/>
          <w:highlight w:val="yellow"/>
          <w:lang w:val="es-EC" w:eastAsia="en-US"/>
        </w:rPr>
        <w:tab/>
      </w:r>
      <w:r w:rsidRPr="00DF2676">
        <w:rPr>
          <w:rFonts w:ascii="Palatino Linotype" w:hAnsi="Palatino Linotype"/>
          <w:bCs/>
          <w:highlight w:val="yellow"/>
          <w:lang w:val="es-EC" w:eastAsia="en-US"/>
        </w:rPr>
        <w:t xml:space="preserve">el Concejo Metropolitano de Quito, en sesión pública ordinaria realizada el xx de </w:t>
      </w:r>
      <w:proofErr w:type="spellStart"/>
      <w:r w:rsidRPr="00DF2676">
        <w:rPr>
          <w:rFonts w:ascii="Palatino Linotype" w:hAnsi="Palatino Linotype"/>
          <w:bCs/>
          <w:highlight w:val="yellow"/>
          <w:lang w:val="es-EC" w:eastAsia="en-US"/>
        </w:rPr>
        <w:t>xxxx</w:t>
      </w:r>
      <w:proofErr w:type="spellEnd"/>
      <w:r w:rsidRPr="00DF2676">
        <w:rPr>
          <w:rFonts w:ascii="Palatino Linotype" w:hAnsi="Palatino Linotype"/>
          <w:bCs/>
          <w:highlight w:val="yellow"/>
          <w:lang w:val="es-EC" w:eastAsia="en-US"/>
        </w:rPr>
        <w:t xml:space="preserve"> de 2023, analizó el informe Nro. </w:t>
      </w:r>
      <w:r w:rsidR="003E0810" w:rsidRPr="00DF2676">
        <w:rPr>
          <w:rFonts w:ascii="Palatino Linotype" w:hAnsi="Palatino Linotype"/>
          <w:bCs/>
          <w:highlight w:val="yellow"/>
          <w:lang w:val="es-EC" w:eastAsia="en-US"/>
        </w:rPr>
        <w:t>XXXXXXXXX</w:t>
      </w:r>
      <w:r w:rsidRPr="00DF2676">
        <w:rPr>
          <w:rFonts w:ascii="Palatino Linotype" w:hAnsi="Palatino Linotype"/>
          <w:bCs/>
          <w:highlight w:val="yellow"/>
          <w:lang w:val="es-EC" w:eastAsia="en-US"/>
        </w:rPr>
        <w:t>, emitido por la Comisión de Propiedad y Espacio Público.</w:t>
      </w:r>
    </w:p>
    <w:p w:rsidR="000071CE" w:rsidRPr="00DF2676" w:rsidRDefault="000071CE" w:rsidP="000071CE">
      <w:pPr>
        <w:autoSpaceDE w:val="0"/>
        <w:autoSpaceDN w:val="0"/>
        <w:adjustRightInd w:val="0"/>
        <w:jc w:val="both"/>
        <w:rPr>
          <w:rFonts w:ascii="Palatino Linotype" w:hAnsi="Palatino Linotype"/>
          <w:lang w:eastAsia="en-US"/>
        </w:rPr>
      </w:pPr>
    </w:p>
    <w:p w:rsidR="000071CE" w:rsidRPr="00DF2676" w:rsidRDefault="000071CE" w:rsidP="000071CE">
      <w:pPr>
        <w:autoSpaceDE w:val="0"/>
        <w:autoSpaceDN w:val="0"/>
        <w:adjustRightInd w:val="0"/>
        <w:jc w:val="both"/>
        <w:rPr>
          <w:rFonts w:ascii="Palatino Linotype" w:hAnsi="Palatino Linotype"/>
          <w:b/>
          <w:bCs/>
          <w:lang w:val="es-EC" w:eastAsia="en-US"/>
        </w:rPr>
      </w:pPr>
      <w:r w:rsidRPr="00DF2676">
        <w:rPr>
          <w:rFonts w:ascii="Palatino Linotype" w:hAnsi="Palatino Linotype"/>
          <w:b/>
          <w:bCs/>
          <w:lang w:val="es-EC" w:eastAsia="en-US"/>
        </w:rPr>
        <w:t xml:space="preserve">En ejercicio de las atribuciones previstas en los artículos 240 de la Constitución de la República; y, 87 literales a) y d) y </w:t>
      </w:r>
      <w:r w:rsidR="006718CD">
        <w:rPr>
          <w:rFonts w:ascii="Palatino Linotype" w:hAnsi="Palatino Linotype"/>
          <w:b/>
          <w:bCs/>
          <w:lang w:val="es-EC" w:eastAsia="en-US"/>
        </w:rPr>
        <w:t xml:space="preserve">Art. </w:t>
      </w:r>
      <w:r w:rsidRPr="00DF2676">
        <w:rPr>
          <w:rFonts w:ascii="Palatino Linotype" w:hAnsi="Palatino Linotype"/>
          <w:b/>
          <w:bCs/>
          <w:lang w:val="es-EC" w:eastAsia="en-US"/>
        </w:rPr>
        <w:t>323 del Código Orgánico de Organización Territorial, Autonomía y Descentralización,</w:t>
      </w:r>
    </w:p>
    <w:p w:rsidR="000071CE" w:rsidRPr="00DF2676" w:rsidRDefault="000071CE" w:rsidP="000071CE">
      <w:pPr>
        <w:autoSpaceDE w:val="0"/>
        <w:autoSpaceDN w:val="0"/>
        <w:adjustRightInd w:val="0"/>
        <w:jc w:val="center"/>
        <w:rPr>
          <w:rFonts w:ascii="Palatino Linotype" w:hAnsi="Palatino Linotype"/>
          <w:b/>
          <w:bCs/>
          <w:lang w:val="es-EC" w:eastAsia="en-US"/>
        </w:rPr>
      </w:pPr>
    </w:p>
    <w:p w:rsidR="000071CE" w:rsidRPr="00DF2676" w:rsidRDefault="000071CE" w:rsidP="000071CE">
      <w:pPr>
        <w:autoSpaceDE w:val="0"/>
        <w:autoSpaceDN w:val="0"/>
        <w:adjustRightInd w:val="0"/>
        <w:jc w:val="center"/>
        <w:rPr>
          <w:rFonts w:ascii="Palatino Linotype" w:hAnsi="Palatino Linotype"/>
          <w:b/>
          <w:bCs/>
          <w:lang w:val="es-EC" w:eastAsia="en-US"/>
        </w:rPr>
      </w:pPr>
      <w:r w:rsidRPr="00DF2676">
        <w:rPr>
          <w:rFonts w:ascii="Palatino Linotype" w:hAnsi="Palatino Linotype"/>
          <w:b/>
          <w:bCs/>
          <w:lang w:val="es-EC" w:eastAsia="en-US"/>
        </w:rPr>
        <w:t>RESUELVE:</w:t>
      </w:r>
    </w:p>
    <w:p w:rsidR="000071CE" w:rsidRPr="00DF2676" w:rsidRDefault="000071CE" w:rsidP="000071CE">
      <w:pPr>
        <w:autoSpaceDE w:val="0"/>
        <w:autoSpaceDN w:val="0"/>
        <w:adjustRightInd w:val="0"/>
        <w:jc w:val="both"/>
        <w:rPr>
          <w:rFonts w:ascii="Palatino Linotype" w:hAnsi="Palatino Linotype"/>
          <w:lang w:val="es-EC" w:eastAsia="en-US"/>
        </w:rPr>
      </w:pPr>
    </w:p>
    <w:p w:rsidR="000071CE" w:rsidRPr="00DF2676" w:rsidRDefault="00763378" w:rsidP="000071CE">
      <w:pPr>
        <w:autoSpaceDE w:val="0"/>
        <w:autoSpaceDN w:val="0"/>
        <w:adjustRightInd w:val="0"/>
        <w:jc w:val="both"/>
        <w:rPr>
          <w:rFonts w:ascii="Palatino Linotype" w:hAnsi="Palatino Linotype"/>
          <w:lang w:val="es-EC" w:eastAsia="en-US"/>
        </w:rPr>
      </w:pPr>
      <w:r w:rsidRPr="00DF2676">
        <w:rPr>
          <w:rFonts w:ascii="Palatino Linotype" w:hAnsi="Palatino Linotype"/>
          <w:b/>
          <w:lang w:val="es-EC" w:eastAsia="en-US"/>
        </w:rPr>
        <w:t>Artículo 1</w:t>
      </w:r>
      <w:r w:rsidR="000071CE" w:rsidRPr="00DF2676">
        <w:rPr>
          <w:rFonts w:ascii="Palatino Linotype" w:hAnsi="Palatino Linotype"/>
          <w:b/>
          <w:lang w:val="es-EC" w:eastAsia="en-US"/>
        </w:rPr>
        <w:t>.-</w:t>
      </w:r>
      <w:r w:rsidR="00B41DB7" w:rsidRPr="00DF2676">
        <w:rPr>
          <w:rFonts w:ascii="Palatino Linotype" w:hAnsi="Palatino Linotype"/>
        </w:rPr>
        <w:t xml:space="preserve"> </w:t>
      </w:r>
      <w:r w:rsidR="00B41DB7" w:rsidRPr="00DF2676">
        <w:rPr>
          <w:rFonts w:ascii="Palatino Linotype" w:hAnsi="Palatino Linotype"/>
          <w:lang w:val="es-EC" w:eastAsia="en-US"/>
        </w:rPr>
        <w:t xml:space="preserve">Autorizar la transferencia de dominio a título gratuito bajo la figura de Donación a </w:t>
      </w:r>
      <w:r w:rsidR="00EA786B" w:rsidRPr="00DF2676">
        <w:rPr>
          <w:rFonts w:ascii="Palatino Linotype" w:hAnsi="Palatino Linotype"/>
          <w:lang w:val="es-EC" w:eastAsia="en-US"/>
        </w:rPr>
        <w:t>favor</w:t>
      </w:r>
      <w:r w:rsidR="00B41DB7" w:rsidRPr="00DF2676">
        <w:rPr>
          <w:rFonts w:ascii="Palatino Linotype" w:hAnsi="Palatino Linotype"/>
          <w:lang w:val="es-EC" w:eastAsia="en-US"/>
        </w:rPr>
        <w:t xml:space="preserve"> de la </w:t>
      </w:r>
      <w:r w:rsidR="007A707D" w:rsidRPr="00DF2676">
        <w:rPr>
          <w:rFonts w:ascii="Palatino Linotype" w:hAnsi="Palatino Linotype"/>
          <w:lang w:val="es-EC" w:eastAsia="en-US"/>
        </w:rPr>
        <w:t>Empresa Pública Metropolitana de Hábitat y Vivienda ("EPMHV")</w:t>
      </w:r>
      <w:r w:rsidR="00B41DB7" w:rsidRPr="00DF2676">
        <w:rPr>
          <w:rFonts w:ascii="Palatino Linotype" w:hAnsi="Palatino Linotype"/>
          <w:lang w:val="es-EC" w:eastAsia="en-US"/>
        </w:rPr>
        <w:t>,</w:t>
      </w:r>
      <w:r w:rsidR="007A707D" w:rsidRPr="00DF2676">
        <w:rPr>
          <w:rFonts w:ascii="Palatino Linotype" w:hAnsi="Palatino Linotype"/>
          <w:lang w:val="es-EC" w:eastAsia="en-US"/>
        </w:rPr>
        <w:t xml:space="preserve"> de los</w:t>
      </w:r>
      <w:r w:rsidR="00B41DB7" w:rsidRPr="00DF2676">
        <w:rPr>
          <w:rFonts w:ascii="Palatino Linotype" w:hAnsi="Palatino Linotype"/>
          <w:lang w:val="es-EC" w:eastAsia="en-US"/>
        </w:rPr>
        <w:t xml:space="preserve"> predio</w:t>
      </w:r>
      <w:r w:rsidR="007A707D" w:rsidRPr="00DF2676">
        <w:rPr>
          <w:rFonts w:ascii="Palatino Linotype" w:hAnsi="Palatino Linotype"/>
          <w:lang w:val="es-EC" w:eastAsia="en-US"/>
        </w:rPr>
        <w:t>s</w:t>
      </w:r>
      <w:r w:rsidR="00B41DB7" w:rsidRPr="00DF2676">
        <w:rPr>
          <w:rFonts w:ascii="Palatino Linotype" w:hAnsi="Palatino Linotype"/>
          <w:lang w:val="es-EC" w:eastAsia="en-US"/>
        </w:rPr>
        <w:t xml:space="preserve"> </w:t>
      </w:r>
      <w:r w:rsidR="007A707D" w:rsidRPr="00DF2676">
        <w:rPr>
          <w:rFonts w:ascii="Palatino Linotype" w:hAnsi="Palatino Linotype"/>
          <w:lang w:val="es-EC" w:eastAsia="en-US"/>
        </w:rPr>
        <w:t xml:space="preserve">Nro. 3565960, 3624884, 3652013 y 3652150, detallados </w:t>
      </w:r>
      <w:r w:rsidR="00B41DB7" w:rsidRPr="00DF2676">
        <w:rPr>
          <w:rFonts w:ascii="Palatino Linotype" w:hAnsi="Palatino Linotype"/>
          <w:lang w:val="es-EC" w:eastAsia="en-US"/>
        </w:rPr>
        <w:t xml:space="preserve">en </w:t>
      </w:r>
      <w:r w:rsidR="00621306" w:rsidRPr="00DF2676">
        <w:rPr>
          <w:rFonts w:ascii="Palatino Linotype" w:hAnsi="Palatino Linotype"/>
          <w:lang w:val="es-EC" w:eastAsia="en-US"/>
        </w:rPr>
        <w:t>la</w:t>
      </w:r>
      <w:r w:rsidR="007A707D" w:rsidRPr="00DF2676">
        <w:rPr>
          <w:rFonts w:ascii="Palatino Linotype" w:hAnsi="Palatino Linotype"/>
          <w:lang w:val="es-EC" w:eastAsia="en-US"/>
        </w:rPr>
        <w:t>s fichas t</w:t>
      </w:r>
      <w:r w:rsidR="00621306" w:rsidRPr="00DF2676">
        <w:rPr>
          <w:rFonts w:ascii="Palatino Linotype" w:hAnsi="Palatino Linotype"/>
          <w:lang w:val="es-EC" w:eastAsia="en-US"/>
        </w:rPr>
        <w:t>écnica</w:t>
      </w:r>
      <w:r w:rsidR="007A707D" w:rsidRPr="00DF2676">
        <w:rPr>
          <w:rFonts w:ascii="Palatino Linotype" w:hAnsi="Palatino Linotype"/>
          <w:lang w:val="es-EC" w:eastAsia="en-US"/>
        </w:rPr>
        <w:t>s</w:t>
      </w:r>
      <w:r w:rsidR="00B57C99">
        <w:rPr>
          <w:rFonts w:ascii="Palatino Linotype" w:hAnsi="Palatino Linotype"/>
          <w:lang w:val="es-EC" w:eastAsia="en-US"/>
        </w:rPr>
        <w:t xml:space="preserve"> v</w:t>
      </w:r>
      <w:r w:rsidR="00621306" w:rsidRPr="00DF2676">
        <w:rPr>
          <w:rFonts w:ascii="Palatino Linotype" w:hAnsi="Palatino Linotype"/>
          <w:lang w:val="es-EC" w:eastAsia="en-US"/>
        </w:rPr>
        <w:t>alorativa</w:t>
      </w:r>
      <w:r w:rsidR="007A707D" w:rsidRPr="00DF2676">
        <w:rPr>
          <w:rFonts w:ascii="Palatino Linotype" w:hAnsi="Palatino Linotype"/>
          <w:lang w:val="es-EC" w:eastAsia="en-US"/>
        </w:rPr>
        <w:t>s</w:t>
      </w:r>
      <w:r w:rsidR="00621306" w:rsidRPr="00DF2676">
        <w:rPr>
          <w:rFonts w:ascii="Palatino Linotype" w:hAnsi="Palatino Linotype"/>
          <w:lang w:val="es-EC" w:eastAsia="en-US"/>
        </w:rPr>
        <w:t xml:space="preserve"> </w:t>
      </w:r>
      <w:r w:rsidR="007A707D" w:rsidRPr="00DF2676">
        <w:rPr>
          <w:rFonts w:ascii="Palatino Linotype" w:hAnsi="Palatino Linotype"/>
          <w:lang w:val="es-EC" w:eastAsia="en-US"/>
        </w:rPr>
        <w:t xml:space="preserve">Nro. STHV-DMC-UCE-2023-2136, Nro. STHV-DMC-UCE-2023-2137, Nro. STHV-DMC-UCE-2023-2152, </w:t>
      </w:r>
      <w:r w:rsidR="007A707D" w:rsidRPr="00DF2676">
        <w:rPr>
          <w:rFonts w:ascii="Palatino Linotype" w:hAnsi="Palatino Linotype"/>
        </w:rPr>
        <w:t>Nro. STHV-DMC-UCE-2023-2153</w:t>
      </w:r>
      <w:r w:rsidR="00477C1E">
        <w:rPr>
          <w:rFonts w:ascii="Palatino Linotype" w:hAnsi="Palatino Linotype"/>
          <w:lang w:val="es-EC" w:eastAsia="en-US"/>
        </w:rPr>
        <w:t xml:space="preserve">. En caso </w:t>
      </w:r>
      <w:r w:rsidR="00B41DB7" w:rsidRPr="00DF2676">
        <w:rPr>
          <w:rFonts w:ascii="Palatino Linotype" w:hAnsi="Palatino Linotype"/>
          <w:lang w:val="es-EC" w:eastAsia="en-US"/>
        </w:rPr>
        <w:t xml:space="preserve">que </w:t>
      </w:r>
      <w:r w:rsidR="007A707D" w:rsidRPr="00DF2676">
        <w:rPr>
          <w:rFonts w:ascii="Palatino Linotype" w:hAnsi="Palatino Linotype"/>
          <w:lang w:val="es-EC" w:eastAsia="en-US"/>
        </w:rPr>
        <w:t>los</w:t>
      </w:r>
      <w:r w:rsidR="00B41DB7" w:rsidRPr="00DF2676">
        <w:rPr>
          <w:rFonts w:ascii="Palatino Linotype" w:hAnsi="Palatino Linotype"/>
          <w:lang w:val="es-EC" w:eastAsia="en-US"/>
        </w:rPr>
        <w:t xml:space="preserve"> predio</w:t>
      </w:r>
      <w:r w:rsidR="007A707D" w:rsidRPr="00DF2676">
        <w:rPr>
          <w:rFonts w:ascii="Palatino Linotype" w:hAnsi="Palatino Linotype"/>
          <w:lang w:val="es-EC" w:eastAsia="en-US"/>
        </w:rPr>
        <w:t>s</w:t>
      </w:r>
      <w:r w:rsidR="00B41DB7" w:rsidRPr="00DF2676">
        <w:rPr>
          <w:rFonts w:ascii="Palatino Linotype" w:hAnsi="Palatino Linotype"/>
          <w:lang w:val="es-EC" w:eastAsia="en-US"/>
        </w:rPr>
        <w:t xml:space="preserve"> no se destine</w:t>
      </w:r>
      <w:r w:rsidR="007A707D" w:rsidRPr="00DF2676">
        <w:rPr>
          <w:rFonts w:ascii="Palatino Linotype" w:hAnsi="Palatino Linotype"/>
          <w:lang w:val="es-EC" w:eastAsia="en-US"/>
        </w:rPr>
        <w:t>n</w:t>
      </w:r>
      <w:r w:rsidR="00B41DB7" w:rsidRPr="00DF2676">
        <w:rPr>
          <w:rFonts w:ascii="Palatino Linotype" w:hAnsi="Palatino Linotype"/>
          <w:lang w:val="es-EC" w:eastAsia="en-US"/>
        </w:rPr>
        <w:t xml:space="preserve"> para </w:t>
      </w:r>
      <w:r w:rsidR="00B57C99">
        <w:rPr>
          <w:rFonts w:ascii="Palatino Linotype" w:hAnsi="Palatino Linotype"/>
          <w:lang w:val="es-EC" w:eastAsia="en-US"/>
        </w:rPr>
        <w:t>el “</w:t>
      </w:r>
      <w:r w:rsidR="007A707D" w:rsidRPr="00DF2676">
        <w:rPr>
          <w:rFonts w:ascii="Palatino Linotype" w:hAnsi="Palatino Linotype"/>
        </w:rPr>
        <w:t>Proyecto Inmobiliario-Jipijapa-La Y</w:t>
      </w:r>
      <w:r w:rsidR="00B57C99">
        <w:rPr>
          <w:rFonts w:ascii="Palatino Linotype" w:hAnsi="Palatino Linotype"/>
        </w:rPr>
        <w:t>”</w:t>
      </w:r>
      <w:r w:rsidR="00B41DB7" w:rsidRPr="00DF2676">
        <w:rPr>
          <w:rFonts w:ascii="Palatino Linotype" w:hAnsi="Palatino Linotype"/>
          <w:lang w:val="es-EC" w:eastAsia="en-US"/>
        </w:rPr>
        <w:t xml:space="preserve"> </w:t>
      </w:r>
      <w:r w:rsidR="006718CD">
        <w:rPr>
          <w:rFonts w:ascii="Palatino Linotype" w:hAnsi="Palatino Linotype"/>
          <w:lang w:val="es-EC" w:eastAsia="en-US"/>
        </w:rPr>
        <w:t>que en adelante se denominará como Unidad de Actuación Urbanística La Y</w:t>
      </w:r>
      <w:r w:rsidR="00CF7C56">
        <w:rPr>
          <w:rFonts w:ascii="Palatino Linotype" w:hAnsi="Palatino Linotype"/>
          <w:lang w:val="es-EC" w:eastAsia="en-US"/>
        </w:rPr>
        <w:t>-</w:t>
      </w:r>
      <w:r w:rsidR="006718CD">
        <w:rPr>
          <w:rFonts w:ascii="Palatino Linotype" w:hAnsi="Palatino Linotype"/>
          <w:lang w:val="es-EC" w:eastAsia="en-US"/>
        </w:rPr>
        <w:t>2, ex estación de conformidad</w:t>
      </w:r>
      <w:r w:rsidR="00454FBC">
        <w:rPr>
          <w:rFonts w:ascii="Palatino Linotype" w:hAnsi="Palatino Linotype"/>
          <w:lang w:val="es-EC" w:eastAsia="en-US"/>
        </w:rPr>
        <w:t xml:space="preserve"> con</w:t>
      </w:r>
      <w:r w:rsidR="006718CD">
        <w:rPr>
          <w:rFonts w:ascii="Palatino Linotype" w:hAnsi="Palatino Linotype"/>
          <w:lang w:val="es-EC" w:eastAsia="en-US"/>
        </w:rPr>
        <w:t xml:space="preserve"> </w:t>
      </w:r>
      <w:r w:rsidR="00454FBC">
        <w:rPr>
          <w:rFonts w:ascii="Palatino Linotype" w:hAnsi="Palatino Linotype"/>
          <w:lang w:val="es-EC" w:eastAsia="en-US"/>
        </w:rPr>
        <w:t>el</w:t>
      </w:r>
      <w:r w:rsidR="006718CD">
        <w:rPr>
          <w:rFonts w:ascii="Palatino Linotype" w:hAnsi="Palatino Linotype"/>
          <w:lang w:val="es-EC" w:eastAsia="en-US"/>
        </w:rPr>
        <w:t xml:space="preserve"> Plan de Uso y Gestión de</w:t>
      </w:r>
      <w:r w:rsidR="00A83ED4">
        <w:rPr>
          <w:rFonts w:ascii="Palatino Linotype" w:hAnsi="Palatino Linotype"/>
          <w:lang w:val="es-EC" w:eastAsia="en-US"/>
        </w:rPr>
        <w:t>l</w:t>
      </w:r>
      <w:r w:rsidR="006718CD">
        <w:rPr>
          <w:rFonts w:ascii="Palatino Linotype" w:hAnsi="Palatino Linotype"/>
          <w:lang w:val="es-EC" w:eastAsia="en-US"/>
        </w:rPr>
        <w:t xml:space="preserve"> Suelo vigente</w:t>
      </w:r>
      <w:r w:rsidR="006B1D5D">
        <w:rPr>
          <w:rFonts w:ascii="Palatino Linotype" w:hAnsi="Palatino Linotype"/>
          <w:lang w:val="es-EC" w:eastAsia="en-US"/>
        </w:rPr>
        <w:t>;</w:t>
      </w:r>
      <w:bookmarkStart w:id="0" w:name="_GoBack"/>
      <w:bookmarkEnd w:id="0"/>
      <w:r w:rsidR="00B41DB7" w:rsidRPr="00DF2676">
        <w:rPr>
          <w:rFonts w:ascii="Palatino Linotype" w:hAnsi="Palatino Linotype"/>
          <w:lang w:val="es-EC" w:eastAsia="en-US"/>
        </w:rPr>
        <w:t xml:space="preserve"> se procederá con l</w:t>
      </w:r>
      <w:r w:rsidR="007A707D" w:rsidRPr="00DF2676">
        <w:rPr>
          <w:rFonts w:ascii="Palatino Linotype" w:hAnsi="Palatino Linotype"/>
          <w:lang w:val="es-EC" w:eastAsia="en-US"/>
        </w:rPr>
        <w:t>a reversión de la</w:t>
      </w:r>
      <w:r w:rsidR="00B41DB7" w:rsidRPr="00DF2676">
        <w:rPr>
          <w:rFonts w:ascii="Palatino Linotype" w:hAnsi="Palatino Linotype"/>
          <w:lang w:val="es-EC" w:eastAsia="en-US"/>
        </w:rPr>
        <w:t xml:space="preserve"> donación.</w:t>
      </w:r>
    </w:p>
    <w:p w:rsidR="00B41DB7" w:rsidRPr="00DF2676" w:rsidRDefault="00B41DB7" w:rsidP="000071CE">
      <w:pPr>
        <w:autoSpaceDE w:val="0"/>
        <w:autoSpaceDN w:val="0"/>
        <w:adjustRightInd w:val="0"/>
        <w:jc w:val="both"/>
        <w:rPr>
          <w:rFonts w:ascii="Palatino Linotype" w:hAnsi="Palatino Linotype"/>
          <w:lang w:val="es-EC" w:eastAsia="en-US"/>
        </w:rPr>
      </w:pPr>
    </w:p>
    <w:p w:rsidR="00B41DB7" w:rsidRPr="00DF2676" w:rsidRDefault="007A707D" w:rsidP="00B41DB7">
      <w:pPr>
        <w:autoSpaceDE w:val="0"/>
        <w:autoSpaceDN w:val="0"/>
        <w:adjustRightInd w:val="0"/>
        <w:jc w:val="both"/>
        <w:rPr>
          <w:rFonts w:ascii="Palatino Linotype" w:hAnsi="Palatino Linotype"/>
        </w:rPr>
      </w:pPr>
      <w:r w:rsidRPr="00DF2676">
        <w:rPr>
          <w:rFonts w:ascii="Palatino Linotype" w:hAnsi="Palatino Linotype"/>
          <w:b/>
        </w:rPr>
        <w:lastRenderedPageBreak/>
        <w:t>Artículo 2</w:t>
      </w:r>
      <w:r w:rsidR="00B41DB7" w:rsidRPr="00DF2676">
        <w:rPr>
          <w:rFonts w:ascii="Palatino Linotype" w:hAnsi="Palatino Linotype"/>
          <w:b/>
        </w:rPr>
        <w:t>.-</w:t>
      </w:r>
      <w:r w:rsidR="00B41DB7" w:rsidRPr="00DF2676">
        <w:rPr>
          <w:rFonts w:ascii="Palatino Linotype" w:hAnsi="Palatino Linotype"/>
        </w:rPr>
        <w:t xml:space="preserve"> </w:t>
      </w:r>
      <w:r w:rsidRPr="00DF2676">
        <w:rPr>
          <w:rFonts w:ascii="Palatino Linotype" w:hAnsi="Palatino Linotype"/>
        </w:rPr>
        <w:t xml:space="preserve">La </w:t>
      </w:r>
      <w:r w:rsidRPr="00DF2676">
        <w:rPr>
          <w:rFonts w:ascii="Palatino Linotype" w:hAnsi="Palatino Linotype"/>
          <w:lang w:val="es-EC" w:eastAsia="en-US"/>
        </w:rPr>
        <w:t>Empresa Pública Metropolitana de Hábitat y Vivienda</w:t>
      </w:r>
      <w:r w:rsidR="00B41DB7" w:rsidRPr="00DF2676">
        <w:rPr>
          <w:rFonts w:ascii="Palatino Linotype" w:hAnsi="Palatino Linotype"/>
        </w:rPr>
        <w:t xml:space="preserve">, se encargará de cubrir los gastos generados por </w:t>
      </w:r>
      <w:r w:rsidR="00621306" w:rsidRPr="00DF2676">
        <w:rPr>
          <w:rFonts w:ascii="Palatino Linotype" w:hAnsi="Palatino Linotype"/>
        </w:rPr>
        <w:t xml:space="preserve">concepto </w:t>
      </w:r>
      <w:r w:rsidR="00B41DB7" w:rsidRPr="00DF2676">
        <w:rPr>
          <w:rFonts w:ascii="Palatino Linotype" w:hAnsi="Palatino Linotype"/>
        </w:rPr>
        <w:t>de la transferencia de dominio.</w:t>
      </w:r>
    </w:p>
    <w:p w:rsidR="009B2CC9" w:rsidRPr="00DF2676" w:rsidRDefault="009B2CC9" w:rsidP="00B41DB7">
      <w:pPr>
        <w:autoSpaceDE w:val="0"/>
        <w:autoSpaceDN w:val="0"/>
        <w:adjustRightInd w:val="0"/>
        <w:jc w:val="both"/>
        <w:rPr>
          <w:rFonts w:ascii="Palatino Linotype" w:hAnsi="Palatino Linotype"/>
        </w:rPr>
      </w:pPr>
    </w:p>
    <w:p w:rsidR="009B2CC9" w:rsidRPr="00DF2676" w:rsidRDefault="005C362E" w:rsidP="009B2CC9">
      <w:pPr>
        <w:pStyle w:val="Sinespaciado"/>
        <w:rPr>
          <w:rFonts w:ascii="Palatino Linotype" w:hAnsi="Palatino Linotype"/>
          <w:sz w:val="24"/>
          <w:szCs w:val="24"/>
        </w:rPr>
      </w:pPr>
      <w:r>
        <w:rPr>
          <w:rFonts w:ascii="Palatino Linotype" w:hAnsi="Palatino Linotype"/>
          <w:b/>
          <w:sz w:val="24"/>
          <w:szCs w:val="24"/>
        </w:rPr>
        <w:t>Artículo 3</w:t>
      </w:r>
      <w:r w:rsidR="009B2CC9" w:rsidRPr="00DF2676">
        <w:rPr>
          <w:rFonts w:ascii="Palatino Linotype" w:hAnsi="Palatino Linotype"/>
          <w:b/>
          <w:sz w:val="24"/>
          <w:szCs w:val="24"/>
        </w:rPr>
        <w:t>.-</w:t>
      </w:r>
      <w:r w:rsidR="009B2CC9" w:rsidRPr="00DF2676">
        <w:rPr>
          <w:rFonts w:ascii="Palatino Linotype" w:hAnsi="Palatino Linotype"/>
          <w:sz w:val="24"/>
          <w:szCs w:val="24"/>
        </w:rPr>
        <w:t xml:space="preserve"> Comuníquese a la </w:t>
      </w:r>
      <w:r w:rsidR="007A707D" w:rsidRPr="00DF2676">
        <w:rPr>
          <w:rFonts w:ascii="Palatino Linotype" w:hAnsi="Palatino Linotype"/>
          <w:sz w:val="24"/>
          <w:szCs w:val="24"/>
        </w:rPr>
        <w:t xml:space="preserve">Empresa Pública Metropolitana de Hábitat y Vivienda </w:t>
      </w:r>
      <w:r w:rsidR="009B2CC9" w:rsidRPr="00DF2676">
        <w:rPr>
          <w:rFonts w:ascii="Palatino Linotype" w:hAnsi="Palatino Linotype"/>
          <w:sz w:val="24"/>
          <w:szCs w:val="24"/>
        </w:rPr>
        <w:t xml:space="preserve">y a la </w:t>
      </w:r>
      <w:r w:rsidR="009B2CC9" w:rsidRPr="005A6C01">
        <w:rPr>
          <w:rFonts w:ascii="Palatino Linotype" w:hAnsi="Palatino Linotype"/>
          <w:sz w:val="24"/>
          <w:szCs w:val="24"/>
        </w:rPr>
        <w:t>Procuraduría Metropolitana,</w:t>
      </w:r>
      <w:r w:rsidR="009B2CC9" w:rsidRPr="00DF2676">
        <w:rPr>
          <w:rFonts w:ascii="Palatino Linotype" w:hAnsi="Palatino Linotype"/>
          <w:sz w:val="24"/>
          <w:szCs w:val="24"/>
        </w:rPr>
        <w:t xml:space="preserve"> con la finalidad de que continúen con las acciones necesarias, para el perfeccionamiento de la transferencia de dominio a favor de la </w:t>
      </w:r>
      <w:r w:rsidR="007A707D" w:rsidRPr="00DF2676">
        <w:rPr>
          <w:rFonts w:ascii="Palatino Linotype" w:hAnsi="Palatino Linotype"/>
          <w:sz w:val="24"/>
          <w:szCs w:val="24"/>
        </w:rPr>
        <w:t>EPMHV</w:t>
      </w:r>
      <w:r w:rsidR="009B2CC9" w:rsidRPr="00DF2676">
        <w:rPr>
          <w:rFonts w:ascii="Palatino Linotype" w:hAnsi="Palatino Linotype"/>
          <w:sz w:val="24"/>
          <w:szCs w:val="24"/>
        </w:rPr>
        <w:t xml:space="preserve">. </w:t>
      </w:r>
    </w:p>
    <w:p w:rsidR="00B41DB7" w:rsidRPr="00DF2676" w:rsidRDefault="00B41DB7" w:rsidP="000071CE">
      <w:pPr>
        <w:autoSpaceDE w:val="0"/>
        <w:autoSpaceDN w:val="0"/>
        <w:adjustRightInd w:val="0"/>
        <w:jc w:val="both"/>
        <w:rPr>
          <w:rFonts w:ascii="Palatino Linotype" w:hAnsi="Palatino Linotype"/>
          <w:lang w:val="es-EC" w:eastAsia="en-US"/>
        </w:rPr>
      </w:pPr>
    </w:p>
    <w:p w:rsidR="009B2CC9" w:rsidRPr="00DF2676" w:rsidRDefault="009B2CC9" w:rsidP="009B2CC9">
      <w:pPr>
        <w:pStyle w:val="Sinespaciado"/>
        <w:rPr>
          <w:rFonts w:ascii="Palatino Linotype" w:hAnsi="Palatino Linotype"/>
          <w:sz w:val="24"/>
          <w:szCs w:val="24"/>
        </w:rPr>
      </w:pPr>
      <w:r w:rsidRPr="00DF2676">
        <w:rPr>
          <w:rFonts w:ascii="Palatino Linotype" w:hAnsi="Palatino Linotype"/>
          <w:b/>
          <w:sz w:val="24"/>
          <w:szCs w:val="24"/>
        </w:rPr>
        <w:t xml:space="preserve">Disposición </w:t>
      </w:r>
      <w:proofErr w:type="gramStart"/>
      <w:r w:rsidRPr="00DF2676">
        <w:rPr>
          <w:rFonts w:ascii="Palatino Linotype" w:hAnsi="Palatino Linotype"/>
          <w:b/>
          <w:sz w:val="24"/>
          <w:szCs w:val="24"/>
        </w:rPr>
        <w:t>Final.</w:t>
      </w:r>
      <w:r w:rsidR="00621306" w:rsidRPr="00DF2676">
        <w:rPr>
          <w:rFonts w:ascii="Palatino Linotype" w:hAnsi="Palatino Linotype"/>
          <w:b/>
          <w:sz w:val="24"/>
          <w:szCs w:val="24"/>
        </w:rPr>
        <w:t>-</w:t>
      </w:r>
      <w:proofErr w:type="gramEnd"/>
      <w:r w:rsidRPr="00DF2676">
        <w:rPr>
          <w:rFonts w:ascii="Palatino Linotype" w:hAnsi="Palatino Linotype"/>
          <w:sz w:val="24"/>
          <w:szCs w:val="24"/>
        </w:rPr>
        <w:t xml:space="preserve"> La presente Resolución entrará en vigencia a partir de su sanción, sin perjuicio de su publicación. </w:t>
      </w:r>
    </w:p>
    <w:p w:rsidR="009B2CC9" w:rsidRPr="00DF2676" w:rsidRDefault="009B2CC9" w:rsidP="009B2CC9">
      <w:pPr>
        <w:pStyle w:val="Sinespaciado"/>
        <w:rPr>
          <w:rFonts w:ascii="Palatino Linotype" w:hAnsi="Palatino Linotype"/>
          <w:sz w:val="24"/>
          <w:szCs w:val="24"/>
        </w:rPr>
      </w:pPr>
    </w:p>
    <w:p w:rsidR="00621306" w:rsidRPr="00DF2676" w:rsidRDefault="00621306" w:rsidP="00621306">
      <w:pPr>
        <w:autoSpaceDE w:val="0"/>
        <w:autoSpaceDN w:val="0"/>
        <w:adjustRightInd w:val="0"/>
        <w:jc w:val="both"/>
        <w:rPr>
          <w:rFonts w:ascii="Palatino Linotype" w:hAnsi="Palatino Linotype"/>
          <w:highlight w:val="yellow"/>
        </w:rPr>
      </w:pPr>
      <w:r w:rsidRPr="00DF2676">
        <w:rPr>
          <w:rFonts w:ascii="Palatino Linotype" w:eastAsiaTheme="minorHAnsi" w:hAnsi="Palatino Linotype"/>
          <w:highlight w:val="yellow"/>
          <w:lang w:val="es-EC" w:eastAsia="en-US"/>
        </w:rPr>
        <w:t>Dada en el Distrito Metropolitano de Quito, a los xxx días del mes de xxx del año dos mil veintitrés.</w:t>
      </w:r>
    </w:p>
    <w:p w:rsidR="00621306" w:rsidRPr="00DF2676" w:rsidRDefault="00621306" w:rsidP="00621306">
      <w:pPr>
        <w:autoSpaceDE w:val="0"/>
        <w:autoSpaceDN w:val="0"/>
        <w:adjustRightInd w:val="0"/>
        <w:jc w:val="both"/>
        <w:rPr>
          <w:rFonts w:ascii="Palatino Linotype" w:eastAsiaTheme="minorHAnsi" w:hAnsi="Palatino Linotype"/>
          <w:highlight w:val="yellow"/>
          <w:lang w:val="es-EC" w:eastAsia="en-US"/>
        </w:rPr>
      </w:pPr>
    </w:p>
    <w:p w:rsidR="00621306" w:rsidRPr="00DF2676" w:rsidRDefault="00621306" w:rsidP="00621306">
      <w:pPr>
        <w:jc w:val="both"/>
        <w:rPr>
          <w:rFonts w:ascii="Palatino Linotype" w:hAnsi="Palatino Linotype"/>
          <w:highlight w:val="yellow"/>
        </w:rPr>
      </w:pPr>
      <w:r w:rsidRPr="00DF2676">
        <w:rPr>
          <w:rFonts w:ascii="Palatino Linotype" w:hAnsi="Palatino Linotype"/>
          <w:b/>
          <w:highlight w:val="yellow"/>
        </w:rPr>
        <w:t xml:space="preserve">Alcaldía del Distrito Metropolitano. - </w:t>
      </w:r>
      <w:r w:rsidRPr="00DF2676">
        <w:rPr>
          <w:rFonts w:ascii="Palatino Linotype" w:hAnsi="Palatino Linotype"/>
          <w:highlight w:val="yellow"/>
        </w:rPr>
        <w:t xml:space="preserve">Distrito Metropolitano de Quito, </w:t>
      </w:r>
    </w:p>
    <w:p w:rsidR="00621306" w:rsidRPr="00DF2676" w:rsidRDefault="00621306" w:rsidP="00621306">
      <w:pPr>
        <w:jc w:val="center"/>
        <w:rPr>
          <w:rFonts w:ascii="Palatino Linotype" w:hAnsi="Palatino Linotype"/>
          <w:b/>
          <w:highlight w:val="yellow"/>
        </w:rPr>
      </w:pPr>
    </w:p>
    <w:p w:rsidR="00621306" w:rsidRPr="00DF2676" w:rsidRDefault="00621306" w:rsidP="00621306">
      <w:pPr>
        <w:pStyle w:val="Sinespaciado"/>
        <w:jc w:val="center"/>
        <w:rPr>
          <w:rFonts w:ascii="Palatino Linotype" w:hAnsi="Palatino Linotype" w:cs="Times New Roman"/>
          <w:sz w:val="24"/>
          <w:szCs w:val="24"/>
          <w:highlight w:val="yellow"/>
        </w:rPr>
      </w:pPr>
    </w:p>
    <w:p w:rsidR="00621306" w:rsidRPr="00DF2676" w:rsidRDefault="00621306" w:rsidP="00621306">
      <w:pPr>
        <w:pStyle w:val="Sinespaciado"/>
        <w:jc w:val="center"/>
        <w:rPr>
          <w:rFonts w:ascii="Palatino Linotype" w:hAnsi="Palatino Linotype" w:cs="Times New Roman"/>
          <w:sz w:val="24"/>
          <w:szCs w:val="24"/>
          <w:highlight w:val="yellow"/>
        </w:rPr>
      </w:pPr>
    </w:p>
    <w:p w:rsidR="00621306" w:rsidRPr="00DF2676" w:rsidRDefault="00621306" w:rsidP="00621306">
      <w:pPr>
        <w:pStyle w:val="Sinespaciado"/>
        <w:jc w:val="center"/>
        <w:rPr>
          <w:rFonts w:ascii="Palatino Linotype" w:hAnsi="Palatino Linotype" w:cs="Times New Roman"/>
          <w:sz w:val="24"/>
          <w:szCs w:val="24"/>
          <w:highlight w:val="yellow"/>
        </w:rPr>
      </w:pPr>
      <w:proofErr w:type="spellStart"/>
      <w:r w:rsidRPr="00DF2676">
        <w:rPr>
          <w:rFonts w:ascii="Palatino Linotype" w:hAnsi="Palatino Linotype" w:cs="Times New Roman"/>
          <w:sz w:val="24"/>
          <w:szCs w:val="24"/>
          <w:highlight w:val="yellow"/>
        </w:rPr>
        <w:t>Pabel</w:t>
      </w:r>
      <w:proofErr w:type="spellEnd"/>
      <w:r w:rsidRPr="00DF2676">
        <w:rPr>
          <w:rFonts w:ascii="Palatino Linotype" w:hAnsi="Palatino Linotype" w:cs="Times New Roman"/>
          <w:sz w:val="24"/>
          <w:szCs w:val="24"/>
          <w:highlight w:val="yellow"/>
        </w:rPr>
        <w:t xml:space="preserve"> Muñoz López</w:t>
      </w:r>
    </w:p>
    <w:p w:rsidR="00621306" w:rsidRPr="00DF2676" w:rsidRDefault="00621306" w:rsidP="00621306">
      <w:pPr>
        <w:pStyle w:val="Sinespaciado"/>
        <w:jc w:val="center"/>
        <w:rPr>
          <w:rFonts w:ascii="Palatino Linotype" w:hAnsi="Palatino Linotype" w:cs="Times New Roman"/>
          <w:b/>
          <w:sz w:val="24"/>
          <w:szCs w:val="24"/>
          <w:highlight w:val="yellow"/>
        </w:rPr>
      </w:pPr>
      <w:r w:rsidRPr="00DF2676">
        <w:rPr>
          <w:rFonts w:ascii="Palatino Linotype" w:hAnsi="Palatino Linotype" w:cs="Times New Roman"/>
          <w:b/>
          <w:sz w:val="24"/>
          <w:szCs w:val="24"/>
          <w:highlight w:val="yellow"/>
        </w:rPr>
        <w:t>ALCALDE DEL DISTRITO METROPOLITANO DE QUITO</w:t>
      </w:r>
    </w:p>
    <w:p w:rsidR="00621306" w:rsidRPr="00DF2676" w:rsidRDefault="00621306" w:rsidP="00621306">
      <w:pPr>
        <w:jc w:val="both"/>
        <w:rPr>
          <w:rFonts w:ascii="Palatino Linotype" w:hAnsi="Palatino Linotype"/>
          <w:b/>
          <w:highlight w:val="yellow"/>
        </w:rPr>
      </w:pPr>
    </w:p>
    <w:p w:rsidR="00621306" w:rsidRPr="00DF2676" w:rsidRDefault="00621306" w:rsidP="00621306">
      <w:pPr>
        <w:jc w:val="both"/>
        <w:rPr>
          <w:rFonts w:ascii="Palatino Linotype" w:hAnsi="Palatino Linotype"/>
          <w:highlight w:val="yellow"/>
        </w:rPr>
      </w:pPr>
      <w:r w:rsidRPr="00DF2676">
        <w:rPr>
          <w:rFonts w:ascii="Palatino Linotype" w:hAnsi="Palatino Linotype"/>
          <w:b/>
          <w:highlight w:val="yellow"/>
        </w:rPr>
        <w:t>CERTIFICO,</w:t>
      </w:r>
      <w:r w:rsidRPr="00DF2676">
        <w:rPr>
          <w:rFonts w:ascii="Palatino Linotype" w:hAnsi="Palatino Linotype"/>
          <w:highlight w:val="yellow"/>
        </w:rPr>
        <w:t xml:space="preserve"> que la presente resolución fue discutida y aprobada en sesión pública No. </w:t>
      </w:r>
      <w:proofErr w:type="spellStart"/>
      <w:r w:rsidRPr="00DF2676">
        <w:rPr>
          <w:rFonts w:ascii="Palatino Linotype" w:hAnsi="Palatino Linotype"/>
          <w:highlight w:val="yellow"/>
        </w:rPr>
        <w:t>Xxxxx</w:t>
      </w:r>
      <w:proofErr w:type="spellEnd"/>
      <w:r w:rsidRPr="00DF2676">
        <w:rPr>
          <w:rFonts w:ascii="Palatino Linotype" w:hAnsi="Palatino Linotype"/>
          <w:highlight w:val="yellow"/>
        </w:rPr>
        <w:t xml:space="preserve"> ordinaria del Concejo Metropolitano de Quito, el XXXXXXXXXXX; y, suscrita por el señor </w:t>
      </w:r>
      <w:proofErr w:type="spellStart"/>
      <w:r w:rsidRPr="00DF2676">
        <w:rPr>
          <w:rFonts w:ascii="Palatino Linotype" w:hAnsi="Palatino Linotype"/>
          <w:highlight w:val="yellow"/>
        </w:rPr>
        <w:t>Pabel</w:t>
      </w:r>
      <w:proofErr w:type="spellEnd"/>
      <w:r w:rsidRPr="00DF2676">
        <w:rPr>
          <w:rFonts w:ascii="Palatino Linotype" w:hAnsi="Palatino Linotype"/>
          <w:highlight w:val="yellow"/>
        </w:rPr>
        <w:t xml:space="preserve"> Muñoz López, Alcalde del Distrito Metropolitano de Quito, el XXXXXXXXXXX de XXXXXXX de 2023.</w:t>
      </w:r>
    </w:p>
    <w:p w:rsidR="00621306" w:rsidRPr="00DF2676" w:rsidRDefault="00621306" w:rsidP="00621306">
      <w:pPr>
        <w:jc w:val="both"/>
        <w:rPr>
          <w:rFonts w:ascii="Palatino Linotype" w:hAnsi="Palatino Linotype"/>
          <w:b/>
          <w:highlight w:val="yellow"/>
        </w:rPr>
      </w:pPr>
    </w:p>
    <w:p w:rsidR="00621306" w:rsidRPr="00DF2676" w:rsidRDefault="00621306" w:rsidP="00621306">
      <w:pPr>
        <w:jc w:val="both"/>
        <w:rPr>
          <w:rFonts w:ascii="Palatino Linotype" w:hAnsi="Palatino Linotype"/>
        </w:rPr>
      </w:pPr>
      <w:r w:rsidRPr="00DF2676">
        <w:rPr>
          <w:rFonts w:ascii="Palatino Linotype" w:hAnsi="Palatino Linotype"/>
          <w:b/>
          <w:highlight w:val="yellow"/>
        </w:rPr>
        <w:t>Lo</w:t>
      </w:r>
      <w:r w:rsidRPr="00DF2676">
        <w:rPr>
          <w:rFonts w:ascii="Palatino Linotype" w:hAnsi="Palatino Linotype"/>
          <w:b/>
          <w:spacing w:val="9"/>
          <w:highlight w:val="yellow"/>
        </w:rPr>
        <w:t xml:space="preserve"> </w:t>
      </w:r>
      <w:r w:rsidRPr="00DF2676">
        <w:rPr>
          <w:rFonts w:ascii="Palatino Linotype" w:hAnsi="Palatino Linotype"/>
          <w:b/>
          <w:highlight w:val="yellow"/>
        </w:rPr>
        <w:t>certifico.</w:t>
      </w:r>
      <w:r w:rsidRPr="00DF2676">
        <w:rPr>
          <w:rFonts w:ascii="Palatino Linotype" w:hAnsi="Palatino Linotype"/>
          <w:b/>
          <w:spacing w:val="6"/>
          <w:highlight w:val="yellow"/>
        </w:rPr>
        <w:t xml:space="preserve"> </w:t>
      </w:r>
      <w:r w:rsidRPr="00DF2676">
        <w:rPr>
          <w:rFonts w:ascii="Palatino Linotype" w:hAnsi="Palatino Linotype"/>
          <w:b/>
          <w:highlight w:val="yellow"/>
        </w:rPr>
        <w:t>-</w:t>
      </w:r>
      <w:r w:rsidRPr="00DF2676">
        <w:rPr>
          <w:rFonts w:ascii="Palatino Linotype" w:hAnsi="Palatino Linotype"/>
          <w:b/>
          <w:spacing w:val="-2"/>
          <w:highlight w:val="yellow"/>
        </w:rPr>
        <w:t xml:space="preserve"> </w:t>
      </w:r>
      <w:r w:rsidRPr="00DF2676">
        <w:rPr>
          <w:rFonts w:ascii="Palatino Linotype" w:hAnsi="Palatino Linotype"/>
          <w:highlight w:val="yellow"/>
        </w:rPr>
        <w:t>Distrito</w:t>
      </w:r>
      <w:r w:rsidRPr="00DF2676">
        <w:rPr>
          <w:rFonts w:ascii="Palatino Linotype" w:hAnsi="Palatino Linotype"/>
          <w:spacing w:val="-4"/>
          <w:highlight w:val="yellow"/>
        </w:rPr>
        <w:t xml:space="preserve"> </w:t>
      </w:r>
      <w:r w:rsidRPr="00DF2676">
        <w:rPr>
          <w:rFonts w:ascii="Palatino Linotype" w:hAnsi="Palatino Linotype"/>
          <w:highlight w:val="yellow"/>
        </w:rPr>
        <w:t>Metropolitano</w:t>
      </w:r>
      <w:r w:rsidRPr="00DF2676">
        <w:rPr>
          <w:rFonts w:ascii="Palatino Linotype" w:hAnsi="Palatino Linotype"/>
          <w:spacing w:val="-5"/>
          <w:highlight w:val="yellow"/>
        </w:rPr>
        <w:t xml:space="preserve"> </w:t>
      </w:r>
      <w:r w:rsidRPr="00DF2676">
        <w:rPr>
          <w:rFonts w:ascii="Palatino Linotype" w:hAnsi="Palatino Linotype"/>
          <w:highlight w:val="yellow"/>
        </w:rPr>
        <w:t>de</w:t>
      </w:r>
      <w:r w:rsidRPr="00DF2676">
        <w:rPr>
          <w:rFonts w:ascii="Palatino Linotype" w:hAnsi="Palatino Linotype"/>
          <w:spacing w:val="-5"/>
          <w:highlight w:val="yellow"/>
        </w:rPr>
        <w:t xml:space="preserve"> </w:t>
      </w:r>
      <w:r w:rsidRPr="00DF2676">
        <w:rPr>
          <w:rFonts w:ascii="Palatino Linotype" w:hAnsi="Palatino Linotype"/>
          <w:highlight w:val="yellow"/>
        </w:rPr>
        <w:t>Quito,</w:t>
      </w:r>
      <w:r w:rsidRPr="00DF2676">
        <w:rPr>
          <w:rFonts w:ascii="Palatino Linotype" w:hAnsi="Palatino Linotype"/>
          <w:spacing w:val="2"/>
          <w:highlight w:val="yellow"/>
        </w:rPr>
        <w:t xml:space="preserve"> </w:t>
      </w:r>
      <w:r w:rsidRPr="00DF2676">
        <w:rPr>
          <w:rFonts w:ascii="Palatino Linotype" w:hAnsi="Palatino Linotype"/>
          <w:highlight w:val="yellow"/>
        </w:rPr>
        <w:t>el XXX</w:t>
      </w:r>
      <w:r w:rsidRPr="00DF2676">
        <w:rPr>
          <w:rFonts w:ascii="Palatino Linotype" w:hAnsi="Palatino Linotype"/>
          <w:spacing w:val="7"/>
          <w:highlight w:val="yellow"/>
        </w:rPr>
        <w:t xml:space="preserve"> </w:t>
      </w:r>
      <w:r w:rsidRPr="00DF2676">
        <w:rPr>
          <w:rFonts w:ascii="Palatino Linotype" w:hAnsi="Palatino Linotype"/>
          <w:highlight w:val="yellow"/>
        </w:rPr>
        <w:t>de</w:t>
      </w:r>
      <w:r w:rsidRPr="00DF2676">
        <w:rPr>
          <w:rFonts w:ascii="Palatino Linotype" w:hAnsi="Palatino Linotype"/>
          <w:spacing w:val="-5"/>
          <w:highlight w:val="yellow"/>
        </w:rPr>
        <w:t xml:space="preserve"> </w:t>
      </w:r>
      <w:r w:rsidRPr="00DF2676">
        <w:rPr>
          <w:rFonts w:ascii="Palatino Linotype" w:hAnsi="Palatino Linotype"/>
          <w:highlight w:val="yellow"/>
        </w:rPr>
        <w:t>XXX</w:t>
      </w:r>
      <w:r w:rsidRPr="00DF2676">
        <w:rPr>
          <w:rFonts w:ascii="Palatino Linotype" w:hAnsi="Palatino Linotype"/>
          <w:spacing w:val="-5"/>
          <w:highlight w:val="yellow"/>
        </w:rPr>
        <w:t xml:space="preserve"> </w:t>
      </w:r>
      <w:r w:rsidRPr="00DF2676">
        <w:rPr>
          <w:rFonts w:ascii="Palatino Linotype" w:hAnsi="Palatino Linotype"/>
          <w:highlight w:val="yellow"/>
        </w:rPr>
        <w:t>de</w:t>
      </w:r>
      <w:r w:rsidRPr="00DF2676">
        <w:rPr>
          <w:rFonts w:ascii="Palatino Linotype" w:hAnsi="Palatino Linotype"/>
          <w:spacing w:val="13"/>
          <w:highlight w:val="yellow"/>
        </w:rPr>
        <w:t xml:space="preserve"> </w:t>
      </w:r>
      <w:r w:rsidRPr="00DF2676">
        <w:rPr>
          <w:rFonts w:ascii="Palatino Linotype" w:hAnsi="Palatino Linotype"/>
          <w:highlight w:val="yellow"/>
        </w:rPr>
        <w:t>2023.</w:t>
      </w:r>
    </w:p>
    <w:p w:rsidR="00621306" w:rsidRPr="00DF2676" w:rsidRDefault="00621306" w:rsidP="00621306">
      <w:pPr>
        <w:jc w:val="both"/>
        <w:rPr>
          <w:rFonts w:ascii="Palatino Linotype" w:hAnsi="Palatino Linotype"/>
          <w:highlight w:val="yellow"/>
        </w:rPr>
      </w:pPr>
    </w:p>
    <w:p w:rsidR="00621306" w:rsidRPr="00DF2676" w:rsidRDefault="00621306" w:rsidP="00621306">
      <w:pPr>
        <w:rPr>
          <w:rFonts w:ascii="Palatino Linotype" w:hAnsi="Palatino Linotype"/>
          <w:highlight w:val="yellow"/>
        </w:rPr>
      </w:pPr>
    </w:p>
    <w:p w:rsidR="00621306" w:rsidRPr="00DF2676" w:rsidRDefault="00621306" w:rsidP="00621306">
      <w:pPr>
        <w:jc w:val="both"/>
        <w:rPr>
          <w:rFonts w:ascii="Palatino Linotype" w:hAnsi="Palatino Linotype"/>
          <w:highlight w:val="yellow"/>
        </w:rPr>
      </w:pPr>
    </w:p>
    <w:p w:rsidR="00621306" w:rsidRPr="00DF2676" w:rsidRDefault="00621306" w:rsidP="00621306">
      <w:pPr>
        <w:pStyle w:val="Sinespaciado"/>
        <w:jc w:val="center"/>
        <w:rPr>
          <w:rFonts w:ascii="Palatino Linotype" w:hAnsi="Palatino Linotype" w:cs="Times New Roman"/>
          <w:sz w:val="24"/>
          <w:szCs w:val="24"/>
          <w:highlight w:val="yellow"/>
        </w:rPr>
      </w:pPr>
      <w:r w:rsidRPr="00DF2676">
        <w:rPr>
          <w:rFonts w:ascii="Palatino Linotype" w:hAnsi="Palatino Linotype" w:cs="Times New Roman"/>
          <w:sz w:val="24"/>
          <w:szCs w:val="24"/>
          <w:highlight w:val="yellow"/>
        </w:rPr>
        <w:t>Dra. Libia Rivas Ordóñez</w:t>
      </w:r>
    </w:p>
    <w:p w:rsidR="00621306" w:rsidRPr="00DF2676" w:rsidRDefault="00621306" w:rsidP="00621306">
      <w:pPr>
        <w:pStyle w:val="Sinespaciado"/>
        <w:jc w:val="center"/>
        <w:rPr>
          <w:rFonts w:ascii="Palatino Linotype" w:hAnsi="Palatino Linotype" w:cs="Times New Roman"/>
          <w:sz w:val="24"/>
          <w:szCs w:val="24"/>
        </w:rPr>
      </w:pPr>
      <w:r w:rsidRPr="00DF2676">
        <w:rPr>
          <w:rFonts w:ascii="Palatino Linotype" w:hAnsi="Palatino Linotype" w:cs="Times New Roman"/>
          <w:b/>
          <w:sz w:val="24"/>
          <w:szCs w:val="24"/>
          <w:highlight w:val="yellow"/>
        </w:rPr>
        <w:t>SECRETARIA GENERAL DEL CONCEJO METROPOLITANO DE QUITO</w:t>
      </w:r>
      <w:r w:rsidRPr="00DF2676">
        <w:rPr>
          <w:rFonts w:ascii="Palatino Linotype" w:hAnsi="Palatino Linotype" w:cs="Times New Roman"/>
          <w:b/>
          <w:sz w:val="24"/>
          <w:szCs w:val="24"/>
        </w:rPr>
        <w:t xml:space="preserve"> </w:t>
      </w:r>
    </w:p>
    <w:p w:rsidR="000071CE" w:rsidRPr="00DF2676" w:rsidRDefault="000071CE" w:rsidP="000071CE">
      <w:pPr>
        <w:jc w:val="both"/>
        <w:rPr>
          <w:rFonts w:ascii="Palatino Linotype" w:hAnsi="Palatino Linotype"/>
          <w:highlight w:val="yellow"/>
        </w:rPr>
      </w:pPr>
    </w:p>
    <w:p w:rsidR="000071CE" w:rsidRPr="00DF2676" w:rsidRDefault="000071CE" w:rsidP="000071CE">
      <w:pPr>
        <w:rPr>
          <w:rFonts w:ascii="Palatino Linotype" w:hAnsi="Palatino Linotype"/>
          <w:highlight w:val="yellow"/>
        </w:rPr>
      </w:pPr>
    </w:p>
    <w:p w:rsidR="000071CE" w:rsidRPr="00DF2676" w:rsidRDefault="000071CE" w:rsidP="000071CE">
      <w:pPr>
        <w:jc w:val="both"/>
        <w:rPr>
          <w:rFonts w:ascii="Palatino Linotype" w:hAnsi="Palatino Linotype"/>
          <w:highlight w:val="yellow"/>
        </w:rPr>
      </w:pPr>
    </w:p>
    <w:sectPr w:rsidR="000071CE" w:rsidRPr="00DF2676"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5F" w:rsidRDefault="0066295F">
      <w:r>
        <w:separator/>
      </w:r>
    </w:p>
  </w:endnote>
  <w:endnote w:type="continuationSeparator" w:id="0">
    <w:p w:rsidR="0066295F" w:rsidRDefault="0066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5F" w:rsidRDefault="0066295F">
      <w:r>
        <w:separator/>
      </w:r>
    </w:p>
  </w:footnote>
  <w:footnote w:type="continuationSeparator" w:id="0">
    <w:p w:rsidR="0066295F" w:rsidRDefault="006629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700480"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700CD05D" wp14:editId="36A2722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700480"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00CD05D"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700480"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66295F" w:rsidP="00A745FE">
    <w:pPr>
      <w:ind w:left="5"/>
      <w:rPr>
        <w:rFonts w:ascii="Palatino Linotype" w:hAnsi="Palatino Linotype" w:cs="Palatino Linotype"/>
        <w:b/>
        <w:color w:val="000000"/>
        <w:szCs w:val="22"/>
        <w:lang w:val="en-US" w:eastAsia="en-US"/>
      </w:rPr>
    </w:pPr>
  </w:p>
  <w:p w:rsidR="00A745FE" w:rsidRDefault="0066295F" w:rsidP="00A745FE">
    <w:pPr>
      <w:pStyle w:val="Encabezado"/>
      <w:rPr>
        <w:rFonts w:ascii="Palatino Linotype" w:hAnsi="Palatino Linotype" w:cs="Palatino Linotype"/>
        <w:b/>
        <w:color w:val="000000"/>
        <w:szCs w:val="22"/>
        <w:lang w:val="en-US" w:eastAsia="en-US"/>
      </w:rPr>
    </w:pPr>
  </w:p>
  <w:p w:rsidR="00A745FE" w:rsidRDefault="0066295F" w:rsidP="00A745FE">
    <w:pPr>
      <w:pStyle w:val="Encabezado"/>
      <w:rPr>
        <w:rFonts w:ascii="Palatino Linotype" w:hAnsi="Palatino Linotype" w:cs="Palatino Linotype"/>
        <w:b/>
        <w:color w:val="000000"/>
        <w:szCs w:val="22"/>
        <w:lang w:val="en-US" w:eastAsia="en-US"/>
      </w:rPr>
    </w:pPr>
  </w:p>
  <w:p w:rsidR="004C21C5" w:rsidRDefault="0066295F" w:rsidP="00A745FE">
    <w:pPr>
      <w:pStyle w:val="Encabezado"/>
      <w:jc w:val="center"/>
      <w:rPr>
        <w:rFonts w:ascii="Palatino Linotype" w:hAnsi="Palatino Linotype" w:cs="Palatino Linotype"/>
        <w:b/>
        <w:color w:val="000000"/>
        <w:szCs w:val="22"/>
        <w:lang w:val="en-US" w:eastAsia="en-US"/>
      </w:rPr>
    </w:pPr>
  </w:p>
  <w:p w:rsidR="004C21C5" w:rsidRDefault="00700480"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700480"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66295F"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CE"/>
    <w:rsid w:val="000071CE"/>
    <w:rsid w:val="00112CAF"/>
    <w:rsid w:val="001D624B"/>
    <w:rsid w:val="001E3CA2"/>
    <w:rsid w:val="001F3120"/>
    <w:rsid w:val="00204B84"/>
    <w:rsid w:val="002246B9"/>
    <w:rsid w:val="002361A4"/>
    <w:rsid w:val="0026029C"/>
    <w:rsid w:val="002B068B"/>
    <w:rsid w:val="002C14AA"/>
    <w:rsid w:val="003434C1"/>
    <w:rsid w:val="00365DDC"/>
    <w:rsid w:val="00371F11"/>
    <w:rsid w:val="0038325A"/>
    <w:rsid w:val="003C03FE"/>
    <w:rsid w:val="003E0810"/>
    <w:rsid w:val="003F2C71"/>
    <w:rsid w:val="00422523"/>
    <w:rsid w:val="00426B8B"/>
    <w:rsid w:val="00444032"/>
    <w:rsid w:val="00454FBC"/>
    <w:rsid w:val="00466869"/>
    <w:rsid w:val="00477C1E"/>
    <w:rsid w:val="004B502A"/>
    <w:rsid w:val="004B672B"/>
    <w:rsid w:val="004D1DE6"/>
    <w:rsid w:val="004D229D"/>
    <w:rsid w:val="00507B97"/>
    <w:rsid w:val="00522B32"/>
    <w:rsid w:val="0056220B"/>
    <w:rsid w:val="005A6C01"/>
    <w:rsid w:val="005C362E"/>
    <w:rsid w:val="00621306"/>
    <w:rsid w:val="00631460"/>
    <w:rsid w:val="00635B1E"/>
    <w:rsid w:val="00653087"/>
    <w:rsid w:val="0066295F"/>
    <w:rsid w:val="006718CD"/>
    <w:rsid w:val="0067513C"/>
    <w:rsid w:val="006B1D5D"/>
    <w:rsid w:val="006D7366"/>
    <w:rsid w:val="006F2F4A"/>
    <w:rsid w:val="00700480"/>
    <w:rsid w:val="00711CEC"/>
    <w:rsid w:val="00760167"/>
    <w:rsid w:val="00763378"/>
    <w:rsid w:val="007635A9"/>
    <w:rsid w:val="007A707D"/>
    <w:rsid w:val="00817879"/>
    <w:rsid w:val="00837D1B"/>
    <w:rsid w:val="008468C6"/>
    <w:rsid w:val="0087224C"/>
    <w:rsid w:val="00883F6B"/>
    <w:rsid w:val="008A7E15"/>
    <w:rsid w:val="008D0912"/>
    <w:rsid w:val="00960CF2"/>
    <w:rsid w:val="00960E12"/>
    <w:rsid w:val="009B2CC9"/>
    <w:rsid w:val="009B381C"/>
    <w:rsid w:val="00A27614"/>
    <w:rsid w:val="00A3372D"/>
    <w:rsid w:val="00A83ED4"/>
    <w:rsid w:val="00AA006C"/>
    <w:rsid w:val="00AA3EEA"/>
    <w:rsid w:val="00AA4617"/>
    <w:rsid w:val="00AB574A"/>
    <w:rsid w:val="00B2784F"/>
    <w:rsid w:val="00B27B6D"/>
    <w:rsid w:val="00B41DB7"/>
    <w:rsid w:val="00B57C99"/>
    <w:rsid w:val="00B60DAE"/>
    <w:rsid w:val="00B669D0"/>
    <w:rsid w:val="00BB3FE3"/>
    <w:rsid w:val="00BD48E0"/>
    <w:rsid w:val="00C10CCA"/>
    <w:rsid w:val="00C44EC3"/>
    <w:rsid w:val="00CA392E"/>
    <w:rsid w:val="00CA64BA"/>
    <w:rsid w:val="00CA7C32"/>
    <w:rsid w:val="00CF7C56"/>
    <w:rsid w:val="00D224A1"/>
    <w:rsid w:val="00D330F8"/>
    <w:rsid w:val="00D47606"/>
    <w:rsid w:val="00D66F7D"/>
    <w:rsid w:val="00D9439C"/>
    <w:rsid w:val="00D96D2E"/>
    <w:rsid w:val="00DA72C0"/>
    <w:rsid w:val="00DD2F7E"/>
    <w:rsid w:val="00DF190C"/>
    <w:rsid w:val="00DF2676"/>
    <w:rsid w:val="00E57AC5"/>
    <w:rsid w:val="00E66674"/>
    <w:rsid w:val="00E67FE3"/>
    <w:rsid w:val="00E75742"/>
    <w:rsid w:val="00E90956"/>
    <w:rsid w:val="00EA786B"/>
    <w:rsid w:val="00EB7E53"/>
    <w:rsid w:val="00F30D3E"/>
    <w:rsid w:val="00F6554C"/>
    <w:rsid w:val="00F8284F"/>
    <w:rsid w:val="00FB742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10A2"/>
  <w15:chartTrackingRefBased/>
  <w15:docId w15:val="{D924258A-888C-4F11-9CDD-3038A9FB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0071CE"/>
  </w:style>
  <w:style w:type="paragraph" w:styleId="Sinespaciado">
    <w:name w:val="No Spacing"/>
    <w:basedOn w:val="Normal"/>
    <w:link w:val="SinespaciadoCar"/>
    <w:uiPriority w:val="1"/>
    <w:qFormat/>
    <w:rsid w:val="000071CE"/>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0071CE"/>
    <w:pPr>
      <w:tabs>
        <w:tab w:val="center" w:pos="4252"/>
        <w:tab w:val="right" w:pos="8504"/>
      </w:tabs>
    </w:pPr>
  </w:style>
  <w:style w:type="character" w:customStyle="1" w:styleId="EncabezadoCar">
    <w:name w:val="Encabezado Car"/>
    <w:basedOn w:val="Fuentedeprrafopredeter"/>
    <w:link w:val="Encabezado"/>
    <w:uiPriority w:val="99"/>
    <w:rsid w:val="000071CE"/>
    <w:rPr>
      <w:rFonts w:ascii="Times New Roman" w:eastAsia="Times New Roman" w:hAnsi="Times New Roman" w:cs="Times New Roman"/>
      <w:sz w:val="24"/>
      <w:szCs w:val="24"/>
      <w:lang w:val="es-ES" w:eastAsia="es-ES"/>
    </w:rPr>
  </w:style>
  <w:style w:type="character" w:customStyle="1" w:styleId="nrmar">
    <w:name w:val="nrmar"/>
    <w:basedOn w:val="Fuentedeprrafopredeter"/>
    <w:rsid w:val="000071CE"/>
  </w:style>
  <w:style w:type="paragraph" w:customStyle="1" w:styleId="Default">
    <w:name w:val="Default"/>
    <w:rsid w:val="00E90956"/>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B57C99"/>
    <w:pPr>
      <w:tabs>
        <w:tab w:val="center" w:pos="4252"/>
        <w:tab w:val="right" w:pos="8504"/>
      </w:tabs>
    </w:pPr>
  </w:style>
  <w:style w:type="character" w:customStyle="1" w:styleId="PiedepginaCar">
    <w:name w:val="Pie de página Car"/>
    <w:basedOn w:val="Fuentedeprrafopredeter"/>
    <w:link w:val="Piedepgina"/>
    <w:uiPriority w:val="99"/>
    <w:rsid w:val="00B57C9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Pablo Saul Solorzano Salinas</cp:lastModifiedBy>
  <cp:revision>11</cp:revision>
  <dcterms:created xsi:type="dcterms:W3CDTF">2023-11-01T16:36:00Z</dcterms:created>
  <dcterms:modified xsi:type="dcterms:W3CDTF">2023-11-18T03:05:00Z</dcterms:modified>
</cp:coreProperties>
</file>