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64C" w:rsidRPr="00E27D20" w:rsidRDefault="00B1285F" w:rsidP="00BA364C">
      <w:pPr>
        <w:autoSpaceDE w:val="0"/>
        <w:autoSpaceDN w:val="0"/>
        <w:adjustRightInd w:val="0"/>
        <w:jc w:val="center"/>
        <w:rPr>
          <w:rFonts w:ascii="Century Gothic" w:hAnsi="Century Gothic"/>
          <w:sz w:val="22"/>
          <w:szCs w:val="22"/>
        </w:rPr>
      </w:pPr>
      <w:r>
        <w:rPr>
          <w:rFonts w:ascii="Century Gothic" w:hAnsi="Century Gothic"/>
          <w:sz w:val="22"/>
          <w:szCs w:val="22"/>
        </w:rPr>
        <w:t>RESOLUCIÓN No. C XXX - 2023</w:t>
      </w:r>
      <w:r w:rsidR="00BA364C" w:rsidRPr="00E27D20">
        <w:rPr>
          <w:rFonts w:ascii="Century Gothic" w:hAnsi="Century Gothic"/>
          <w:sz w:val="22"/>
          <w:szCs w:val="22"/>
        </w:rPr>
        <w:t xml:space="preserve"> </w:t>
      </w:r>
    </w:p>
    <w:p w:rsidR="00BA364C" w:rsidRPr="00E27D20" w:rsidRDefault="00BA364C" w:rsidP="00BA364C">
      <w:pPr>
        <w:autoSpaceDE w:val="0"/>
        <w:autoSpaceDN w:val="0"/>
        <w:adjustRightInd w:val="0"/>
        <w:jc w:val="center"/>
        <w:rPr>
          <w:rFonts w:ascii="Century Gothic" w:hAnsi="Century Gothic"/>
          <w:sz w:val="22"/>
          <w:szCs w:val="22"/>
        </w:rPr>
      </w:pPr>
    </w:p>
    <w:p w:rsidR="00BA364C" w:rsidRPr="00E27D20" w:rsidRDefault="00BA364C" w:rsidP="00BA364C">
      <w:pPr>
        <w:autoSpaceDE w:val="0"/>
        <w:autoSpaceDN w:val="0"/>
        <w:adjustRightInd w:val="0"/>
        <w:jc w:val="center"/>
        <w:rPr>
          <w:rFonts w:ascii="Century Gothic" w:hAnsi="Century Gothic"/>
          <w:b/>
          <w:sz w:val="22"/>
          <w:szCs w:val="22"/>
        </w:rPr>
      </w:pPr>
      <w:r w:rsidRPr="00E27D20">
        <w:rPr>
          <w:rFonts w:ascii="Century Gothic" w:hAnsi="Century Gothic"/>
          <w:b/>
          <w:sz w:val="22"/>
          <w:szCs w:val="22"/>
        </w:rPr>
        <w:t>EL CONCEJO METROPOLITANO DE QUITO</w:t>
      </w:r>
    </w:p>
    <w:p w:rsidR="00BA364C" w:rsidRPr="00E27D20" w:rsidRDefault="00BA364C" w:rsidP="00BA364C">
      <w:pPr>
        <w:autoSpaceDE w:val="0"/>
        <w:autoSpaceDN w:val="0"/>
        <w:adjustRightInd w:val="0"/>
        <w:jc w:val="center"/>
        <w:rPr>
          <w:rFonts w:ascii="Century Gothic" w:hAnsi="Century Gothic"/>
          <w:sz w:val="22"/>
          <w:szCs w:val="22"/>
        </w:rPr>
      </w:pPr>
    </w:p>
    <w:p w:rsidR="00BA364C" w:rsidRPr="00E27D20" w:rsidRDefault="00BA364C" w:rsidP="00BA364C">
      <w:pPr>
        <w:autoSpaceDE w:val="0"/>
        <w:autoSpaceDN w:val="0"/>
        <w:adjustRightInd w:val="0"/>
        <w:jc w:val="center"/>
        <w:rPr>
          <w:rFonts w:ascii="Century Gothic" w:hAnsi="Century Gothic"/>
          <w:b/>
          <w:sz w:val="22"/>
          <w:szCs w:val="22"/>
        </w:rPr>
      </w:pPr>
      <w:r w:rsidRPr="00E27D20">
        <w:rPr>
          <w:rFonts w:ascii="Century Gothic" w:hAnsi="Century Gothic"/>
          <w:b/>
          <w:sz w:val="22"/>
          <w:szCs w:val="22"/>
        </w:rPr>
        <w:t xml:space="preserve"> CONSIDERANDO:</w:t>
      </w:r>
    </w:p>
    <w:p w:rsidR="00BA364C" w:rsidRPr="00E27D20" w:rsidRDefault="00BA364C" w:rsidP="00BA364C">
      <w:pPr>
        <w:autoSpaceDE w:val="0"/>
        <w:autoSpaceDN w:val="0"/>
        <w:adjustRightInd w:val="0"/>
        <w:jc w:val="center"/>
        <w:rPr>
          <w:rFonts w:ascii="Century Gothic" w:hAnsi="Century Gothic"/>
          <w:sz w:val="22"/>
          <w:szCs w:val="22"/>
        </w:rPr>
      </w:pPr>
    </w:p>
    <w:p w:rsidR="00BA364C" w:rsidRPr="00E27D20" w:rsidRDefault="00BA364C" w:rsidP="00BA364C">
      <w:pPr>
        <w:autoSpaceDE w:val="0"/>
        <w:autoSpaceDN w:val="0"/>
        <w:adjustRightInd w:val="0"/>
        <w:ind w:left="709" w:hanging="709"/>
        <w:jc w:val="both"/>
        <w:rPr>
          <w:rFonts w:ascii="Century Gothic" w:eastAsiaTheme="minorHAnsi" w:hAnsi="Century Gothic"/>
          <w:sz w:val="22"/>
          <w:szCs w:val="22"/>
          <w:lang w:val="es-EC" w:eastAsia="en-US"/>
        </w:rPr>
      </w:pPr>
    </w:p>
    <w:p w:rsidR="00BA364C" w:rsidRPr="00C8283F" w:rsidRDefault="00BA364C" w:rsidP="00BA364C">
      <w:pPr>
        <w:ind w:left="700" w:hanging="709"/>
        <w:jc w:val="both"/>
        <w:rPr>
          <w:rFonts w:ascii="Century Gothic" w:hAnsi="Century Gothic"/>
          <w:sz w:val="22"/>
          <w:szCs w:val="22"/>
          <w:lang w:val="es-ES_tradnl" w:eastAsia="ar-SA"/>
        </w:rPr>
      </w:pPr>
      <w:r w:rsidRPr="00C8283F">
        <w:rPr>
          <w:rFonts w:ascii="Century Gothic" w:hAnsi="Century Gothic"/>
          <w:b/>
          <w:bCs/>
          <w:sz w:val="22"/>
          <w:szCs w:val="22"/>
          <w:lang w:val="es-ES_tradnl" w:eastAsia="ar-SA"/>
        </w:rPr>
        <w:t>Que,</w:t>
      </w:r>
      <w:r w:rsidRPr="00C8283F">
        <w:rPr>
          <w:rFonts w:ascii="Century Gothic" w:hAnsi="Century Gothic"/>
          <w:sz w:val="22"/>
          <w:szCs w:val="22"/>
          <w:lang w:val="es-ES_tradnl" w:eastAsia="ar-SA"/>
        </w:rPr>
        <w:tab/>
        <w:t>el art. 226 de la Constitución de la República (la «</w:t>
      </w:r>
      <w:r w:rsidRPr="00C8283F">
        <w:rPr>
          <w:rFonts w:ascii="Century Gothic" w:hAnsi="Century Gothic"/>
          <w:sz w:val="22"/>
          <w:szCs w:val="22"/>
          <w:u w:val="single"/>
          <w:lang w:val="es-ES_tradnl" w:eastAsia="ar-SA"/>
        </w:rPr>
        <w:t>Constitución</w:t>
      </w:r>
      <w:r w:rsidRPr="00C8283F">
        <w:rPr>
          <w:rFonts w:ascii="Century Gothic" w:hAnsi="Century Gothic"/>
          <w:sz w:val="22"/>
          <w:szCs w:val="22"/>
          <w:lang w:val="es-ES_tradnl" w:eastAsia="ar-SA"/>
        </w:rPr>
        <w:t>»), establece que las instituciones del Estado, sus organismos, dependencias, las servidoras o servidores públicos y las personas que actúen en virtud de una potestad estatal ejercerán solamente las competencias y facultades que les sean atribuidas en la Constitución y la ley;</w:t>
      </w:r>
    </w:p>
    <w:p w:rsidR="00BA364C" w:rsidRPr="00C8283F" w:rsidRDefault="00BA364C" w:rsidP="00BA364C">
      <w:pPr>
        <w:ind w:left="700" w:hanging="709"/>
        <w:jc w:val="both"/>
        <w:rPr>
          <w:rFonts w:ascii="Century Gothic" w:hAnsi="Century Gothic"/>
          <w:sz w:val="22"/>
          <w:szCs w:val="22"/>
          <w:lang w:val="es-ES_tradnl" w:eastAsia="ar-SA"/>
        </w:rPr>
      </w:pPr>
    </w:p>
    <w:p w:rsidR="00BA364C" w:rsidRPr="00C8283F" w:rsidRDefault="00BA364C" w:rsidP="00BA364C">
      <w:pPr>
        <w:ind w:left="700" w:hanging="709"/>
        <w:jc w:val="both"/>
        <w:rPr>
          <w:rFonts w:ascii="Century Gothic" w:hAnsi="Century Gothic"/>
          <w:iCs/>
          <w:sz w:val="22"/>
          <w:szCs w:val="22"/>
          <w:lang w:val="es-ES_tradnl" w:eastAsia="ar-SA"/>
        </w:rPr>
      </w:pPr>
      <w:r w:rsidRPr="00C8283F">
        <w:rPr>
          <w:rFonts w:ascii="Century Gothic" w:hAnsi="Century Gothic"/>
          <w:b/>
          <w:bCs/>
          <w:sz w:val="22"/>
          <w:szCs w:val="22"/>
          <w:lang w:val="es-ES_tradnl" w:eastAsia="ar-SA"/>
        </w:rPr>
        <w:t>Que,</w:t>
      </w:r>
      <w:r w:rsidRPr="00C8283F">
        <w:rPr>
          <w:rFonts w:ascii="Century Gothic" w:hAnsi="Century Gothic"/>
          <w:sz w:val="22"/>
          <w:szCs w:val="22"/>
          <w:lang w:val="es-ES_tradnl" w:eastAsia="ar-SA"/>
        </w:rPr>
        <w:t xml:space="preserve"> </w:t>
      </w:r>
      <w:r w:rsidRPr="00C8283F">
        <w:rPr>
          <w:rFonts w:ascii="Century Gothic" w:hAnsi="Century Gothic"/>
          <w:sz w:val="22"/>
          <w:szCs w:val="22"/>
          <w:lang w:val="es-ES_tradnl" w:eastAsia="ar-SA"/>
        </w:rPr>
        <w:tab/>
        <w:t xml:space="preserve">de acuerdo con el art. 227 de la Constitución, </w:t>
      </w:r>
      <w:r w:rsidRPr="00C8283F">
        <w:rPr>
          <w:rFonts w:ascii="Century Gothic" w:hAnsi="Century Gothic"/>
          <w:iCs/>
          <w:sz w:val="22"/>
          <w:szCs w:val="22"/>
          <w:lang w:val="es-ES_tradnl" w:eastAsia="ar-SA"/>
        </w:rPr>
        <w:t>la administración pública constituye un servicio a la colectividad que se rige por los principios de eficiencia, calidad, jerarquía, desconcentración, descentralización, coordinación, participación, planificación, transparencia y evaluación;</w:t>
      </w:r>
    </w:p>
    <w:p w:rsidR="00BA364C" w:rsidRPr="00C8283F" w:rsidRDefault="00BA364C" w:rsidP="00BA364C">
      <w:pPr>
        <w:ind w:left="700" w:hanging="709"/>
        <w:jc w:val="both"/>
        <w:rPr>
          <w:rFonts w:ascii="Century Gothic" w:hAnsi="Century Gothic"/>
          <w:iCs/>
          <w:sz w:val="22"/>
          <w:szCs w:val="22"/>
          <w:lang w:val="es-ES_tradnl" w:eastAsia="ar-SA"/>
        </w:rPr>
      </w:pPr>
    </w:p>
    <w:p w:rsidR="00BA364C" w:rsidRPr="00C8283F" w:rsidRDefault="00BA364C" w:rsidP="00BA364C">
      <w:pPr>
        <w:ind w:left="700" w:hanging="709"/>
        <w:jc w:val="both"/>
        <w:rPr>
          <w:rFonts w:ascii="Century Gothic" w:hAnsi="Century Gothic"/>
          <w:iCs/>
          <w:sz w:val="22"/>
          <w:szCs w:val="22"/>
          <w:lang w:val="es-ES_tradnl" w:eastAsia="ar-SA"/>
        </w:rPr>
      </w:pPr>
      <w:r w:rsidRPr="00C8283F">
        <w:rPr>
          <w:rFonts w:ascii="Century Gothic" w:hAnsi="Century Gothic"/>
          <w:b/>
          <w:bCs/>
          <w:sz w:val="22"/>
          <w:szCs w:val="22"/>
          <w:lang w:val="es-ES_tradnl" w:eastAsia="ar-SA"/>
        </w:rPr>
        <w:t xml:space="preserve">Que,  </w:t>
      </w:r>
      <w:r w:rsidRPr="00C8283F">
        <w:rPr>
          <w:rFonts w:ascii="Century Gothic" w:hAnsi="Century Gothic"/>
          <w:bCs/>
          <w:sz w:val="22"/>
          <w:szCs w:val="22"/>
          <w:lang w:val="es-ES_tradnl" w:eastAsia="ar-SA"/>
        </w:rPr>
        <w:t xml:space="preserve">el art. 240 de la Constitución, los gobiernos autónomos descentralizados de los distritos metropolitanos tendrán facultades legislativas en el ámbito de sus competencias y jurisdicciones territoriales. </w:t>
      </w:r>
    </w:p>
    <w:p w:rsidR="00BA364C" w:rsidRPr="00C8283F" w:rsidRDefault="00BA364C" w:rsidP="00BA364C">
      <w:pPr>
        <w:autoSpaceDE w:val="0"/>
        <w:autoSpaceDN w:val="0"/>
        <w:adjustRightInd w:val="0"/>
        <w:ind w:left="709" w:hanging="709"/>
        <w:jc w:val="both"/>
        <w:rPr>
          <w:rFonts w:ascii="Century Gothic" w:eastAsiaTheme="minorHAnsi" w:hAnsi="Century Gothic"/>
          <w:sz w:val="22"/>
          <w:szCs w:val="22"/>
          <w:lang w:val="es-EC" w:eastAsia="en-US"/>
        </w:rPr>
      </w:pPr>
    </w:p>
    <w:p w:rsidR="00BA364C" w:rsidRPr="00C8283F" w:rsidRDefault="00BA364C" w:rsidP="00BA364C">
      <w:pPr>
        <w:autoSpaceDE w:val="0"/>
        <w:autoSpaceDN w:val="0"/>
        <w:adjustRightInd w:val="0"/>
        <w:ind w:left="709" w:hanging="709"/>
        <w:jc w:val="both"/>
        <w:rPr>
          <w:rFonts w:ascii="Century Gothic" w:eastAsiaTheme="minorHAnsi" w:hAnsi="Century Gothic"/>
          <w:i/>
          <w:sz w:val="22"/>
          <w:szCs w:val="22"/>
          <w:lang w:val="es-EC" w:eastAsia="en-US"/>
        </w:rPr>
      </w:pPr>
      <w:r w:rsidRPr="00C8283F">
        <w:rPr>
          <w:rFonts w:ascii="Century Gothic" w:eastAsiaTheme="minorHAnsi" w:hAnsi="Century Gothic"/>
          <w:b/>
          <w:sz w:val="22"/>
          <w:szCs w:val="22"/>
          <w:lang w:val="es-EC" w:eastAsia="en-US"/>
        </w:rPr>
        <w:t>Que,</w:t>
      </w:r>
      <w:r w:rsidRPr="00C8283F">
        <w:rPr>
          <w:rFonts w:ascii="Century Gothic" w:eastAsiaTheme="minorHAnsi" w:hAnsi="Century Gothic"/>
          <w:sz w:val="22"/>
          <w:szCs w:val="22"/>
          <w:lang w:val="es-EC" w:eastAsia="en-US"/>
        </w:rPr>
        <w:t xml:space="preserve"> </w:t>
      </w:r>
      <w:r w:rsidRPr="00C8283F">
        <w:rPr>
          <w:rFonts w:ascii="Century Gothic" w:eastAsiaTheme="minorHAnsi" w:hAnsi="Century Gothic"/>
          <w:sz w:val="22"/>
          <w:szCs w:val="22"/>
          <w:lang w:val="es-EC" w:eastAsia="en-US"/>
        </w:rPr>
        <w:tab/>
        <w:t xml:space="preserve">el numeral 1, del artículo 264 de la Constitución, establece que serán competencias exclusivas de los gobiernos municipales, sin perjuicio de otras que determine la ley: </w:t>
      </w:r>
      <w:r w:rsidRPr="00C8283F">
        <w:rPr>
          <w:rFonts w:ascii="Century Gothic" w:eastAsiaTheme="minorHAnsi" w:hAnsi="Century Gothic"/>
          <w:i/>
          <w:sz w:val="22"/>
          <w:szCs w:val="22"/>
          <w:lang w:val="es-EC" w:eastAsia="en-US"/>
        </w:rPr>
        <w:t>“1. Planificar el desarrollo cantonal y formular los correspondientes planes de ordenamiento territorial, de manera articulada con la planificación nacional, regional, provincial y parroquial, con el fin de regular el uso y la ocupación del suelo urbano y rural. (…)”;</w:t>
      </w:r>
    </w:p>
    <w:p w:rsidR="00BA364C" w:rsidRPr="00C8283F" w:rsidRDefault="00BA364C" w:rsidP="00BA364C">
      <w:pPr>
        <w:autoSpaceDE w:val="0"/>
        <w:autoSpaceDN w:val="0"/>
        <w:adjustRightInd w:val="0"/>
        <w:ind w:left="709" w:hanging="709"/>
        <w:jc w:val="both"/>
        <w:rPr>
          <w:rFonts w:ascii="Century Gothic" w:eastAsiaTheme="minorHAnsi" w:hAnsi="Century Gothic"/>
          <w:i/>
          <w:sz w:val="22"/>
          <w:szCs w:val="22"/>
          <w:lang w:val="es-EC" w:eastAsia="en-US"/>
        </w:rPr>
      </w:pPr>
    </w:p>
    <w:p w:rsidR="00BA364C" w:rsidRPr="00C8283F" w:rsidRDefault="00BA364C" w:rsidP="00BA364C">
      <w:pPr>
        <w:autoSpaceDE w:val="0"/>
        <w:autoSpaceDN w:val="0"/>
        <w:adjustRightInd w:val="0"/>
        <w:ind w:left="709" w:hanging="709"/>
        <w:jc w:val="both"/>
        <w:rPr>
          <w:rFonts w:ascii="Century Gothic" w:hAnsi="Century Gothic"/>
          <w:sz w:val="22"/>
          <w:szCs w:val="22"/>
        </w:rPr>
      </w:pPr>
      <w:r w:rsidRPr="00C8283F">
        <w:rPr>
          <w:rFonts w:ascii="Century Gothic" w:eastAsiaTheme="minorHAnsi" w:hAnsi="Century Gothic"/>
          <w:b/>
          <w:sz w:val="22"/>
          <w:szCs w:val="22"/>
          <w:lang w:val="es-EC" w:eastAsia="en-US"/>
        </w:rPr>
        <w:t>Que,</w:t>
      </w:r>
      <w:r w:rsidRPr="00C8283F">
        <w:rPr>
          <w:rFonts w:ascii="Century Gothic" w:eastAsiaTheme="minorHAnsi" w:hAnsi="Century Gothic"/>
          <w:sz w:val="22"/>
          <w:szCs w:val="22"/>
          <w:lang w:val="es-EC" w:eastAsia="en-US"/>
        </w:rPr>
        <w:t xml:space="preserve"> </w:t>
      </w:r>
      <w:r w:rsidRPr="00C8283F">
        <w:rPr>
          <w:rFonts w:ascii="Century Gothic" w:eastAsiaTheme="minorHAnsi" w:hAnsi="Century Gothic"/>
          <w:sz w:val="22"/>
          <w:szCs w:val="22"/>
          <w:lang w:val="es-EC" w:eastAsia="en-US"/>
        </w:rPr>
        <w:tab/>
        <w:t>el artículo 266 de la Constitución dispone: “</w:t>
      </w:r>
      <w:r w:rsidRPr="00C8283F">
        <w:rPr>
          <w:rFonts w:ascii="Century Gothic" w:eastAsiaTheme="minorHAnsi" w:hAnsi="Century Gothic"/>
          <w:i/>
          <w:sz w:val="22"/>
          <w:szCs w:val="22"/>
          <w:lang w:val="es-EC" w:eastAsia="en-US"/>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rsidR="00BA364C" w:rsidRPr="00C8283F" w:rsidRDefault="00BA364C" w:rsidP="00BA364C">
      <w:pPr>
        <w:autoSpaceDE w:val="0"/>
        <w:autoSpaceDN w:val="0"/>
        <w:adjustRightInd w:val="0"/>
        <w:ind w:left="709" w:hanging="709"/>
        <w:jc w:val="both"/>
        <w:rPr>
          <w:rFonts w:ascii="Century Gothic" w:hAnsi="Century Gothic"/>
          <w:sz w:val="22"/>
          <w:szCs w:val="22"/>
        </w:rPr>
      </w:pPr>
    </w:p>
    <w:p w:rsidR="00BA364C" w:rsidRPr="00C8283F" w:rsidRDefault="00BA364C" w:rsidP="00BA364C">
      <w:pPr>
        <w:pStyle w:val="Sinespaciado"/>
        <w:ind w:left="709" w:hanging="709"/>
        <w:rPr>
          <w:rFonts w:ascii="Century Gothic" w:hAnsi="Century Gothic" w:cs="Times New Roman"/>
        </w:rPr>
      </w:pPr>
      <w:r w:rsidRPr="00C8283F">
        <w:rPr>
          <w:rFonts w:ascii="Century Gothic" w:hAnsi="Century Gothic" w:cs="Times New Roman"/>
          <w:b/>
        </w:rPr>
        <w:t>Que,</w:t>
      </w:r>
      <w:r w:rsidRPr="00C8283F">
        <w:rPr>
          <w:rFonts w:ascii="Century Gothic" w:hAnsi="Century Gothic" w:cs="Times New Roman"/>
        </w:rPr>
        <w:t xml:space="preserve"> </w:t>
      </w:r>
      <w:r w:rsidRPr="00C8283F">
        <w:rPr>
          <w:rFonts w:ascii="Century Gothic" w:hAnsi="Century Gothic" w:cs="Times New Roman"/>
        </w:rPr>
        <w:tab/>
        <w:t xml:space="preserve">el artículo 7 del Código Orgánico de Organización Territorial, Autonomía </w:t>
      </w:r>
      <w:proofErr w:type="gramStart"/>
      <w:r w:rsidRPr="00C8283F">
        <w:rPr>
          <w:rFonts w:ascii="Century Gothic" w:hAnsi="Century Gothic" w:cs="Times New Roman"/>
        </w:rPr>
        <w:t>y</w:t>
      </w:r>
      <w:proofErr w:type="gramEnd"/>
      <w:r w:rsidRPr="00C8283F">
        <w:rPr>
          <w:rFonts w:ascii="Century Gothic" w:hAnsi="Century Gothic" w:cs="Times New Roman"/>
        </w:rPr>
        <w:t xml:space="preserve">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rsidR="00BA364C" w:rsidRPr="00C8283F" w:rsidRDefault="00BA364C" w:rsidP="00BA364C">
      <w:pPr>
        <w:pStyle w:val="Sinespaciado"/>
        <w:ind w:left="709" w:hanging="709"/>
        <w:rPr>
          <w:rFonts w:ascii="Century Gothic" w:hAnsi="Century Gothic" w:cs="Times New Roman"/>
        </w:rPr>
      </w:pPr>
    </w:p>
    <w:p w:rsidR="00BA364C" w:rsidRPr="00C8283F" w:rsidRDefault="00BA364C" w:rsidP="00BA364C">
      <w:pPr>
        <w:pStyle w:val="Sinespaciado"/>
        <w:ind w:left="709" w:hanging="709"/>
        <w:rPr>
          <w:rFonts w:ascii="Century Gothic" w:hAnsi="Century Gothic" w:cs="Times New Roman"/>
        </w:rPr>
      </w:pPr>
      <w:r w:rsidRPr="00C8283F">
        <w:rPr>
          <w:rFonts w:ascii="Century Gothic" w:hAnsi="Century Gothic" w:cs="Times New Roman"/>
          <w:b/>
        </w:rPr>
        <w:t>Que,</w:t>
      </w:r>
      <w:r w:rsidRPr="00C8283F">
        <w:rPr>
          <w:rFonts w:ascii="Century Gothic" w:hAnsi="Century Gothic" w:cs="Times New Roman"/>
        </w:rPr>
        <w:t xml:space="preserve"> </w:t>
      </w:r>
      <w:r w:rsidRPr="00C8283F">
        <w:rPr>
          <w:rFonts w:ascii="Century Gothic" w:hAnsi="Century Gothic" w:cs="Times New Roman"/>
        </w:rPr>
        <w:tab/>
        <w:t xml:space="preserve">los literales a) y d) del artículo 87 del Código Orgánico de Organización Territorial, Autonomía y Descentralización, (en adelante, «COOTAD»), establecen como atribuciones del Concejo Metropolitano: “a) Ejercer la facultad normativa en las materias de competencia del gobierno autónomo descentralizado metropolitano, mediante la expedición de </w:t>
      </w:r>
      <w:r w:rsidRPr="00C8283F">
        <w:rPr>
          <w:rFonts w:ascii="Century Gothic" w:hAnsi="Century Gothic" w:cs="Times New Roman"/>
        </w:rPr>
        <w:lastRenderedPageBreak/>
        <w:t xml:space="preserve">ordenanzas metropolitanas, acuerdos y resoluciones; (…) d) Expedir acuerdos o resoluciones en el ámbito de sus competencias para regular temas institucionales específicos o reconocer derechos particulares; (…)”; </w:t>
      </w:r>
    </w:p>
    <w:p w:rsidR="00BA364C" w:rsidRPr="00C8283F" w:rsidRDefault="00BA364C" w:rsidP="00BA364C">
      <w:pPr>
        <w:pStyle w:val="Sinespaciado"/>
        <w:ind w:left="709" w:hanging="709"/>
        <w:rPr>
          <w:rFonts w:ascii="Century Gothic" w:hAnsi="Century Gothic" w:cs="Times New Roman"/>
        </w:rPr>
      </w:pPr>
    </w:p>
    <w:p w:rsidR="00BA364C" w:rsidRPr="00C8283F" w:rsidRDefault="00BA364C" w:rsidP="00BA364C">
      <w:pPr>
        <w:pStyle w:val="Sinespaciado"/>
        <w:ind w:left="709" w:hanging="709"/>
        <w:rPr>
          <w:rFonts w:ascii="Century Gothic" w:hAnsi="Century Gothic" w:cs="Times New Roman"/>
        </w:rPr>
      </w:pPr>
      <w:r w:rsidRPr="00C8283F">
        <w:rPr>
          <w:rFonts w:ascii="Century Gothic" w:hAnsi="Century Gothic" w:cs="Times New Roman"/>
          <w:b/>
        </w:rPr>
        <w:t>Que,</w:t>
      </w:r>
      <w:r w:rsidRPr="00C8283F">
        <w:rPr>
          <w:rFonts w:ascii="Century Gothic" w:hAnsi="Century Gothic" w:cs="Times New Roman"/>
        </w:rPr>
        <w:t xml:space="preserve"> </w:t>
      </w:r>
      <w:r w:rsidRPr="00C8283F">
        <w:rPr>
          <w:rFonts w:ascii="Century Gothic" w:hAnsi="Century Gothic" w:cs="Times New Roman"/>
        </w:rPr>
        <w:tab/>
        <w:t>el artículo 323 del COOTAD dispone: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rsidR="00BA364C" w:rsidRPr="00C8283F" w:rsidRDefault="00BA364C" w:rsidP="00BA364C">
      <w:pPr>
        <w:pStyle w:val="Sinespaciado"/>
        <w:ind w:left="709" w:hanging="709"/>
        <w:rPr>
          <w:rFonts w:ascii="Century Gothic" w:hAnsi="Century Gothic" w:cs="Times New Roman"/>
        </w:rPr>
      </w:pPr>
    </w:p>
    <w:p w:rsidR="00BA364C" w:rsidRPr="00C8283F" w:rsidRDefault="00BA364C" w:rsidP="00BA364C">
      <w:pPr>
        <w:autoSpaceDE w:val="0"/>
        <w:autoSpaceDN w:val="0"/>
        <w:adjustRightInd w:val="0"/>
        <w:ind w:left="709" w:hanging="709"/>
        <w:jc w:val="both"/>
        <w:rPr>
          <w:rFonts w:ascii="Century Gothic" w:eastAsiaTheme="minorHAnsi" w:hAnsi="Century Gothic"/>
          <w:i/>
          <w:sz w:val="22"/>
          <w:szCs w:val="22"/>
          <w:lang w:val="es-EC" w:eastAsia="en-US"/>
        </w:rPr>
      </w:pPr>
      <w:r w:rsidRPr="00C8283F">
        <w:rPr>
          <w:rFonts w:ascii="Century Gothic" w:eastAsiaTheme="minorHAnsi" w:hAnsi="Century Gothic"/>
          <w:b/>
          <w:sz w:val="22"/>
          <w:szCs w:val="22"/>
          <w:lang w:val="es-EC" w:eastAsia="en-US"/>
        </w:rPr>
        <w:t>Que,</w:t>
      </w:r>
      <w:r w:rsidRPr="00C8283F">
        <w:rPr>
          <w:rFonts w:ascii="Century Gothic" w:eastAsiaTheme="minorHAnsi" w:hAnsi="Century Gothic"/>
          <w:sz w:val="22"/>
          <w:szCs w:val="22"/>
          <w:lang w:val="es-EC" w:eastAsia="en-US"/>
        </w:rPr>
        <w:tab/>
        <w:t xml:space="preserve">el artículo 415 del COOTAD, establece que: </w:t>
      </w:r>
      <w:r w:rsidRPr="00C8283F">
        <w:rPr>
          <w:rFonts w:ascii="Century Gothic" w:eastAsiaTheme="minorHAnsi" w:hAnsi="Century Gothic"/>
          <w:i/>
          <w:sz w:val="22"/>
          <w:szCs w:val="22"/>
          <w:lang w:val="es-EC"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BA364C" w:rsidRPr="00C8283F" w:rsidRDefault="00BA364C" w:rsidP="00C8283F">
      <w:pPr>
        <w:autoSpaceDE w:val="0"/>
        <w:autoSpaceDN w:val="0"/>
        <w:adjustRightInd w:val="0"/>
        <w:jc w:val="both"/>
        <w:rPr>
          <w:rFonts w:ascii="Century Gothic" w:eastAsiaTheme="minorHAnsi" w:hAnsi="Century Gothic"/>
          <w:i/>
          <w:sz w:val="22"/>
          <w:szCs w:val="22"/>
          <w:lang w:val="es-EC" w:eastAsia="en-US"/>
        </w:rPr>
      </w:pPr>
    </w:p>
    <w:p w:rsidR="00BA364C" w:rsidRPr="00C8283F" w:rsidRDefault="00BA364C" w:rsidP="00BA364C">
      <w:pPr>
        <w:autoSpaceDE w:val="0"/>
        <w:autoSpaceDN w:val="0"/>
        <w:adjustRightInd w:val="0"/>
        <w:ind w:left="709" w:hanging="709"/>
        <w:jc w:val="both"/>
        <w:rPr>
          <w:rFonts w:ascii="Century Gothic" w:eastAsiaTheme="minorHAnsi" w:hAnsi="Century Gothic"/>
          <w:i/>
          <w:sz w:val="22"/>
          <w:szCs w:val="22"/>
          <w:lang w:val="es-EC" w:eastAsia="en-US"/>
        </w:rPr>
      </w:pPr>
      <w:r w:rsidRPr="00C8283F">
        <w:rPr>
          <w:rFonts w:ascii="Century Gothic" w:eastAsiaTheme="minorHAnsi" w:hAnsi="Century Gothic"/>
          <w:b/>
          <w:sz w:val="22"/>
          <w:szCs w:val="22"/>
          <w:lang w:val="es-EC" w:eastAsia="en-US"/>
        </w:rPr>
        <w:t>Que,</w:t>
      </w:r>
      <w:r w:rsidRPr="00C8283F">
        <w:rPr>
          <w:rFonts w:ascii="Century Gothic" w:eastAsiaTheme="minorHAnsi" w:hAnsi="Century Gothic"/>
          <w:sz w:val="22"/>
          <w:szCs w:val="22"/>
          <w:lang w:val="es-EC" w:eastAsia="en-US"/>
        </w:rPr>
        <w:t xml:space="preserve"> </w:t>
      </w:r>
      <w:r w:rsidRPr="00C8283F">
        <w:rPr>
          <w:rFonts w:ascii="Century Gothic" w:eastAsiaTheme="minorHAnsi" w:hAnsi="Century Gothic"/>
          <w:sz w:val="22"/>
          <w:szCs w:val="22"/>
          <w:lang w:val="es-EC" w:eastAsia="en-US"/>
        </w:rPr>
        <w:tab/>
        <w:t xml:space="preserve">el artículo 419 del COOTAD, indica que: </w:t>
      </w:r>
      <w:r w:rsidRPr="00C8283F">
        <w:rPr>
          <w:rFonts w:ascii="Century Gothic" w:eastAsiaTheme="minorHAnsi" w:hAnsi="Century Gothic"/>
          <w:i/>
          <w:sz w:val="22"/>
          <w:szCs w:val="22"/>
          <w:lang w:val="es-EC" w:eastAsia="en-US"/>
        </w:rPr>
        <w:t>"Constituyen bienes de dominio privado los que no están destinados a la prestación directa de un servicio público, sino a la producción de recursos o bienes para la financiación de los servicios de los gobiernos autónomos descentralizados. Estos bienes serán administrados en condiciones económicas de mercado, conforme a los principios de derecho privado (…).”;</w:t>
      </w:r>
    </w:p>
    <w:p w:rsidR="00BA364C" w:rsidRPr="00C8283F" w:rsidRDefault="00BA364C" w:rsidP="00BA364C">
      <w:pPr>
        <w:autoSpaceDE w:val="0"/>
        <w:autoSpaceDN w:val="0"/>
        <w:adjustRightInd w:val="0"/>
        <w:ind w:left="709" w:hanging="709"/>
        <w:jc w:val="both"/>
        <w:rPr>
          <w:rFonts w:ascii="Century Gothic" w:eastAsiaTheme="minorHAnsi" w:hAnsi="Century Gothic"/>
          <w:i/>
          <w:sz w:val="22"/>
          <w:szCs w:val="22"/>
          <w:lang w:val="es-EC" w:eastAsia="en-US"/>
        </w:rPr>
      </w:pPr>
    </w:p>
    <w:p w:rsidR="00BA364C" w:rsidRPr="00C8283F" w:rsidRDefault="00BA364C" w:rsidP="00BA364C">
      <w:pPr>
        <w:autoSpaceDE w:val="0"/>
        <w:autoSpaceDN w:val="0"/>
        <w:adjustRightInd w:val="0"/>
        <w:ind w:left="709" w:hanging="709"/>
        <w:jc w:val="both"/>
        <w:rPr>
          <w:rFonts w:ascii="Century Gothic" w:eastAsiaTheme="minorHAnsi" w:hAnsi="Century Gothic"/>
          <w:i/>
          <w:sz w:val="22"/>
          <w:szCs w:val="22"/>
          <w:lang w:val="es-EC" w:eastAsia="en-US"/>
        </w:rPr>
      </w:pPr>
      <w:r w:rsidRPr="00C8283F">
        <w:rPr>
          <w:rFonts w:ascii="Century Gothic" w:eastAsiaTheme="minorHAnsi" w:hAnsi="Century Gothic"/>
          <w:b/>
          <w:sz w:val="22"/>
          <w:szCs w:val="22"/>
          <w:lang w:val="es-EC" w:eastAsia="en-US"/>
        </w:rPr>
        <w:t>Que,</w:t>
      </w:r>
      <w:r w:rsidRPr="00C8283F">
        <w:rPr>
          <w:rFonts w:ascii="Century Gothic" w:eastAsiaTheme="minorHAnsi" w:hAnsi="Century Gothic"/>
          <w:sz w:val="22"/>
          <w:szCs w:val="22"/>
          <w:lang w:val="es-EC" w:eastAsia="en-US"/>
        </w:rPr>
        <w:t xml:space="preserve"> </w:t>
      </w:r>
      <w:r w:rsidRPr="00C8283F">
        <w:rPr>
          <w:rFonts w:ascii="Century Gothic" w:eastAsiaTheme="minorHAnsi" w:hAnsi="Century Gothic"/>
          <w:sz w:val="22"/>
          <w:szCs w:val="22"/>
          <w:lang w:val="es-EC" w:eastAsia="en-US"/>
        </w:rPr>
        <w:tab/>
      </w:r>
      <w:r w:rsidRPr="00C8283F">
        <w:rPr>
          <w:rFonts w:ascii="Century Gothic" w:hAnsi="Century Gothic"/>
          <w:sz w:val="22"/>
          <w:szCs w:val="22"/>
        </w:rPr>
        <w:t>el artículo 423 del COOTAD, establece que: " Los bienes de cualquiera de las categorías establecidas en este Código, pueden pasar a otra de las mismas, previa resolución del órgano de legislación del gobierno autónomo descentralizado con el voto favorable de las dos terceras partes de sus miembros. Los bienes de dominio público de uso público podrán pasar a la categoría de adscrito al servicio público, y solo excepcionalmente a la categoría de bienes de dominio privado, salvo las quebradas con sus taludes y franjas de protección, los esteros y los ríos con sus lechos y sus zonas de remanso y protección; parques, canchas, zonas de reserva e instalaciones que se encuentren al servicio directo de la comunidad.”;</w:t>
      </w:r>
    </w:p>
    <w:p w:rsidR="00BA364C" w:rsidRPr="00C8283F" w:rsidRDefault="00BA364C" w:rsidP="00BA364C">
      <w:pPr>
        <w:autoSpaceDE w:val="0"/>
        <w:autoSpaceDN w:val="0"/>
        <w:adjustRightInd w:val="0"/>
        <w:ind w:left="709" w:hanging="709"/>
        <w:jc w:val="both"/>
        <w:rPr>
          <w:rFonts w:ascii="Century Gothic" w:eastAsiaTheme="minorHAnsi" w:hAnsi="Century Gothic"/>
          <w:i/>
          <w:sz w:val="22"/>
          <w:szCs w:val="22"/>
          <w:lang w:val="es-EC" w:eastAsia="en-US"/>
        </w:rPr>
      </w:pPr>
    </w:p>
    <w:p w:rsidR="00BA364C" w:rsidRPr="00C8283F" w:rsidRDefault="00BA364C" w:rsidP="00BA364C">
      <w:pPr>
        <w:autoSpaceDE w:val="0"/>
        <w:autoSpaceDN w:val="0"/>
        <w:adjustRightInd w:val="0"/>
        <w:ind w:left="705" w:hanging="709"/>
        <w:jc w:val="both"/>
        <w:rPr>
          <w:rFonts w:ascii="Century Gothic" w:eastAsiaTheme="minorHAnsi" w:hAnsi="Century Gothic"/>
          <w:i/>
          <w:sz w:val="22"/>
          <w:szCs w:val="22"/>
          <w:lang w:val="es-EC" w:eastAsia="en-US"/>
        </w:rPr>
      </w:pPr>
      <w:r w:rsidRPr="00C8283F">
        <w:rPr>
          <w:rFonts w:ascii="Century Gothic" w:eastAsiaTheme="minorHAnsi" w:hAnsi="Century Gothic"/>
          <w:b/>
          <w:sz w:val="22"/>
          <w:szCs w:val="22"/>
          <w:lang w:val="es-EC" w:eastAsia="en-US"/>
        </w:rPr>
        <w:t>Que,</w:t>
      </w:r>
      <w:r w:rsidRPr="00C8283F">
        <w:rPr>
          <w:rFonts w:ascii="Century Gothic" w:eastAsiaTheme="minorHAnsi" w:hAnsi="Century Gothic"/>
          <w:sz w:val="22"/>
          <w:szCs w:val="22"/>
          <w:lang w:val="es-EC" w:eastAsia="en-US"/>
        </w:rPr>
        <w:t xml:space="preserve"> </w:t>
      </w:r>
      <w:r w:rsidRPr="00C8283F">
        <w:rPr>
          <w:rFonts w:ascii="Century Gothic" w:eastAsiaTheme="minorHAnsi" w:hAnsi="Century Gothic"/>
          <w:sz w:val="22"/>
          <w:szCs w:val="22"/>
          <w:lang w:val="es-EC" w:eastAsia="en-US"/>
        </w:rPr>
        <w:tab/>
        <w:t xml:space="preserve">el artículo 436 del COOTAD, dispone que: </w:t>
      </w:r>
      <w:r w:rsidRPr="00C8283F">
        <w:rPr>
          <w:rFonts w:ascii="Century Gothic" w:eastAsiaTheme="minorHAnsi" w:hAnsi="Century Gothic"/>
          <w:i/>
          <w:sz w:val="22"/>
          <w:szCs w:val="22"/>
          <w:lang w:val="es-EC" w:eastAsia="en-US"/>
        </w:rPr>
        <w:t>"Los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 catastro municipal actualizado.”;</w:t>
      </w:r>
    </w:p>
    <w:p w:rsidR="00BA364C" w:rsidRPr="00C8283F" w:rsidRDefault="00BA364C" w:rsidP="00BA364C">
      <w:pPr>
        <w:autoSpaceDE w:val="0"/>
        <w:autoSpaceDN w:val="0"/>
        <w:adjustRightInd w:val="0"/>
        <w:ind w:left="705" w:hanging="709"/>
        <w:jc w:val="both"/>
        <w:rPr>
          <w:rFonts w:ascii="Century Gothic" w:eastAsiaTheme="minorHAnsi" w:hAnsi="Century Gothic"/>
          <w:sz w:val="22"/>
          <w:szCs w:val="22"/>
          <w:lang w:val="es-EC" w:eastAsia="en-US"/>
        </w:rPr>
      </w:pPr>
    </w:p>
    <w:p w:rsidR="00BA364C" w:rsidRPr="00C8283F" w:rsidRDefault="00BA364C" w:rsidP="00BA364C">
      <w:pPr>
        <w:autoSpaceDE w:val="0"/>
        <w:autoSpaceDN w:val="0"/>
        <w:adjustRightInd w:val="0"/>
        <w:ind w:left="705" w:hanging="709"/>
        <w:jc w:val="both"/>
        <w:rPr>
          <w:rFonts w:ascii="Century Gothic" w:hAnsi="Century Gothic"/>
          <w:sz w:val="22"/>
          <w:szCs w:val="22"/>
        </w:rPr>
      </w:pPr>
      <w:r w:rsidRPr="00C8283F">
        <w:rPr>
          <w:rFonts w:ascii="Century Gothic" w:eastAsiaTheme="minorHAnsi" w:hAnsi="Century Gothic"/>
          <w:b/>
          <w:sz w:val="22"/>
          <w:szCs w:val="22"/>
          <w:lang w:val="es-EC" w:eastAsia="en-US"/>
        </w:rPr>
        <w:t>Que,</w:t>
      </w:r>
      <w:r w:rsidRPr="00C8283F">
        <w:rPr>
          <w:rFonts w:ascii="Century Gothic" w:eastAsiaTheme="minorHAnsi" w:hAnsi="Century Gothic"/>
          <w:sz w:val="22"/>
          <w:szCs w:val="22"/>
          <w:lang w:val="es-EC" w:eastAsia="en-US"/>
        </w:rPr>
        <w:t xml:space="preserve"> </w:t>
      </w:r>
      <w:r w:rsidRPr="00C8283F">
        <w:rPr>
          <w:rFonts w:ascii="Century Gothic" w:eastAsiaTheme="minorHAnsi" w:hAnsi="Century Gothic"/>
          <w:sz w:val="22"/>
          <w:szCs w:val="22"/>
          <w:lang w:val="es-EC" w:eastAsia="en-US"/>
        </w:rPr>
        <w:tab/>
      </w:r>
      <w:r w:rsidRPr="00C8283F">
        <w:rPr>
          <w:rFonts w:ascii="Century Gothic" w:hAnsi="Century Gothic"/>
          <w:sz w:val="22"/>
          <w:szCs w:val="22"/>
        </w:rPr>
        <w:t xml:space="preserve">el artículo 437 del COOTAD, establece que: "La venta de los bienes de dominio privado se acordará en estos casos: a) Si no reportan provecho alguno a las finanzas de los gobiernos autónomos descentralizados o si el provecho es inferior al que podría obtenerse con otro destino. No procederá la venta, sin embargo, cuando se prevea que el bien deberá </w:t>
      </w:r>
      <w:r w:rsidRPr="00C8283F">
        <w:rPr>
          <w:rFonts w:ascii="Century Gothic" w:hAnsi="Century Gothic"/>
          <w:sz w:val="22"/>
          <w:szCs w:val="22"/>
        </w:rPr>
        <w:lastRenderedPageBreak/>
        <w:t>utilizarse en el futuro para satisfacer una necesidad concreta del gobierno autónomo descentralizado (…).”;</w:t>
      </w:r>
    </w:p>
    <w:p w:rsidR="00BA364C" w:rsidRPr="00C8283F" w:rsidRDefault="00BA364C" w:rsidP="00BA364C">
      <w:pPr>
        <w:autoSpaceDE w:val="0"/>
        <w:autoSpaceDN w:val="0"/>
        <w:adjustRightInd w:val="0"/>
        <w:ind w:left="705" w:hanging="709"/>
        <w:jc w:val="both"/>
        <w:rPr>
          <w:rFonts w:ascii="Century Gothic" w:hAnsi="Century Gothic"/>
          <w:sz w:val="22"/>
          <w:szCs w:val="22"/>
        </w:rPr>
      </w:pPr>
    </w:p>
    <w:p w:rsidR="00BA364C" w:rsidRPr="00C8283F" w:rsidRDefault="00BA364C" w:rsidP="00BA364C">
      <w:pPr>
        <w:autoSpaceDE w:val="0"/>
        <w:autoSpaceDN w:val="0"/>
        <w:adjustRightInd w:val="0"/>
        <w:ind w:left="705" w:hanging="709"/>
        <w:jc w:val="both"/>
        <w:rPr>
          <w:rFonts w:ascii="Century Gothic" w:eastAsiaTheme="minorHAnsi" w:hAnsi="Century Gothic"/>
          <w:i/>
          <w:sz w:val="22"/>
          <w:szCs w:val="22"/>
          <w:lang w:val="es-EC" w:eastAsia="en-US"/>
        </w:rPr>
      </w:pPr>
      <w:r w:rsidRPr="00C8283F">
        <w:rPr>
          <w:rFonts w:ascii="Century Gothic" w:eastAsiaTheme="minorHAnsi" w:hAnsi="Century Gothic"/>
          <w:b/>
          <w:sz w:val="22"/>
          <w:szCs w:val="22"/>
          <w:lang w:val="es-EC" w:eastAsia="en-US"/>
        </w:rPr>
        <w:t>Que,</w:t>
      </w:r>
      <w:r w:rsidRPr="00C8283F">
        <w:rPr>
          <w:rFonts w:ascii="Century Gothic" w:eastAsiaTheme="minorHAnsi" w:hAnsi="Century Gothic"/>
          <w:sz w:val="22"/>
          <w:szCs w:val="22"/>
          <w:lang w:val="es-EC" w:eastAsia="en-US"/>
        </w:rPr>
        <w:t xml:space="preserve"> </w:t>
      </w:r>
      <w:r w:rsidRPr="00C8283F">
        <w:rPr>
          <w:rFonts w:ascii="Century Gothic" w:eastAsiaTheme="minorHAnsi" w:hAnsi="Century Gothic"/>
          <w:sz w:val="22"/>
          <w:szCs w:val="22"/>
          <w:lang w:val="es-EC" w:eastAsia="en-US"/>
        </w:rPr>
        <w:tab/>
      </w:r>
      <w:r w:rsidRPr="00C8283F">
        <w:rPr>
          <w:rFonts w:ascii="Century Gothic" w:hAnsi="Century Gothic"/>
          <w:sz w:val="22"/>
          <w:szCs w:val="22"/>
        </w:rPr>
        <w:t>el artículo 481 del COOTAD, sobre los lotes, fajas o excedentes señala: "Para efectos de su enajenación, los terrenos de propiedad de los gobiernos autónomos descentralizados municipales o metropolitanos se consideran como lotes, fajas o excedentes provenientes de errores de medición. (…) Por fajas municipales o metropolitanas se entienden aquellas porciones de terreno que por sus reducidas dimensiones o por ser provenientes de rellenos no pueden soportar una construcción independiente de las construcciones de los inmuebles vecinos, ni es conveniente, de acuerdo con las ordenanzas municipales, mantenerlas como espacios verdes o comunitarios. Las fajas municipales o metropolitanas solo pueden ser adquiridas mediante el procedimiento de pública subasta, por los propietarios de los predios colindantes. Si de hecho se adjudican a personas que no corresponden, las adjudicaciones y la consiguiente inscripción en el registro de la propiedad serán nulas…”;</w:t>
      </w:r>
    </w:p>
    <w:p w:rsidR="00BA364C" w:rsidRPr="00C8283F" w:rsidRDefault="00BA364C" w:rsidP="00BA364C">
      <w:pPr>
        <w:autoSpaceDE w:val="0"/>
        <w:autoSpaceDN w:val="0"/>
        <w:adjustRightInd w:val="0"/>
        <w:ind w:left="705" w:hanging="709"/>
        <w:jc w:val="both"/>
        <w:rPr>
          <w:rFonts w:ascii="Century Gothic" w:eastAsiaTheme="minorHAnsi" w:hAnsi="Century Gothic"/>
          <w:i/>
          <w:sz w:val="22"/>
          <w:szCs w:val="22"/>
          <w:lang w:val="es-EC" w:eastAsia="en-US"/>
        </w:rPr>
      </w:pPr>
    </w:p>
    <w:p w:rsidR="00BA364C" w:rsidRPr="00C8283F" w:rsidRDefault="00BA364C" w:rsidP="00BA364C">
      <w:pPr>
        <w:autoSpaceDE w:val="0"/>
        <w:autoSpaceDN w:val="0"/>
        <w:adjustRightInd w:val="0"/>
        <w:ind w:left="705" w:hanging="709"/>
        <w:jc w:val="both"/>
        <w:rPr>
          <w:rFonts w:ascii="Century Gothic" w:hAnsi="Century Gothic"/>
          <w:sz w:val="22"/>
          <w:szCs w:val="22"/>
        </w:rPr>
      </w:pPr>
      <w:r w:rsidRPr="00C8283F">
        <w:rPr>
          <w:rFonts w:ascii="Century Gothic" w:hAnsi="Century Gothic"/>
          <w:b/>
          <w:sz w:val="22"/>
          <w:szCs w:val="22"/>
        </w:rPr>
        <w:t>Que,</w:t>
      </w:r>
      <w:r w:rsidRPr="00C8283F">
        <w:rPr>
          <w:rFonts w:ascii="Century Gothic" w:hAnsi="Century Gothic"/>
          <w:sz w:val="22"/>
          <w:szCs w:val="22"/>
        </w:rPr>
        <w:tab/>
        <w:t>el artículo 3465 del Código Municipal para el Distrito Metropolitano de Quito, (en adelante, «Código Municipal») señala que: "La adjudicación de una faja de terreno solamente se podrá hacer en favor de uno o varios de los propietarios colindantes a la misma. La inobservancia de esta norma determinará la nulidad de la adjudicación.";</w:t>
      </w:r>
    </w:p>
    <w:p w:rsidR="0054693D" w:rsidRPr="00C8283F" w:rsidRDefault="0054693D" w:rsidP="00BA364C">
      <w:pPr>
        <w:autoSpaceDE w:val="0"/>
        <w:autoSpaceDN w:val="0"/>
        <w:adjustRightInd w:val="0"/>
        <w:ind w:left="705" w:hanging="709"/>
        <w:jc w:val="both"/>
        <w:rPr>
          <w:rFonts w:ascii="Century Gothic" w:hAnsi="Century Gothic"/>
          <w:sz w:val="22"/>
          <w:szCs w:val="22"/>
        </w:rPr>
      </w:pPr>
    </w:p>
    <w:p w:rsidR="0054693D" w:rsidRPr="00C8283F" w:rsidRDefault="0054693D" w:rsidP="0054693D">
      <w:pPr>
        <w:autoSpaceDE w:val="0"/>
        <w:autoSpaceDN w:val="0"/>
        <w:adjustRightInd w:val="0"/>
        <w:ind w:left="705" w:hanging="709"/>
        <w:jc w:val="both"/>
        <w:rPr>
          <w:rFonts w:ascii="Century Gothic" w:hAnsi="Century Gothic"/>
          <w:sz w:val="22"/>
          <w:szCs w:val="22"/>
        </w:rPr>
      </w:pPr>
      <w:proofErr w:type="gramStart"/>
      <w:r w:rsidRPr="00C8283F">
        <w:rPr>
          <w:rFonts w:ascii="Century Gothic" w:hAnsi="Century Gothic"/>
          <w:b/>
          <w:sz w:val="22"/>
          <w:szCs w:val="22"/>
        </w:rPr>
        <w:t>Que ,</w:t>
      </w:r>
      <w:proofErr w:type="gramEnd"/>
      <w:r w:rsidRPr="00C8283F">
        <w:rPr>
          <w:rFonts w:ascii="Century Gothic" w:hAnsi="Century Gothic"/>
          <w:b/>
          <w:sz w:val="22"/>
          <w:szCs w:val="22"/>
        </w:rPr>
        <w:t xml:space="preserve"> </w:t>
      </w:r>
      <w:r w:rsidRPr="00C8283F">
        <w:rPr>
          <w:rFonts w:ascii="Century Gothic" w:hAnsi="Century Gothic"/>
          <w:sz w:val="22"/>
          <w:szCs w:val="22"/>
        </w:rPr>
        <w:t xml:space="preserve"> el artículo 3470 del Código Municipal, dispone que: "Con los informes a los que se refieren los artículos anteriores, se remitirá el expediente a la Comisión de Propiedad y Espacio Público para que emita su informe, en conocimiento del cual el Concejo, de estimarlo conveniente, autorizará la pública subasta y adjudicación de las fajas. La resolución del Concejo autorizará la enajenación directa o subasta pública de las fajas de terreno municipales”;</w:t>
      </w:r>
    </w:p>
    <w:p w:rsidR="00BA364C" w:rsidRPr="00C8283F" w:rsidRDefault="00BA364C" w:rsidP="0054693D">
      <w:pPr>
        <w:autoSpaceDE w:val="0"/>
        <w:autoSpaceDN w:val="0"/>
        <w:adjustRightInd w:val="0"/>
        <w:jc w:val="both"/>
        <w:rPr>
          <w:rFonts w:ascii="Century Gothic" w:hAnsi="Century Gothic"/>
          <w:sz w:val="22"/>
          <w:szCs w:val="22"/>
        </w:rPr>
      </w:pPr>
    </w:p>
    <w:p w:rsidR="006B3EFE" w:rsidRPr="00C8283F" w:rsidRDefault="00BA364C" w:rsidP="006B3EFE">
      <w:pPr>
        <w:autoSpaceDE w:val="0"/>
        <w:autoSpaceDN w:val="0"/>
        <w:adjustRightInd w:val="0"/>
        <w:ind w:left="709" w:hanging="709"/>
        <w:rPr>
          <w:rFonts w:ascii="Century Gothic" w:eastAsiaTheme="minorHAnsi" w:hAnsi="Century Gothic"/>
          <w:sz w:val="22"/>
          <w:szCs w:val="22"/>
          <w:lang w:val="es-EC" w:eastAsia="en-US"/>
        </w:rPr>
      </w:pPr>
      <w:r w:rsidRPr="00C8283F">
        <w:rPr>
          <w:rFonts w:ascii="Century Gothic" w:hAnsi="Century Gothic"/>
          <w:b/>
          <w:sz w:val="22"/>
          <w:szCs w:val="22"/>
        </w:rPr>
        <w:t>Que,</w:t>
      </w:r>
      <w:r w:rsidR="006B3EFE" w:rsidRPr="00C8283F">
        <w:rPr>
          <w:rFonts w:ascii="Century Gothic" w:hAnsi="Century Gothic"/>
          <w:b/>
          <w:sz w:val="22"/>
          <w:szCs w:val="22"/>
        </w:rPr>
        <w:t xml:space="preserve"> </w:t>
      </w:r>
      <w:r w:rsidRPr="00C8283F">
        <w:rPr>
          <w:rFonts w:ascii="Century Gothic" w:hAnsi="Century Gothic"/>
          <w:sz w:val="22"/>
          <w:szCs w:val="22"/>
        </w:rPr>
        <w:tab/>
      </w:r>
      <w:r w:rsidR="006B3EFE" w:rsidRPr="00C8283F">
        <w:rPr>
          <w:rFonts w:ascii="Century Gothic" w:hAnsi="Century Gothic"/>
          <w:sz w:val="22"/>
          <w:szCs w:val="22"/>
        </w:rPr>
        <w:t>el artículo 3503 del Código Municipal, dispone que: “</w:t>
      </w:r>
      <w:r w:rsidR="006B3EFE" w:rsidRPr="00C8283F">
        <w:rPr>
          <w:rFonts w:ascii="Century Gothic" w:eastAsiaTheme="minorHAnsi" w:hAnsi="Century Gothic"/>
          <w:sz w:val="22"/>
          <w:szCs w:val="22"/>
          <w:lang w:val="es-EC" w:eastAsia="en-US"/>
        </w:rPr>
        <w:t>la adjudicación de una faja de terreno, solamente se podrá hacer en favor de uno o varios de los propietarios colindantes a la misma, la inobservancia de esta norma determinará la nulidad de la adjudicación”;</w:t>
      </w:r>
    </w:p>
    <w:p w:rsidR="006B3EFE" w:rsidRPr="00C8283F" w:rsidRDefault="006B3EFE" w:rsidP="006B3EFE">
      <w:pPr>
        <w:autoSpaceDE w:val="0"/>
        <w:autoSpaceDN w:val="0"/>
        <w:adjustRightInd w:val="0"/>
        <w:ind w:left="709" w:hanging="709"/>
        <w:rPr>
          <w:rFonts w:ascii="Century Gothic" w:eastAsiaTheme="minorHAnsi" w:hAnsi="Century Gothic"/>
          <w:sz w:val="22"/>
          <w:szCs w:val="22"/>
          <w:lang w:val="es-EC" w:eastAsia="en-US"/>
        </w:rPr>
      </w:pPr>
    </w:p>
    <w:p w:rsidR="006B3EFE" w:rsidRPr="00C8283F" w:rsidRDefault="006B3EFE" w:rsidP="006B3EFE">
      <w:pPr>
        <w:autoSpaceDE w:val="0"/>
        <w:autoSpaceDN w:val="0"/>
        <w:adjustRightInd w:val="0"/>
        <w:ind w:left="709" w:hanging="709"/>
        <w:jc w:val="both"/>
        <w:rPr>
          <w:rFonts w:ascii="Century Gothic" w:eastAsiaTheme="minorHAnsi" w:hAnsi="Century Gothic"/>
          <w:sz w:val="22"/>
          <w:szCs w:val="22"/>
          <w:lang w:val="es-EC" w:eastAsia="en-US"/>
        </w:rPr>
      </w:pPr>
      <w:r w:rsidRPr="00C8283F">
        <w:rPr>
          <w:rFonts w:ascii="Century Gothic" w:hAnsi="Century Gothic"/>
          <w:b/>
          <w:sz w:val="22"/>
          <w:szCs w:val="22"/>
        </w:rPr>
        <w:t xml:space="preserve">Que , </w:t>
      </w:r>
      <w:r w:rsidRPr="00C8283F">
        <w:rPr>
          <w:rFonts w:ascii="Century Gothic" w:hAnsi="Century Gothic"/>
          <w:sz w:val="22"/>
          <w:szCs w:val="22"/>
        </w:rPr>
        <w:t xml:space="preserve"> el artículo 3517 del Código Municipal, dispone que: "</w:t>
      </w:r>
      <w:r w:rsidRPr="00C8283F">
        <w:rPr>
          <w:rFonts w:ascii="Century Gothic" w:eastAsiaTheme="minorHAnsi" w:hAnsi="Century Gothic"/>
          <w:sz w:val="22"/>
          <w:szCs w:val="22"/>
          <w:lang w:val="es-EC" w:eastAsia="en-US"/>
        </w:rPr>
        <w:t xml:space="preserve"> para el caso en que la faja de terreno producto del relleno de quebrada o remanente vial tuviere un sólo inmueble colindante, el Concejo Metropolitano podrá autorizar su enajenación directa al propietario de dicho inmueble, toda vez que la subasta pública se vuelve improcedente.</w:t>
      </w:r>
      <w:r w:rsidRPr="00C8283F">
        <w:rPr>
          <w:rFonts w:ascii="Century Gothic" w:hAnsi="Century Gothic"/>
          <w:sz w:val="22"/>
          <w:szCs w:val="22"/>
        </w:rPr>
        <w:t>”;</w:t>
      </w:r>
    </w:p>
    <w:p w:rsidR="0054693D" w:rsidRPr="00C8283F" w:rsidRDefault="0054693D" w:rsidP="0054693D">
      <w:pPr>
        <w:pStyle w:val="Sinespaciado"/>
        <w:rPr>
          <w:rFonts w:ascii="Century Gothic" w:hAnsi="Century Gothic" w:cs="Times New Roman"/>
        </w:rPr>
      </w:pPr>
    </w:p>
    <w:p w:rsidR="0054693D" w:rsidRPr="00C8283F" w:rsidRDefault="0054693D" w:rsidP="0054693D">
      <w:pPr>
        <w:pStyle w:val="Sinespaciado"/>
        <w:ind w:left="709" w:hanging="709"/>
        <w:rPr>
          <w:rFonts w:ascii="Century Gothic" w:hAnsi="Century Gothic" w:cs="Times New Roman"/>
        </w:rPr>
      </w:pPr>
      <w:r w:rsidRPr="00C8283F">
        <w:rPr>
          <w:rFonts w:ascii="Century Gothic" w:hAnsi="Century Gothic" w:cs="Times New Roman"/>
          <w:b/>
        </w:rPr>
        <w:t xml:space="preserve">Que,  </w:t>
      </w:r>
      <w:r w:rsidR="00421024">
        <w:rPr>
          <w:rFonts w:ascii="Century Gothic" w:hAnsi="Century Gothic" w:cs="Times New Roman"/>
        </w:rPr>
        <w:t>mediante d</w:t>
      </w:r>
      <w:r w:rsidRPr="00C8283F">
        <w:rPr>
          <w:rFonts w:ascii="Century Gothic" w:hAnsi="Century Gothic" w:cs="Times New Roman"/>
        </w:rPr>
        <w:t xml:space="preserve">ocumento de13 de enero de </w:t>
      </w:r>
      <w:r w:rsidR="00421024">
        <w:rPr>
          <w:rFonts w:ascii="Century Gothic" w:hAnsi="Century Gothic" w:cs="Times New Roman"/>
        </w:rPr>
        <w:t xml:space="preserve">2016, el señor Carlos </w:t>
      </w:r>
      <w:proofErr w:type="spellStart"/>
      <w:r w:rsidR="00421024">
        <w:rPr>
          <w:rFonts w:ascii="Century Gothic" w:hAnsi="Century Gothic" w:cs="Times New Roman"/>
        </w:rPr>
        <w:t>Nicolalde</w:t>
      </w:r>
      <w:proofErr w:type="spellEnd"/>
      <w:r w:rsidRPr="00C8283F">
        <w:rPr>
          <w:rFonts w:ascii="Century Gothic" w:hAnsi="Century Gothic" w:cs="Times New Roman"/>
        </w:rPr>
        <w:t xml:space="preserve">, solicitó se le adjudique la faja de terreno que se encuentra ubicada en Comité del Pueblo, barrio Carretas, predio No. 680157 </w:t>
      </w:r>
      <w:r w:rsidR="009F6368">
        <w:rPr>
          <w:rFonts w:ascii="Century Gothic" w:hAnsi="Century Gothic" w:cs="Times New Roman"/>
        </w:rPr>
        <w:t>;</w:t>
      </w:r>
    </w:p>
    <w:p w:rsidR="0054693D" w:rsidRPr="00C8283F" w:rsidRDefault="0054693D" w:rsidP="0054693D">
      <w:pPr>
        <w:pStyle w:val="Sinespaciado"/>
        <w:ind w:left="709" w:hanging="709"/>
        <w:rPr>
          <w:rFonts w:ascii="Century Gothic" w:hAnsi="Century Gothic" w:cs="Times New Roman"/>
        </w:rPr>
      </w:pPr>
    </w:p>
    <w:p w:rsidR="0054693D" w:rsidRPr="00C8283F" w:rsidRDefault="0054693D" w:rsidP="0054693D">
      <w:pPr>
        <w:pStyle w:val="Sinespaciado"/>
        <w:ind w:left="709" w:hanging="709"/>
        <w:rPr>
          <w:rFonts w:ascii="Century Gothic" w:hAnsi="Century Gothic" w:cs="Times New Roman"/>
        </w:rPr>
      </w:pPr>
      <w:r w:rsidRPr="00C8283F">
        <w:rPr>
          <w:rFonts w:ascii="Century Gothic" w:hAnsi="Century Gothic" w:cs="Times New Roman"/>
          <w:b/>
        </w:rPr>
        <w:t xml:space="preserve">Que, </w:t>
      </w:r>
      <w:r w:rsidRPr="00C8283F">
        <w:rPr>
          <w:rFonts w:ascii="Century Gothic" w:hAnsi="Century Gothic" w:cs="Times New Roman"/>
        </w:rPr>
        <w:t xml:space="preserve">La Comisión de Propiedad y Espacio Público en sesión No. 013 extraordinaria del 11 de diciembre de 2019 en referencia a la adjudicación de lote de terreno a favor del señor Jorge </w:t>
      </w:r>
      <w:proofErr w:type="spellStart"/>
      <w:r w:rsidRPr="00C8283F">
        <w:rPr>
          <w:rFonts w:ascii="Century Gothic" w:hAnsi="Century Gothic" w:cs="Times New Roman"/>
        </w:rPr>
        <w:t>Nicolalde</w:t>
      </w:r>
      <w:proofErr w:type="spellEnd"/>
      <w:r w:rsidRPr="00C8283F">
        <w:rPr>
          <w:rFonts w:ascii="Century Gothic" w:hAnsi="Century Gothic" w:cs="Times New Roman"/>
        </w:rPr>
        <w:t xml:space="preserve"> y otros, solicita un informe aclaratorio a la Dirección Metropolitana de Riesgos y </w:t>
      </w:r>
      <w:r w:rsidRPr="00C8283F">
        <w:rPr>
          <w:rFonts w:ascii="Century Gothic" w:hAnsi="Century Gothic" w:cs="Times New Roman"/>
        </w:rPr>
        <w:lastRenderedPageBreak/>
        <w:t>Procuraduría Metropolitana, respecto a los nombre</w:t>
      </w:r>
      <w:r w:rsidR="00421024">
        <w:rPr>
          <w:rFonts w:ascii="Century Gothic" w:hAnsi="Century Gothic" w:cs="Times New Roman"/>
        </w:rPr>
        <w:t>s</w:t>
      </w:r>
      <w:r w:rsidRPr="00C8283F">
        <w:rPr>
          <w:rFonts w:ascii="Century Gothic" w:hAnsi="Century Gothic" w:cs="Times New Roman"/>
        </w:rPr>
        <w:t xml:space="preserve"> de los b</w:t>
      </w:r>
      <w:r w:rsidR="009F6368">
        <w:rPr>
          <w:rFonts w:ascii="Century Gothic" w:hAnsi="Century Gothic" w:cs="Times New Roman"/>
        </w:rPr>
        <w:t>eneficiarios de la adjudicación;</w:t>
      </w:r>
    </w:p>
    <w:p w:rsidR="0054693D" w:rsidRPr="00C8283F" w:rsidRDefault="0054693D" w:rsidP="0054693D">
      <w:pPr>
        <w:pStyle w:val="Sinespaciado"/>
        <w:ind w:left="709" w:hanging="709"/>
        <w:rPr>
          <w:rFonts w:ascii="Century Gothic" w:hAnsi="Century Gothic" w:cs="Times New Roman"/>
        </w:rPr>
      </w:pPr>
    </w:p>
    <w:p w:rsidR="0054693D" w:rsidRPr="00C8283F" w:rsidRDefault="0054693D" w:rsidP="0054693D">
      <w:pPr>
        <w:autoSpaceDE w:val="0"/>
        <w:autoSpaceDN w:val="0"/>
        <w:adjustRightInd w:val="0"/>
        <w:ind w:left="705" w:hanging="705"/>
        <w:jc w:val="both"/>
        <w:rPr>
          <w:rFonts w:ascii="Century Gothic" w:hAnsi="Century Gothic"/>
          <w:sz w:val="22"/>
          <w:szCs w:val="22"/>
        </w:rPr>
      </w:pPr>
      <w:r w:rsidRPr="00C8283F">
        <w:rPr>
          <w:rFonts w:ascii="Century Gothic" w:hAnsi="Century Gothic"/>
          <w:b/>
          <w:sz w:val="22"/>
          <w:szCs w:val="22"/>
        </w:rPr>
        <w:t>Que</w:t>
      </w:r>
      <w:r w:rsidRPr="00C8283F">
        <w:rPr>
          <w:rFonts w:ascii="Century Gothic" w:hAnsi="Century Gothic"/>
          <w:sz w:val="22"/>
          <w:szCs w:val="22"/>
        </w:rPr>
        <w:t xml:space="preserve">, Procuraduría Metropolitana con la finalidad de dar atención al pedido contenido en la Resolución No.016-CPP-2019 del 11 de diciembre de 2019 en la que la omisión de Propiedad y Espacio Público solicita aclarar los beneficiarios de la adjudicación de faja (2) de terreno a favor del señor Jorge </w:t>
      </w:r>
      <w:proofErr w:type="spellStart"/>
      <w:r w:rsidRPr="00C8283F">
        <w:rPr>
          <w:rFonts w:ascii="Century Gothic" w:hAnsi="Century Gothic"/>
          <w:sz w:val="22"/>
          <w:szCs w:val="22"/>
        </w:rPr>
        <w:t>Nicolalde</w:t>
      </w:r>
      <w:proofErr w:type="spellEnd"/>
      <w:r w:rsidRPr="00C8283F">
        <w:rPr>
          <w:rFonts w:ascii="Century Gothic" w:hAnsi="Century Gothic"/>
          <w:sz w:val="22"/>
          <w:szCs w:val="22"/>
        </w:rPr>
        <w:t xml:space="preserve"> y otros, solicita a la Dirección Metropolitana de Catastro  ratificar o rectificar el informe y ficha técnica contenida en el oficio No. DMC-CE-12633 de 09 de octubre de 2018 predio identificado como No. 680180 calve catastral 13108-02-</w:t>
      </w:r>
      <w:proofErr w:type="gramStart"/>
      <w:r w:rsidRPr="00C8283F">
        <w:rPr>
          <w:rFonts w:ascii="Century Gothic" w:hAnsi="Century Gothic"/>
          <w:sz w:val="22"/>
          <w:szCs w:val="22"/>
        </w:rPr>
        <w:t xml:space="preserve">058 </w:t>
      </w:r>
      <w:r w:rsidR="009F6368">
        <w:rPr>
          <w:rFonts w:ascii="Century Gothic" w:hAnsi="Century Gothic"/>
          <w:sz w:val="22"/>
          <w:szCs w:val="22"/>
        </w:rPr>
        <w:t>;</w:t>
      </w:r>
      <w:proofErr w:type="gramEnd"/>
    </w:p>
    <w:p w:rsidR="0054693D" w:rsidRPr="00C8283F" w:rsidRDefault="0054693D" w:rsidP="0054693D">
      <w:pPr>
        <w:tabs>
          <w:tab w:val="left" w:pos="426"/>
        </w:tabs>
        <w:jc w:val="both"/>
        <w:rPr>
          <w:rFonts w:ascii="Century Gothic" w:hAnsi="Century Gothic"/>
          <w:sz w:val="22"/>
          <w:szCs w:val="22"/>
        </w:rPr>
      </w:pPr>
    </w:p>
    <w:p w:rsidR="0054693D" w:rsidRPr="00C8283F" w:rsidRDefault="0054693D" w:rsidP="0054693D">
      <w:pPr>
        <w:tabs>
          <w:tab w:val="left" w:pos="426"/>
        </w:tabs>
        <w:ind w:left="705" w:hanging="705"/>
        <w:jc w:val="both"/>
        <w:rPr>
          <w:rFonts w:ascii="Century Gothic" w:hAnsi="Century Gothic"/>
          <w:b/>
          <w:sz w:val="22"/>
          <w:szCs w:val="22"/>
        </w:rPr>
      </w:pPr>
      <w:r w:rsidRPr="00C8283F">
        <w:rPr>
          <w:rFonts w:ascii="Century Gothic" w:hAnsi="Century Gothic"/>
          <w:b/>
          <w:sz w:val="22"/>
          <w:szCs w:val="22"/>
        </w:rPr>
        <w:t xml:space="preserve">Que, </w:t>
      </w:r>
      <w:r w:rsidRPr="00C8283F">
        <w:rPr>
          <w:rFonts w:ascii="Century Gothic" w:hAnsi="Century Gothic"/>
          <w:sz w:val="22"/>
          <w:szCs w:val="22"/>
        </w:rPr>
        <w:t>La Dirección Metropolitana de Catastro</w:t>
      </w:r>
      <w:r w:rsidRPr="00C8283F">
        <w:rPr>
          <w:rFonts w:ascii="Century Gothic" w:hAnsi="Century Gothic"/>
          <w:b/>
          <w:sz w:val="22"/>
          <w:szCs w:val="22"/>
        </w:rPr>
        <w:t xml:space="preserve"> </w:t>
      </w:r>
      <w:r w:rsidRPr="00C8283F">
        <w:rPr>
          <w:rFonts w:ascii="Century Gothic" w:hAnsi="Century Gothic"/>
          <w:sz w:val="22"/>
          <w:szCs w:val="22"/>
        </w:rPr>
        <w:t xml:space="preserve">informa a la Procuraduría Metropolitana que ha remitido la ficha técnica solicitada mediante Oficio No. GADDMQ-DMC-GCE-2020-01333-M  del 06 de marzo de </w:t>
      </w:r>
      <w:proofErr w:type="gramStart"/>
      <w:r w:rsidRPr="00C8283F">
        <w:rPr>
          <w:rFonts w:ascii="Century Gothic" w:hAnsi="Century Gothic"/>
          <w:sz w:val="22"/>
          <w:szCs w:val="22"/>
        </w:rPr>
        <w:t>2020</w:t>
      </w:r>
      <w:r w:rsidRPr="00C8283F">
        <w:rPr>
          <w:rFonts w:ascii="Century Gothic" w:hAnsi="Century Gothic"/>
          <w:b/>
          <w:sz w:val="22"/>
          <w:szCs w:val="22"/>
        </w:rPr>
        <w:t xml:space="preserve"> </w:t>
      </w:r>
      <w:r w:rsidR="009F6368">
        <w:rPr>
          <w:rFonts w:ascii="Century Gothic" w:hAnsi="Century Gothic"/>
          <w:b/>
          <w:sz w:val="22"/>
          <w:szCs w:val="22"/>
        </w:rPr>
        <w:t>;</w:t>
      </w:r>
      <w:proofErr w:type="gramEnd"/>
    </w:p>
    <w:p w:rsidR="0054693D" w:rsidRPr="00C8283F" w:rsidRDefault="0054693D" w:rsidP="0054693D">
      <w:pPr>
        <w:tabs>
          <w:tab w:val="left" w:pos="426"/>
        </w:tabs>
        <w:ind w:left="705" w:hanging="705"/>
        <w:jc w:val="both"/>
        <w:rPr>
          <w:rFonts w:ascii="Century Gothic" w:hAnsi="Century Gothic"/>
          <w:b/>
          <w:sz w:val="22"/>
          <w:szCs w:val="22"/>
        </w:rPr>
      </w:pPr>
    </w:p>
    <w:p w:rsidR="0054693D" w:rsidRPr="00C8283F" w:rsidRDefault="0054693D" w:rsidP="0054693D">
      <w:pPr>
        <w:autoSpaceDE w:val="0"/>
        <w:autoSpaceDN w:val="0"/>
        <w:adjustRightInd w:val="0"/>
        <w:ind w:left="709" w:hanging="709"/>
        <w:jc w:val="both"/>
        <w:rPr>
          <w:rFonts w:ascii="Century Gothic" w:eastAsiaTheme="minorHAnsi" w:hAnsi="Century Gothic"/>
          <w:sz w:val="22"/>
          <w:szCs w:val="22"/>
          <w:lang w:val="es-EC" w:eastAsia="en-US"/>
        </w:rPr>
      </w:pPr>
      <w:r w:rsidRPr="00C8283F">
        <w:rPr>
          <w:rFonts w:ascii="Century Gothic" w:hAnsi="Century Gothic"/>
          <w:b/>
          <w:sz w:val="22"/>
          <w:szCs w:val="22"/>
        </w:rPr>
        <w:t xml:space="preserve">Que, </w:t>
      </w:r>
      <w:r w:rsidRPr="00C8283F">
        <w:rPr>
          <w:rFonts w:ascii="Century Gothic" w:hAnsi="Century Gothic"/>
          <w:sz w:val="22"/>
          <w:szCs w:val="22"/>
        </w:rPr>
        <w:t>Procuraduría Metropolitana solicita a la Dirección Metropolitana de Catastro que</w:t>
      </w:r>
      <w:r w:rsidRPr="00C8283F">
        <w:rPr>
          <w:rFonts w:ascii="Century Gothic" w:hAnsi="Century Gothic"/>
          <w:b/>
          <w:sz w:val="22"/>
          <w:szCs w:val="22"/>
        </w:rPr>
        <w:t xml:space="preserve"> </w:t>
      </w:r>
      <w:r w:rsidRPr="00C8283F">
        <w:rPr>
          <w:rFonts w:ascii="Century Gothic" w:hAnsi="Century Gothic"/>
          <w:b/>
          <w:i/>
          <w:sz w:val="22"/>
          <w:szCs w:val="22"/>
        </w:rPr>
        <w:t>“</w:t>
      </w:r>
      <w:r w:rsidRPr="00C8283F">
        <w:rPr>
          <w:rFonts w:ascii="Century Gothic" w:eastAsiaTheme="minorHAnsi" w:hAnsi="Century Gothic"/>
          <w:i/>
          <w:sz w:val="22"/>
          <w:szCs w:val="22"/>
          <w:lang w:val="es-EC" w:eastAsia="en-US"/>
        </w:rPr>
        <w:t>En este contexto, se puede advertir que la superficie de terreno de la faja No. 1 (338.57 m2) es inferior a la superficie de la faja No. 2 (535.00), sin embargo, el avalúo de la faja No. 1, es superior al avalúo de la faja No. 2, pese a que las fajas de terreno están ubicadas de forma contigua. (…) En este sentido, una vez que se cuente con el informe sustentado respecto del avalúo de la faja No. 2, se remitirá conjuntamente con la ficha técnica correspondiente, a la Dirección Metropolitana de Riesgos, a fin de que emita su informe actualizado.”</w:t>
      </w:r>
      <w:r w:rsidR="009F6368">
        <w:rPr>
          <w:rFonts w:ascii="Century Gothic" w:eastAsiaTheme="minorHAnsi" w:hAnsi="Century Gothic"/>
          <w:i/>
          <w:sz w:val="22"/>
          <w:szCs w:val="22"/>
          <w:lang w:val="es-EC" w:eastAsia="en-US"/>
        </w:rPr>
        <w:t>;</w:t>
      </w:r>
    </w:p>
    <w:p w:rsidR="0054693D" w:rsidRPr="00C8283F" w:rsidRDefault="0054693D" w:rsidP="0054693D">
      <w:pPr>
        <w:tabs>
          <w:tab w:val="left" w:pos="426"/>
        </w:tabs>
        <w:ind w:left="705" w:hanging="709"/>
        <w:jc w:val="both"/>
        <w:rPr>
          <w:rFonts w:ascii="Century Gothic" w:eastAsiaTheme="minorHAnsi" w:hAnsi="Century Gothic"/>
          <w:sz w:val="22"/>
          <w:szCs w:val="22"/>
          <w:lang w:val="es-EC" w:eastAsia="en-US"/>
        </w:rPr>
      </w:pPr>
    </w:p>
    <w:p w:rsidR="0054693D" w:rsidRPr="00C8283F" w:rsidRDefault="0054693D" w:rsidP="0054693D">
      <w:pPr>
        <w:autoSpaceDE w:val="0"/>
        <w:autoSpaceDN w:val="0"/>
        <w:adjustRightInd w:val="0"/>
        <w:ind w:left="709" w:hanging="709"/>
        <w:jc w:val="both"/>
        <w:rPr>
          <w:rFonts w:ascii="Century Gothic" w:eastAsiaTheme="minorHAnsi" w:hAnsi="Century Gothic"/>
          <w:sz w:val="22"/>
          <w:szCs w:val="22"/>
          <w:lang w:val="es-EC" w:eastAsia="en-US"/>
        </w:rPr>
      </w:pPr>
      <w:r w:rsidRPr="00C8283F">
        <w:rPr>
          <w:rFonts w:ascii="Century Gothic" w:hAnsi="Century Gothic"/>
          <w:b/>
          <w:sz w:val="22"/>
          <w:szCs w:val="22"/>
        </w:rPr>
        <w:t xml:space="preserve">Que,  </w:t>
      </w:r>
      <w:r w:rsidRPr="00C8283F">
        <w:rPr>
          <w:rFonts w:ascii="Century Gothic" w:hAnsi="Century Gothic"/>
          <w:sz w:val="22"/>
          <w:szCs w:val="22"/>
        </w:rPr>
        <w:t xml:space="preserve">la Secretaria General de Seguridad, </w:t>
      </w:r>
      <w:r w:rsidRPr="00C8283F">
        <w:rPr>
          <w:rFonts w:ascii="Century Gothic" w:eastAsiaTheme="minorHAnsi" w:hAnsi="Century Gothic"/>
          <w:sz w:val="22"/>
          <w:szCs w:val="22"/>
          <w:lang w:val="es-EC" w:eastAsia="en-US"/>
        </w:rPr>
        <w:t xml:space="preserve">en respuesta al Documento No. GADDMQ-SGCM-2019-2575-O emite informe de los predios 433037, 6080157 y 680160 mismos que se detallan en la siguiente tabla con los números de informes técnicos enviados: </w:t>
      </w:r>
    </w:p>
    <w:p w:rsidR="0054693D" w:rsidRPr="00C8283F" w:rsidRDefault="0054693D" w:rsidP="0054693D">
      <w:pPr>
        <w:tabs>
          <w:tab w:val="left" w:pos="426"/>
        </w:tabs>
        <w:ind w:left="705" w:hanging="705"/>
        <w:jc w:val="both"/>
        <w:rPr>
          <w:rFonts w:ascii="Arial" w:eastAsiaTheme="minorHAnsi" w:hAnsi="Arial" w:cs="Arial"/>
          <w:sz w:val="22"/>
          <w:szCs w:val="22"/>
          <w:lang w:val="es-EC" w:eastAsia="en-US"/>
        </w:rPr>
      </w:pPr>
    </w:p>
    <w:tbl>
      <w:tblPr>
        <w:tblStyle w:val="Tablaconcuadrcula"/>
        <w:tblW w:w="9067" w:type="dxa"/>
        <w:tblInd w:w="-5" w:type="dxa"/>
        <w:tblLook w:val="04A0" w:firstRow="1" w:lastRow="0" w:firstColumn="1" w:lastColumn="0" w:noHBand="0" w:noVBand="1"/>
      </w:tblPr>
      <w:tblGrid>
        <w:gridCol w:w="3888"/>
        <w:gridCol w:w="1014"/>
        <w:gridCol w:w="2219"/>
        <w:gridCol w:w="1946"/>
      </w:tblGrid>
      <w:tr w:rsidR="0054693D" w:rsidRPr="00C8283F" w:rsidTr="00C8283F">
        <w:trPr>
          <w:trHeight w:val="375"/>
        </w:trPr>
        <w:tc>
          <w:tcPr>
            <w:tcW w:w="3888" w:type="dxa"/>
          </w:tcPr>
          <w:p w:rsidR="0054693D" w:rsidRPr="00C8283F" w:rsidRDefault="0054693D" w:rsidP="000D5763">
            <w:pPr>
              <w:tabs>
                <w:tab w:val="left" w:pos="426"/>
              </w:tabs>
              <w:jc w:val="both"/>
              <w:rPr>
                <w:rFonts w:ascii="Arial" w:hAnsi="Arial" w:cs="Arial"/>
                <w:b/>
                <w:sz w:val="22"/>
                <w:szCs w:val="22"/>
              </w:rPr>
            </w:pPr>
            <w:r w:rsidRPr="00C8283F">
              <w:rPr>
                <w:rFonts w:ascii="Arial" w:eastAsiaTheme="minorHAnsi" w:hAnsi="Arial" w:cs="Arial"/>
                <w:b/>
                <w:bCs/>
                <w:sz w:val="22"/>
                <w:szCs w:val="22"/>
                <w:lang w:val="es-EC" w:eastAsia="en-US"/>
              </w:rPr>
              <w:t>Oficio</w:t>
            </w:r>
          </w:p>
        </w:tc>
        <w:tc>
          <w:tcPr>
            <w:tcW w:w="1014" w:type="dxa"/>
          </w:tcPr>
          <w:p w:rsidR="0054693D" w:rsidRPr="00C8283F" w:rsidRDefault="0054693D" w:rsidP="000D5763">
            <w:pPr>
              <w:autoSpaceDE w:val="0"/>
              <w:autoSpaceDN w:val="0"/>
              <w:adjustRightInd w:val="0"/>
              <w:jc w:val="both"/>
              <w:rPr>
                <w:rFonts w:ascii="Arial" w:eastAsiaTheme="minorHAnsi" w:hAnsi="Arial" w:cs="Arial"/>
                <w:b/>
                <w:bCs/>
                <w:sz w:val="22"/>
                <w:szCs w:val="22"/>
                <w:lang w:val="es-EC" w:eastAsia="en-US"/>
              </w:rPr>
            </w:pPr>
            <w:r w:rsidRPr="00C8283F">
              <w:rPr>
                <w:rFonts w:ascii="Arial" w:eastAsiaTheme="minorHAnsi" w:hAnsi="Arial" w:cs="Arial"/>
                <w:b/>
                <w:bCs/>
                <w:sz w:val="22"/>
                <w:szCs w:val="22"/>
                <w:lang w:val="es-EC" w:eastAsia="en-US"/>
              </w:rPr>
              <w:t>No. predio</w:t>
            </w:r>
          </w:p>
        </w:tc>
        <w:tc>
          <w:tcPr>
            <w:tcW w:w="2219" w:type="dxa"/>
          </w:tcPr>
          <w:p w:rsidR="0054693D" w:rsidRPr="00C8283F" w:rsidRDefault="0054693D" w:rsidP="000D5763">
            <w:pPr>
              <w:tabs>
                <w:tab w:val="left" w:pos="426"/>
              </w:tabs>
              <w:jc w:val="both"/>
              <w:rPr>
                <w:rFonts w:ascii="Arial" w:hAnsi="Arial" w:cs="Arial"/>
                <w:b/>
                <w:sz w:val="22"/>
                <w:szCs w:val="22"/>
              </w:rPr>
            </w:pPr>
            <w:r w:rsidRPr="00C8283F">
              <w:rPr>
                <w:rFonts w:ascii="Arial" w:eastAsiaTheme="minorHAnsi" w:hAnsi="Arial" w:cs="Arial"/>
                <w:b/>
                <w:bCs/>
                <w:sz w:val="22"/>
                <w:szCs w:val="22"/>
                <w:lang w:val="es-EC" w:eastAsia="en-US"/>
              </w:rPr>
              <w:t>Nombre IRM</w:t>
            </w:r>
          </w:p>
        </w:tc>
        <w:tc>
          <w:tcPr>
            <w:tcW w:w="1946" w:type="dxa"/>
          </w:tcPr>
          <w:p w:rsidR="0054693D" w:rsidRPr="00C8283F" w:rsidRDefault="0054693D" w:rsidP="000D5763">
            <w:pPr>
              <w:tabs>
                <w:tab w:val="left" w:pos="426"/>
              </w:tabs>
              <w:jc w:val="both"/>
              <w:rPr>
                <w:rFonts w:ascii="Arial" w:hAnsi="Arial" w:cs="Arial"/>
                <w:b/>
                <w:sz w:val="22"/>
                <w:szCs w:val="22"/>
              </w:rPr>
            </w:pPr>
            <w:r w:rsidRPr="00C8283F">
              <w:rPr>
                <w:rFonts w:ascii="Arial" w:eastAsiaTheme="minorHAnsi" w:hAnsi="Arial" w:cs="Arial"/>
                <w:b/>
                <w:bCs/>
                <w:sz w:val="22"/>
                <w:szCs w:val="22"/>
                <w:lang w:val="es-EC" w:eastAsia="en-US"/>
              </w:rPr>
              <w:t>Informe Técnico</w:t>
            </w:r>
          </w:p>
        </w:tc>
      </w:tr>
      <w:tr w:rsidR="0054693D" w:rsidRPr="00C8283F" w:rsidTr="00C8283F">
        <w:trPr>
          <w:trHeight w:val="1148"/>
        </w:trPr>
        <w:tc>
          <w:tcPr>
            <w:tcW w:w="3888" w:type="dxa"/>
          </w:tcPr>
          <w:p w:rsidR="0054693D" w:rsidRPr="00C8283F" w:rsidRDefault="0054693D" w:rsidP="000D5763">
            <w:pPr>
              <w:autoSpaceDE w:val="0"/>
              <w:autoSpaceDN w:val="0"/>
              <w:adjustRightInd w:val="0"/>
              <w:jc w:val="both"/>
              <w:rPr>
                <w:rFonts w:ascii="Arial" w:eastAsiaTheme="minorHAnsi" w:hAnsi="Arial" w:cs="Arial"/>
                <w:sz w:val="22"/>
                <w:szCs w:val="22"/>
                <w:lang w:val="es-EC" w:eastAsia="en-US"/>
              </w:rPr>
            </w:pPr>
            <w:r w:rsidRPr="00C8283F">
              <w:rPr>
                <w:rFonts w:ascii="Arial" w:eastAsiaTheme="minorHAnsi" w:hAnsi="Arial" w:cs="Arial"/>
                <w:sz w:val="22"/>
                <w:szCs w:val="22"/>
                <w:lang w:val="es-EC" w:eastAsia="en-US"/>
              </w:rPr>
              <w:t>No. DMGBI-2019-00535 de fecha 15</w:t>
            </w:r>
          </w:p>
          <w:p w:rsidR="0054693D" w:rsidRPr="00C8283F" w:rsidRDefault="0054693D" w:rsidP="000D5763">
            <w:pPr>
              <w:autoSpaceDE w:val="0"/>
              <w:autoSpaceDN w:val="0"/>
              <w:adjustRightInd w:val="0"/>
              <w:jc w:val="both"/>
              <w:rPr>
                <w:rFonts w:ascii="Arial" w:eastAsiaTheme="minorHAnsi" w:hAnsi="Arial" w:cs="Arial"/>
                <w:sz w:val="22"/>
                <w:szCs w:val="22"/>
                <w:lang w:val="es-EC" w:eastAsia="en-US"/>
              </w:rPr>
            </w:pPr>
            <w:r w:rsidRPr="00C8283F">
              <w:rPr>
                <w:rFonts w:ascii="Arial" w:eastAsiaTheme="minorHAnsi" w:hAnsi="Arial" w:cs="Arial"/>
                <w:sz w:val="22"/>
                <w:szCs w:val="22"/>
                <w:lang w:val="es-EC" w:eastAsia="en-US"/>
              </w:rPr>
              <w:t>de febrero de 2019</w:t>
            </w:r>
          </w:p>
          <w:p w:rsidR="0054693D" w:rsidRPr="00C8283F" w:rsidRDefault="0054693D" w:rsidP="000D5763">
            <w:pPr>
              <w:autoSpaceDE w:val="0"/>
              <w:autoSpaceDN w:val="0"/>
              <w:adjustRightInd w:val="0"/>
              <w:jc w:val="both"/>
              <w:rPr>
                <w:rFonts w:ascii="Arial" w:eastAsiaTheme="minorHAnsi" w:hAnsi="Arial" w:cs="Arial"/>
                <w:sz w:val="22"/>
                <w:szCs w:val="22"/>
                <w:lang w:val="es-EC" w:eastAsia="en-US"/>
              </w:rPr>
            </w:pPr>
            <w:r w:rsidRPr="00C8283F">
              <w:rPr>
                <w:rFonts w:ascii="Arial" w:eastAsiaTheme="minorHAnsi" w:hAnsi="Arial" w:cs="Arial"/>
                <w:sz w:val="22"/>
                <w:szCs w:val="22"/>
                <w:lang w:val="es-EC" w:eastAsia="en-US"/>
              </w:rPr>
              <w:t>No. DMGBI-2019-00589 de fecha 20</w:t>
            </w:r>
          </w:p>
          <w:p w:rsidR="0054693D" w:rsidRPr="00C8283F" w:rsidRDefault="0054693D" w:rsidP="000D5763">
            <w:pPr>
              <w:tabs>
                <w:tab w:val="left" w:pos="426"/>
              </w:tabs>
              <w:jc w:val="both"/>
              <w:rPr>
                <w:rFonts w:ascii="Arial" w:hAnsi="Arial" w:cs="Arial"/>
                <w:b/>
                <w:sz w:val="22"/>
                <w:szCs w:val="22"/>
              </w:rPr>
            </w:pPr>
            <w:r w:rsidRPr="00C8283F">
              <w:rPr>
                <w:rFonts w:ascii="Arial" w:eastAsiaTheme="minorHAnsi" w:hAnsi="Arial" w:cs="Arial"/>
                <w:sz w:val="22"/>
                <w:szCs w:val="22"/>
                <w:lang w:val="es-EC" w:eastAsia="en-US"/>
              </w:rPr>
              <w:t>de febrero de 2019</w:t>
            </w:r>
          </w:p>
        </w:tc>
        <w:tc>
          <w:tcPr>
            <w:tcW w:w="1014" w:type="dxa"/>
          </w:tcPr>
          <w:p w:rsidR="0054693D" w:rsidRPr="00C8283F" w:rsidRDefault="0054693D" w:rsidP="000D5763">
            <w:pPr>
              <w:tabs>
                <w:tab w:val="left" w:pos="426"/>
              </w:tabs>
              <w:jc w:val="both"/>
              <w:rPr>
                <w:rFonts w:ascii="Arial" w:hAnsi="Arial" w:cs="Arial"/>
                <w:b/>
                <w:sz w:val="22"/>
                <w:szCs w:val="22"/>
              </w:rPr>
            </w:pPr>
            <w:r w:rsidRPr="00C8283F">
              <w:rPr>
                <w:rFonts w:ascii="Arial" w:eastAsiaTheme="minorHAnsi" w:hAnsi="Arial" w:cs="Arial"/>
                <w:sz w:val="22"/>
                <w:szCs w:val="22"/>
                <w:lang w:val="es-EC" w:eastAsia="en-US"/>
              </w:rPr>
              <w:t>433037</w:t>
            </w:r>
          </w:p>
        </w:tc>
        <w:tc>
          <w:tcPr>
            <w:tcW w:w="2219" w:type="dxa"/>
          </w:tcPr>
          <w:p w:rsidR="0054693D" w:rsidRPr="00C8283F" w:rsidRDefault="0054693D" w:rsidP="000D5763">
            <w:pPr>
              <w:autoSpaceDE w:val="0"/>
              <w:autoSpaceDN w:val="0"/>
              <w:adjustRightInd w:val="0"/>
              <w:jc w:val="both"/>
              <w:rPr>
                <w:rFonts w:ascii="Arial" w:eastAsiaTheme="minorHAnsi" w:hAnsi="Arial" w:cs="Arial"/>
                <w:sz w:val="22"/>
                <w:szCs w:val="22"/>
                <w:lang w:val="es-EC" w:eastAsia="en-US"/>
              </w:rPr>
            </w:pPr>
            <w:proofErr w:type="spellStart"/>
            <w:r w:rsidRPr="00C8283F">
              <w:rPr>
                <w:rFonts w:ascii="Arial" w:eastAsiaTheme="minorHAnsi" w:hAnsi="Arial" w:cs="Arial"/>
                <w:sz w:val="22"/>
                <w:szCs w:val="22"/>
                <w:lang w:val="es-EC" w:eastAsia="en-US"/>
              </w:rPr>
              <w:t>Nicolalde</w:t>
            </w:r>
            <w:proofErr w:type="spellEnd"/>
            <w:r w:rsidRPr="00C8283F">
              <w:rPr>
                <w:rFonts w:ascii="Arial" w:eastAsiaTheme="minorHAnsi" w:hAnsi="Arial" w:cs="Arial"/>
                <w:sz w:val="22"/>
                <w:szCs w:val="22"/>
                <w:lang w:val="es-EC" w:eastAsia="en-US"/>
              </w:rPr>
              <w:t xml:space="preserve"> López Carlos</w:t>
            </w:r>
          </w:p>
          <w:p w:rsidR="0054693D" w:rsidRPr="00C8283F" w:rsidRDefault="0054693D" w:rsidP="000D5763">
            <w:pPr>
              <w:tabs>
                <w:tab w:val="left" w:pos="426"/>
              </w:tabs>
              <w:jc w:val="both"/>
              <w:rPr>
                <w:rFonts w:ascii="Arial" w:hAnsi="Arial" w:cs="Arial"/>
                <w:b/>
                <w:sz w:val="22"/>
                <w:szCs w:val="22"/>
              </w:rPr>
            </w:pPr>
            <w:r w:rsidRPr="00C8283F">
              <w:rPr>
                <w:rFonts w:ascii="Arial" w:eastAsiaTheme="minorHAnsi" w:hAnsi="Arial" w:cs="Arial"/>
                <w:sz w:val="22"/>
                <w:szCs w:val="22"/>
                <w:lang w:val="es-EC" w:eastAsia="en-US"/>
              </w:rPr>
              <w:t>Xavier y Otros</w:t>
            </w:r>
          </w:p>
        </w:tc>
        <w:tc>
          <w:tcPr>
            <w:tcW w:w="1946" w:type="dxa"/>
          </w:tcPr>
          <w:p w:rsidR="0054693D" w:rsidRPr="00C8283F" w:rsidRDefault="0054693D" w:rsidP="000D5763">
            <w:pPr>
              <w:tabs>
                <w:tab w:val="left" w:pos="426"/>
              </w:tabs>
              <w:jc w:val="both"/>
              <w:rPr>
                <w:rFonts w:ascii="Arial" w:hAnsi="Arial" w:cs="Arial"/>
                <w:b/>
                <w:sz w:val="22"/>
                <w:szCs w:val="22"/>
              </w:rPr>
            </w:pPr>
            <w:r w:rsidRPr="00C8283F">
              <w:rPr>
                <w:rFonts w:ascii="Arial" w:eastAsiaTheme="minorHAnsi" w:hAnsi="Arial" w:cs="Arial"/>
                <w:sz w:val="22"/>
                <w:szCs w:val="22"/>
                <w:lang w:val="es-EC" w:eastAsia="en-US"/>
              </w:rPr>
              <w:t>T-86-AT-DMGR-2019</w:t>
            </w:r>
          </w:p>
        </w:tc>
      </w:tr>
      <w:tr w:rsidR="0054693D" w:rsidRPr="00C8283F" w:rsidTr="00C8283F">
        <w:trPr>
          <w:trHeight w:val="1148"/>
        </w:trPr>
        <w:tc>
          <w:tcPr>
            <w:tcW w:w="3888" w:type="dxa"/>
          </w:tcPr>
          <w:p w:rsidR="0054693D" w:rsidRPr="00C8283F" w:rsidRDefault="0054693D" w:rsidP="000D5763">
            <w:pPr>
              <w:autoSpaceDE w:val="0"/>
              <w:autoSpaceDN w:val="0"/>
              <w:adjustRightInd w:val="0"/>
              <w:jc w:val="both"/>
              <w:rPr>
                <w:rFonts w:ascii="Arial" w:eastAsiaTheme="minorHAnsi" w:hAnsi="Arial" w:cs="Arial"/>
                <w:sz w:val="22"/>
                <w:szCs w:val="22"/>
                <w:lang w:val="es-EC" w:eastAsia="en-US"/>
              </w:rPr>
            </w:pPr>
            <w:r w:rsidRPr="00C8283F">
              <w:rPr>
                <w:rFonts w:ascii="Arial" w:eastAsiaTheme="minorHAnsi" w:hAnsi="Arial" w:cs="Arial"/>
                <w:sz w:val="22"/>
                <w:szCs w:val="22"/>
                <w:lang w:val="es-EC" w:eastAsia="en-US"/>
              </w:rPr>
              <w:t>No. DMGBI-2019-00590 de fecha 20</w:t>
            </w:r>
          </w:p>
          <w:p w:rsidR="0054693D" w:rsidRPr="00C8283F" w:rsidRDefault="0054693D" w:rsidP="000D5763">
            <w:pPr>
              <w:autoSpaceDE w:val="0"/>
              <w:autoSpaceDN w:val="0"/>
              <w:adjustRightInd w:val="0"/>
              <w:jc w:val="both"/>
              <w:rPr>
                <w:rFonts w:ascii="Arial" w:eastAsiaTheme="minorHAnsi" w:hAnsi="Arial" w:cs="Arial"/>
                <w:sz w:val="22"/>
                <w:szCs w:val="22"/>
                <w:lang w:val="es-EC" w:eastAsia="en-US"/>
              </w:rPr>
            </w:pPr>
            <w:r w:rsidRPr="00C8283F">
              <w:rPr>
                <w:rFonts w:ascii="Arial" w:eastAsiaTheme="minorHAnsi" w:hAnsi="Arial" w:cs="Arial"/>
                <w:sz w:val="22"/>
                <w:szCs w:val="22"/>
                <w:lang w:val="es-EC" w:eastAsia="en-US"/>
              </w:rPr>
              <w:t>de febrero de 2019</w:t>
            </w:r>
          </w:p>
          <w:p w:rsidR="0054693D" w:rsidRPr="00C8283F" w:rsidRDefault="0054693D" w:rsidP="000D5763">
            <w:pPr>
              <w:autoSpaceDE w:val="0"/>
              <w:autoSpaceDN w:val="0"/>
              <w:adjustRightInd w:val="0"/>
              <w:jc w:val="both"/>
              <w:rPr>
                <w:rFonts w:ascii="Arial" w:eastAsiaTheme="minorHAnsi" w:hAnsi="Arial" w:cs="Arial"/>
                <w:sz w:val="22"/>
                <w:szCs w:val="22"/>
                <w:lang w:val="es-EC" w:eastAsia="en-US"/>
              </w:rPr>
            </w:pPr>
            <w:r w:rsidRPr="00C8283F">
              <w:rPr>
                <w:rFonts w:ascii="Arial" w:eastAsiaTheme="minorHAnsi" w:hAnsi="Arial" w:cs="Arial"/>
                <w:sz w:val="22"/>
                <w:szCs w:val="22"/>
                <w:lang w:val="es-EC" w:eastAsia="en-US"/>
              </w:rPr>
              <w:t>No. DMGBI-2019-00534 de fecha 15</w:t>
            </w:r>
          </w:p>
          <w:p w:rsidR="0054693D" w:rsidRPr="00C8283F" w:rsidRDefault="0054693D" w:rsidP="000D5763">
            <w:pPr>
              <w:tabs>
                <w:tab w:val="left" w:pos="426"/>
              </w:tabs>
              <w:jc w:val="both"/>
              <w:rPr>
                <w:rFonts w:ascii="Arial" w:hAnsi="Arial" w:cs="Arial"/>
                <w:b/>
                <w:sz w:val="22"/>
                <w:szCs w:val="22"/>
              </w:rPr>
            </w:pPr>
            <w:r w:rsidRPr="00C8283F">
              <w:rPr>
                <w:rFonts w:ascii="Arial" w:eastAsiaTheme="minorHAnsi" w:hAnsi="Arial" w:cs="Arial"/>
                <w:sz w:val="22"/>
                <w:szCs w:val="22"/>
                <w:lang w:val="es-EC" w:eastAsia="en-US"/>
              </w:rPr>
              <w:t>de febrero de 2019</w:t>
            </w:r>
          </w:p>
        </w:tc>
        <w:tc>
          <w:tcPr>
            <w:tcW w:w="1014" w:type="dxa"/>
          </w:tcPr>
          <w:p w:rsidR="0054693D" w:rsidRPr="00C8283F" w:rsidRDefault="0054693D" w:rsidP="000D5763">
            <w:pPr>
              <w:tabs>
                <w:tab w:val="left" w:pos="426"/>
              </w:tabs>
              <w:jc w:val="both"/>
              <w:rPr>
                <w:rFonts w:ascii="Arial" w:hAnsi="Arial" w:cs="Arial"/>
                <w:b/>
                <w:sz w:val="22"/>
                <w:szCs w:val="22"/>
              </w:rPr>
            </w:pPr>
            <w:r w:rsidRPr="00C8283F">
              <w:rPr>
                <w:rFonts w:ascii="Arial" w:eastAsiaTheme="minorHAnsi" w:hAnsi="Arial" w:cs="Arial"/>
                <w:sz w:val="22"/>
                <w:szCs w:val="22"/>
                <w:lang w:val="es-EC" w:eastAsia="en-US"/>
              </w:rPr>
              <w:t>680157</w:t>
            </w:r>
          </w:p>
        </w:tc>
        <w:tc>
          <w:tcPr>
            <w:tcW w:w="2219" w:type="dxa"/>
          </w:tcPr>
          <w:p w:rsidR="0054693D" w:rsidRPr="00C8283F" w:rsidRDefault="0054693D" w:rsidP="000D5763">
            <w:pPr>
              <w:tabs>
                <w:tab w:val="left" w:pos="426"/>
              </w:tabs>
              <w:jc w:val="both"/>
              <w:rPr>
                <w:rFonts w:ascii="Arial" w:hAnsi="Arial" w:cs="Arial"/>
                <w:b/>
                <w:sz w:val="22"/>
                <w:szCs w:val="22"/>
              </w:rPr>
            </w:pPr>
            <w:proofErr w:type="spellStart"/>
            <w:r w:rsidRPr="00C8283F">
              <w:rPr>
                <w:rFonts w:ascii="Arial" w:eastAsiaTheme="minorHAnsi" w:hAnsi="Arial" w:cs="Arial"/>
                <w:sz w:val="22"/>
                <w:szCs w:val="22"/>
                <w:lang w:val="es-EC" w:eastAsia="en-US"/>
              </w:rPr>
              <w:t>Nilotex</w:t>
            </w:r>
            <w:proofErr w:type="spellEnd"/>
            <w:r w:rsidRPr="00C8283F">
              <w:rPr>
                <w:rFonts w:ascii="Arial" w:eastAsiaTheme="minorHAnsi" w:hAnsi="Arial" w:cs="Arial"/>
                <w:sz w:val="22"/>
                <w:szCs w:val="22"/>
                <w:lang w:val="es-EC" w:eastAsia="en-US"/>
              </w:rPr>
              <w:t xml:space="preserve"> telas SCC</w:t>
            </w:r>
          </w:p>
        </w:tc>
        <w:tc>
          <w:tcPr>
            <w:tcW w:w="1946" w:type="dxa"/>
          </w:tcPr>
          <w:p w:rsidR="0054693D" w:rsidRPr="00C8283F" w:rsidRDefault="0054693D" w:rsidP="000D5763">
            <w:pPr>
              <w:tabs>
                <w:tab w:val="left" w:pos="426"/>
              </w:tabs>
              <w:jc w:val="both"/>
              <w:rPr>
                <w:rFonts w:ascii="Arial" w:hAnsi="Arial" w:cs="Arial"/>
                <w:b/>
                <w:sz w:val="22"/>
                <w:szCs w:val="22"/>
              </w:rPr>
            </w:pPr>
            <w:r w:rsidRPr="00C8283F">
              <w:rPr>
                <w:rFonts w:ascii="Arial" w:eastAsiaTheme="minorHAnsi" w:hAnsi="Arial" w:cs="Arial"/>
                <w:sz w:val="22"/>
                <w:szCs w:val="22"/>
                <w:lang w:val="es-EC" w:eastAsia="en-US"/>
              </w:rPr>
              <w:t>IT-87-AT-DMGR-2019</w:t>
            </w:r>
          </w:p>
        </w:tc>
      </w:tr>
      <w:tr w:rsidR="0054693D" w:rsidRPr="00C8283F" w:rsidTr="00C8283F">
        <w:trPr>
          <w:trHeight w:val="568"/>
        </w:trPr>
        <w:tc>
          <w:tcPr>
            <w:tcW w:w="3888" w:type="dxa"/>
          </w:tcPr>
          <w:p w:rsidR="0054693D" w:rsidRPr="00C8283F" w:rsidRDefault="0054693D" w:rsidP="000D5763">
            <w:pPr>
              <w:autoSpaceDE w:val="0"/>
              <w:autoSpaceDN w:val="0"/>
              <w:adjustRightInd w:val="0"/>
              <w:jc w:val="both"/>
              <w:rPr>
                <w:rFonts w:ascii="Arial" w:eastAsiaTheme="minorHAnsi" w:hAnsi="Arial" w:cs="Arial"/>
                <w:sz w:val="22"/>
                <w:szCs w:val="22"/>
                <w:lang w:val="es-EC" w:eastAsia="en-US"/>
              </w:rPr>
            </w:pPr>
            <w:r w:rsidRPr="00C8283F">
              <w:rPr>
                <w:rFonts w:ascii="Arial" w:eastAsiaTheme="minorHAnsi" w:hAnsi="Arial" w:cs="Arial"/>
                <w:sz w:val="22"/>
                <w:szCs w:val="22"/>
                <w:lang w:val="es-EC" w:eastAsia="en-US"/>
              </w:rPr>
              <w:t>No. DMGBI-2019-00652 de fecha 26</w:t>
            </w:r>
          </w:p>
          <w:p w:rsidR="0054693D" w:rsidRPr="00C8283F" w:rsidRDefault="0054693D" w:rsidP="000D5763">
            <w:pPr>
              <w:tabs>
                <w:tab w:val="left" w:pos="426"/>
              </w:tabs>
              <w:jc w:val="both"/>
              <w:rPr>
                <w:rFonts w:ascii="Arial" w:hAnsi="Arial" w:cs="Arial"/>
                <w:b/>
                <w:sz w:val="22"/>
                <w:szCs w:val="22"/>
              </w:rPr>
            </w:pPr>
            <w:r w:rsidRPr="00C8283F">
              <w:rPr>
                <w:rFonts w:ascii="Arial" w:eastAsiaTheme="minorHAnsi" w:hAnsi="Arial" w:cs="Arial"/>
                <w:sz w:val="22"/>
                <w:szCs w:val="22"/>
                <w:lang w:val="es-EC" w:eastAsia="en-US"/>
              </w:rPr>
              <w:t>de febrero de 2019</w:t>
            </w:r>
          </w:p>
        </w:tc>
        <w:tc>
          <w:tcPr>
            <w:tcW w:w="1014" w:type="dxa"/>
          </w:tcPr>
          <w:p w:rsidR="0054693D" w:rsidRPr="00C8283F" w:rsidRDefault="0054693D" w:rsidP="000D5763">
            <w:pPr>
              <w:tabs>
                <w:tab w:val="left" w:pos="426"/>
              </w:tabs>
              <w:jc w:val="both"/>
              <w:rPr>
                <w:rFonts w:ascii="Arial" w:hAnsi="Arial" w:cs="Arial"/>
                <w:b/>
                <w:sz w:val="22"/>
                <w:szCs w:val="22"/>
              </w:rPr>
            </w:pPr>
            <w:r w:rsidRPr="00C8283F">
              <w:rPr>
                <w:rFonts w:ascii="Arial" w:eastAsiaTheme="minorHAnsi" w:hAnsi="Arial" w:cs="Arial"/>
                <w:sz w:val="22"/>
                <w:szCs w:val="22"/>
                <w:lang w:val="es-EC" w:eastAsia="en-US"/>
              </w:rPr>
              <w:t>680160</w:t>
            </w:r>
          </w:p>
        </w:tc>
        <w:tc>
          <w:tcPr>
            <w:tcW w:w="2219" w:type="dxa"/>
          </w:tcPr>
          <w:p w:rsidR="0054693D" w:rsidRPr="00C8283F" w:rsidRDefault="0054693D" w:rsidP="000D5763">
            <w:pPr>
              <w:autoSpaceDE w:val="0"/>
              <w:autoSpaceDN w:val="0"/>
              <w:adjustRightInd w:val="0"/>
              <w:jc w:val="both"/>
              <w:rPr>
                <w:rFonts w:ascii="Arial" w:eastAsiaTheme="minorHAnsi" w:hAnsi="Arial" w:cs="Arial"/>
                <w:sz w:val="22"/>
                <w:szCs w:val="22"/>
                <w:lang w:val="es-EC" w:eastAsia="en-US"/>
              </w:rPr>
            </w:pPr>
            <w:proofErr w:type="spellStart"/>
            <w:r w:rsidRPr="00C8283F">
              <w:rPr>
                <w:rFonts w:ascii="Arial" w:eastAsiaTheme="minorHAnsi" w:hAnsi="Arial" w:cs="Arial"/>
                <w:sz w:val="22"/>
                <w:szCs w:val="22"/>
                <w:lang w:val="es-EC" w:eastAsia="en-US"/>
              </w:rPr>
              <w:t>Nicolalde</w:t>
            </w:r>
            <w:proofErr w:type="spellEnd"/>
            <w:r w:rsidRPr="00C8283F">
              <w:rPr>
                <w:rFonts w:ascii="Arial" w:eastAsiaTheme="minorHAnsi" w:hAnsi="Arial" w:cs="Arial"/>
                <w:sz w:val="22"/>
                <w:szCs w:val="22"/>
                <w:lang w:val="es-EC" w:eastAsia="en-US"/>
              </w:rPr>
              <w:t xml:space="preserve"> López Jorge</w:t>
            </w:r>
          </w:p>
          <w:p w:rsidR="0054693D" w:rsidRPr="00C8283F" w:rsidRDefault="0054693D" w:rsidP="000D5763">
            <w:pPr>
              <w:tabs>
                <w:tab w:val="left" w:pos="426"/>
              </w:tabs>
              <w:jc w:val="both"/>
              <w:rPr>
                <w:rFonts w:ascii="Arial" w:hAnsi="Arial" w:cs="Arial"/>
                <w:b/>
                <w:sz w:val="22"/>
                <w:szCs w:val="22"/>
              </w:rPr>
            </w:pPr>
            <w:r w:rsidRPr="00C8283F">
              <w:rPr>
                <w:rFonts w:ascii="Arial" w:eastAsiaTheme="minorHAnsi" w:hAnsi="Arial" w:cs="Arial"/>
                <w:sz w:val="22"/>
                <w:szCs w:val="22"/>
                <w:lang w:val="es-EC" w:eastAsia="en-US"/>
              </w:rPr>
              <w:t>René y Otros</w:t>
            </w:r>
          </w:p>
        </w:tc>
        <w:tc>
          <w:tcPr>
            <w:tcW w:w="1946" w:type="dxa"/>
          </w:tcPr>
          <w:p w:rsidR="0054693D" w:rsidRPr="00C8283F" w:rsidRDefault="0054693D" w:rsidP="000D5763">
            <w:pPr>
              <w:tabs>
                <w:tab w:val="left" w:pos="426"/>
              </w:tabs>
              <w:jc w:val="both"/>
              <w:rPr>
                <w:rFonts w:ascii="Arial" w:hAnsi="Arial" w:cs="Arial"/>
                <w:b/>
                <w:sz w:val="22"/>
                <w:szCs w:val="22"/>
              </w:rPr>
            </w:pPr>
            <w:r w:rsidRPr="00C8283F">
              <w:rPr>
                <w:rFonts w:ascii="Arial" w:eastAsiaTheme="minorHAnsi" w:hAnsi="Arial" w:cs="Arial"/>
                <w:sz w:val="22"/>
                <w:szCs w:val="22"/>
                <w:lang w:val="es-EC" w:eastAsia="en-US"/>
              </w:rPr>
              <w:t>IT-88-AT-DMGR-2019</w:t>
            </w:r>
          </w:p>
        </w:tc>
      </w:tr>
    </w:tbl>
    <w:p w:rsidR="0054693D" w:rsidRPr="00C8283F" w:rsidRDefault="0054693D" w:rsidP="0054693D">
      <w:pPr>
        <w:tabs>
          <w:tab w:val="left" w:pos="426"/>
        </w:tabs>
        <w:ind w:left="705" w:hanging="705"/>
        <w:jc w:val="both"/>
        <w:rPr>
          <w:rFonts w:ascii="Arial" w:hAnsi="Arial" w:cs="Arial"/>
          <w:b/>
          <w:sz w:val="22"/>
          <w:szCs w:val="22"/>
        </w:rPr>
      </w:pPr>
    </w:p>
    <w:p w:rsidR="0054693D" w:rsidRPr="00C8283F" w:rsidRDefault="0054693D" w:rsidP="0054693D">
      <w:pPr>
        <w:autoSpaceDE w:val="0"/>
        <w:autoSpaceDN w:val="0"/>
        <w:adjustRightInd w:val="0"/>
        <w:ind w:left="709" w:hanging="709"/>
        <w:jc w:val="both"/>
        <w:rPr>
          <w:rFonts w:ascii="Arial" w:eastAsiaTheme="minorHAnsi" w:hAnsi="Arial" w:cs="Arial"/>
          <w:sz w:val="22"/>
          <w:szCs w:val="22"/>
          <w:lang w:val="es-EC" w:eastAsia="en-US"/>
        </w:rPr>
      </w:pPr>
      <w:r w:rsidRPr="00C8283F">
        <w:rPr>
          <w:rFonts w:ascii="Arial" w:eastAsiaTheme="minorHAnsi" w:hAnsi="Arial" w:cs="Arial"/>
          <w:b/>
          <w:sz w:val="22"/>
          <w:szCs w:val="22"/>
          <w:lang w:val="es-EC" w:eastAsia="en-US"/>
        </w:rPr>
        <w:t>Que</w:t>
      </w:r>
      <w:r w:rsidRPr="00C8283F">
        <w:rPr>
          <w:rFonts w:ascii="Century Gothic" w:eastAsiaTheme="minorHAnsi" w:hAnsi="Century Gothic" w:cs="Arial"/>
          <w:sz w:val="22"/>
          <w:szCs w:val="22"/>
          <w:lang w:val="es-EC" w:eastAsia="en-US"/>
        </w:rPr>
        <w:t xml:space="preserve">, </w:t>
      </w:r>
      <w:r w:rsidR="00C8283F" w:rsidRPr="00C8283F">
        <w:rPr>
          <w:rFonts w:ascii="Century Gothic" w:eastAsiaTheme="minorHAnsi" w:hAnsi="Century Gothic" w:cs="Arial"/>
          <w:sz w:val="22"/>
          <w:szCs w:val="22"/>
          <w:lang w:val="es-EC" w:eastAsia="en-US"/>
        </w:rPr>
        <w:t xml:space="preserve">  </w:t>
      </w:r>
      <w:r w:rsidRPr="00C8283F">
        <w:rPr>
          <w:rFonts w:ascii="Century Gothic" w:eastAsiaTheme="minorHAnsi" w:hAnsi="Century Gothic" w:cs="Arial"/>
          <w:sz w:val="22"/>
          <w:szCs w:val="22"/>
          <w:lang w:val="es-EC" w:eastAsia="en-US"/>
        </w:rPr>
        <w:t xml:space="preserve">la Dirección Metropolitana de Catastro mediante </w:t>
      </w:r>
      <w:r w:rsidRPr="00C8283F">
        <w:rPr>
          <w:rFonts w:ascii="Century Gothic" w:eastAsiaTheme="minorHAnsi" w:hAnsi="Century Gothic" w:cs="Arial"/>
          <w:bCs/>
          <w:sz w:val="22"/>
          <w:szCs w:val="22"/>
          <w:lang w:val="es-EC" w:eastAsia="en-US"/>
        </w:rPr>
        <w:t>Oficio Nro. GADDMQ-STHV-DMC-2022-0123-O</w:t>
      </w:r>
      <w:r w:rsidRPr="00C8283F">
        <w:rPr>
          <w:rFonts w:ascii="Century Gothic" w:eastAsiaTheme="minorHAnsi" w:hAnsi="Century Gothic" w:cs="Arial"/>
          <w:sz w:val="22"/>
          <w:szCs w:val="22"/>
          <w:lang w:val="es-EC" w:eastAsia="en-US"/>
        </w:rPr>
        <w:t xml:space="preserve"> el </w:t>
      </w:r>
      <w:r w:rsidRPr="00C8283F">
        <w:rPr>
          <w:rFonts w:ascii="Century Gothic" w:eastAsiaTheme="minorHAnsi" w:hAnsi="Century Gothic" w:cs="Arial"/>
          <w:bCs/>
          <w:sz w:val="22"/>
          <w:szCs w:val="22"/>
          <w:lang w:val="es-EC" w:eastAsia="en-US"/>
        </w:rPr>
        <w:t xml:space="preserve">20 de enero de 2022 deja insubsistente el </w:t>
      </w:r>
      <w:r w:rsidRPr="00C8283F">
        <w:rPr>
          <w:rFonts w:ascii="Century Gothic" w:eastAsiaTheme="minorHAnsi" w:hAnsi="Century Gothic" w:cs="Arial"/>
          <w:sz w:val="22"/>
          <w:szCs w:val="22"/>
          <w:lang w:val="es-EC" w:eastAsia="en-US"/>
        </w:rPr>
        <w:t xml:space="preserve">Informe Técnico N° DMC-UCE-2021-1633 y emite el nuevo </w:t>
      </w:r>
      <w:r w:rsidRPr="00C8283F">
        <w:rPr>
          <w:rFonts w:ascii="Century Gothic" w:eastAsiaTheme="minorHAnsi" w:hAnsi="Century Gothic" w:cs="Arial"/>
          <w:bCs/>
          <w:sz w:val="22"/>
          <w:szCs w:val="22"/>
          <w:lang w:val="es-EC" w:eastAsia="en-US"/>
        </w:rPr>
        <w:t>Informe Técnico STHV-DMC-UCE-2022-0125</w:t>
      </w:r>
      <w:r w:rsidR="009F6368">
        <w:rPr>
          <w:rFonts w:ascii="Century Gothic" w:eastAsiaTheme="minorHAnsi" w:hAnsi="Century Gothic" w:cs="Arial"/>
          <w:sz w:val="22"/>
          <w:szCs w:val="22"/>
          <w:lang w:val="es-EC" w:eastAsia="en-US"/>
        </w:rPr>
        <w:t>;</w:t>
      </w:r>
    </w:p>
    <w:p w:rsidR="0054693D" w:rsidRPr="00C8283F" w:rsidRDefault="0054693D" w:rsidP="0054693D">
      <w:pPr>
        <w:tabs>
          <w:tab w:val="left" w:pos="426"/>
        </w:tabs>
        <w:ind w:left="705" w:hanging="705"/>
        <w:jc w:val="both"/>
        <w:rPr>
          <w:rFonts w:ascii="Arial" w:eastAsiaTheme="minorHAnsi" w:hAnsi="Arial" w:cs="Arial"/>
          <w:sz w:val="22"/>
          <w:szCs w:val="22"/>
          <w:lang w:val="es-EC" w:eastAsia="en-US"/>
        </w:rPr>
      </w:pPr>
    </w:p>
    <w:p w:rsidR="0054693D" w:rsidRPr="00C8283F" w:rsidRDefault="0054693D" w:rsidP="0054693D">
      <w:pPr>
        <w:pStyle w:val="Default"/>
        <w:ind w:left="709" w:hanging="709"/>
        <w:jc w:val="both"/>
        <w:rPr>
          <w:rFonts w:ascii="Century Gothic" w:hAnsi="Century Gothic"/>
          <w:sz w:val="22"/>
          <w:szCs w:val="22"/>
        </w:rPr>
      </w:pPr>
      <w:r w:rsidRPr="00C8283F">
        <w:rPr>
          <w:b/>
          <w:sz w:val="22"/>
          <w:szCs w:val="22"/>
        </w:rPr>
        <w:lastRenderedPageBreak/>
        <w:t>Que,</w:t>
      </w:r>
      <w:r w:rsidRPr="00C8283F">
        <w:rPr>
          <w:sz w:val="22"/>
          <w:szCs w:val="22"/>
        </w:rPr>
        <w:t xml:space="preserve"> </w:t>
      </w:r>
      <w:r w:rsidRPr="00C8283F">
        <w:rPr>
          <w:rFonts w:ascii="Century Gothic" w:hAnsi="Century Gothic"/>
          <w:sz w:val="22"/>
          <w:szCs w:val="22"/>
        </w:rPr>
        <w:t xml:space="preserve">la Dirección Metropolitana de Catastro mediante </w:t>
      </w:r>
      <w:r w:rsidRPr="00C8283F">
        <w:rPr>
          <w:rFonts w:ascii="Century Gothic" w:hAnsi="Century Gothic"/>
          <w:bCs/>
          <w:sz w:val="22"/>
          <w:szCs w:val="22"/>
        </w:rPr>
        <w:t>Oficio Nro. GADDMQ-STHV-DMC-2022-0214-O el 07 de febrero de 2022 remite</w:t>
      </w:r>
      <w:r w:rsidRPr="00C8283F">
        <w:rPr>
          <w:rFonts w:ascii="Century Gothic" w:hAnsi="Century Gothic"/>
          <w:b/>
          <w:bCs/>
          <w:sz w:val="22"/>
          <w:szCs w:val="22"/>
        </w:rPr>
        <w:t xml:space="preserve"> </w:t>
      </w:r>
      <w:r w:rsidRPr="00C8283F">
        <w:rPr>
          <w:rFonts w:ascii="Century Gothic" w:hAnsi="Century Gothic"/>
          <w:sz w:val="22"/>
          <w:szCs w:val="22"/>
        </w:rPr>
        <w:t xml:space="preserve">Informe explicando y sustentando técnicamente las causas de la diferencia del valor total de la faja de terreno entre los predios 433037, 680157 y 680157. Cuyas Conclusiones son: </w:t>
      </w:r>
    </w:p>
    <w:p w:rsidR="0054693D" w:rsidRPr="00C8283F" w:rsidRDefault="0054693D" w:rsidP="0054693D">
      <w:pPr>
        <w:pStyle w:val="Default"/>
        <w:jc w:val="both"/>
        <w:rPr>
          <w:rFonts w:ascii="Century Gothic" w:hAnsi="Century Gothic"/>
          <w:sz w:val="22"/>
          <w:szCs w:val="22"/>
        </w:rPr>
      </w:pPr>
    </w:p>
    <w:p w:rsidR="0054693D" w:rsidRPr="00C8283F" w:rsidRDefault="0054693D" w:rsidP="0054693D">
      <w:pPr>
        <w:pStyle w:val="Default"/>
        <w:numPr>
          <w:ilvl w:val="0"/>
          <w:numId w:val="2"/>
        </w:numPr>
        <w:jc w:val="both"/>
        <w:rPr>
          <w:rFonts w:ascii="Century Gothic" w:hAnsi="Century Gothic"/>
          <w:i/>
          <w:sz w:val="22"/>
          <w:szCs w:val="22"/>
        </w:rPr>
      </w:pPr>
      <w:r w:rsidRPr="00C8283F">
        <w:rPr>
          <w:rFonts w:ascii="Century Gothic" w:hAnsi="Century Gothic"/>
          <w:i/>
          <w:sz w:val="22"/>
          <w:szCs w:val="22"/>
        </w:rPr>
        <w:t xml:space="preserve">Al respecto, la Dirección Metropolitana de Catastro de la Secretaría de Territorio Hábitat y Vivienda, procedió al análisis y revisión de las fichas valorativas y se remite el informe técnico sobre la diferencia del valor de la faja de terreno de posible adjudicación colindantes a los predios 433037, 680160 y 680157, de propiedad del señor </w:t>
      </w:r>
      <w:proofErr w:type="spellStart"/>
      <w:r w:rsidRPr="00C8283F">
        <w:rPr>
          <w:rFonts w:ascii="Century Gothic" w:hAnsi="Century Gothic"/>
          <w:i/>
          <w:sz w:val="22"/>
          <w:szCs w:val="22"/>
        </w:rPr>
        <w:t>Nicolalde</w:t>
      </w:r>
      <w:proofErr w:type="spellEnd"/>
      <w:r w:rsidRPr="00C8283F">
        <w:rPr>
          <w:rFonts w:ascii="Century Gothic" w:hAnsi="Century Gothic"/>
          <w:i/>
          <w:sz w:val="22"/>
          <w:szCs w:val="22"/>
        </w:rPr>
        <w:t xml:space="preserve"> López Carlos Xavier y otros, </w:t>
      </w:r>
      <w:proofErr w:type="spellStart"/>
      <w:r w:rsidRPr="00C8283F">
        <w:rPr>
          <w:rFonts w:ascii="Century Gothic" w:hAnsi="Century Gothic"/>
          <w:i/>
          <w:sz w:val="22"/>
          <w:szCs w:val="22"/>
        </w:rPr>
        <w:t>Nicolalde</w:t>
      </w:r>
      <w:proofErr w:type="spellEnd"/>
      <w:r w:rsidRPr="00C8283F">
        <w:rPr>
          <w:rFonts w:ascii="Century Gothic" w:hAnsi="Century Gothic"/>
          <w:i/>
          <w:sz w:val="22"/>
          <w:szCs w:val="22"/>
        </w:rPr>
        <w:t xml:space="preserve"> López Jorge Rene y otros y Compañía NILOTEX TELAS, ubicado en </w:t>
      </w:r>
      <w:r w:rsidR="009F6368">
        <w:rPr>
          <w:rFonts w:ascii="Century Gothic" w:hAnsi="Century Gothic"/>
          <w:i/>
          <w:sz w:val="22"/>
          <w:szCs w:val="22"/>
        </w:rPr>
        <w:t>la parroquia Comité del Pueblo;</w:t>
      </w:r>
    </w:p>
    <w:p w:rsidR="0054693D" w:rsidRPr="00C8283F" w:rsidRDefault="0054693D" w:rsidP="0054693D">
      <w:pPr>
        <w:pStyle w:val="Default"/>
        <w:ind w:left="720"/>
        <w:jc w:val="both"/>
        <w:rPr>
          <w:rFonts w:ascii="Century Gothic" w:hAnsi="Century Gothic"/>
          <w:i/>
          <w:sz w:val="22"/>
          <w:szCs w:val="22"/>
        </w:rPr>
      </w:pPr>
    </w:p>
    <w:p w:rsidR="00B401BE" w:rsidRPr="00C8283F" w:rsidRDefault="0054693D" w:rsidP="0054693D">
      <w:pPr>
        <w:pStyle w:val="Prrafodelista"/>
        <w:numPr>
          <w:ilvl w:val="0"/>
          <w:numId w:val="2"/>
        </w:numPr>
        <w:tabs>
          <w:tab w:val="left" w:pos="426"/>
        </w:tabs>
        <w:jc w:val="both"/>
        <w:rPr>
          <w:rFonts w:ascii="Century Gothic" w:eastAsiaTheme="minorHAnsi" w:hAnsi="Century Gothic" w:cs="Arial"/>
          <w:i/>
          <w:sz w:val="22"/>
          <w:szCs w:val="22"/>
          <w:lang w:eastAsia="en-US"/>
        </w:rPr>
      </w:pPr>
      <w:r w:rsidRPr="00C8283F">
        <w:rPr>
          <w:rFonts w:ascii="Century Gothic" w:eastAsiaTheme="minorHAnsi" w:hAnsi="Century Gothic" w:cs="Arial"/>
          <w:i/>
          <w:color w:val="000000"/>
          <w:sz w:val="22"/>
          <w:szCs w:val="22"/>
          <w:lang w:eastAsia="en-US"/>
        </w:rPr>
        <w:t xml:space="preserve">Con Oficio N° EPMAPS-GOLM-2019-020, de 13 de mayo de 2019 la EPMAPS, remitió el plano con la implantación del colector, (adjunto) el mismo que no atraviesa al predio 433037 área de posible adjudicación mientras que los predios 680160 y 680157 el colector atraviesa el área de posible adjudicación. Cabe indicar que al predio No. 433037 de clave catastral 13108-02-003 solo se aplica el factor de corrección por relleno de quebrada (07) y no se aplica el factor colector (0.30) mientras que a los predios 680160 de clave catastral 13108-02-058 y predio 680157 de clave catastral 13108-02-012 se aplica el factor de corrección por relleno de quebrada (0.7) y factor colector (0.30), siendo la causa de la diferencia del valor monetario de los lotes de </w:t>
      </w:r>
      <w:r w:rsidR="009F6368">
        <w:rPr>
          <w:rFonts w:ascii="Century Gothic" w:eastAsiaTheme="minorHAnsi" w:hAnsi="Century Gothic" w:cs="Arial"/>
          <w:i/>
          <w:color w:val="000000"/>
          <w:sz w:val="22"/>
          <w:szCs w:val="22"/>
          <w:lang w:eastAsia="en-US"/>
        </w:rPr>
        <w:t>terreno de posible adjudicación;</w:t>
      </w:r>
    </w:p>
    <w:p w:rsidR="00BA364C" w:rsidRPr="00C8283F" w:rsidRDefault="00BA364C" w:rsidP="003313FD">
      <w:pPr>
        <w:autoSpaceDE w:val="0"/>
        <w:autoSpaceDN w:val="0"/>
        <w:adjustRightInd w:val="0"/>
        <w:jc w:val="both"/>
        <w:rPr>
          <w:rFonts w:ascii="Century Gothic" w:hAnsi="Century Gothic" w:cs="Arial"/>
          <w:sz w:val="22"/>
          <w:szCs w:val="22"/>
        </w:rPr>
      </w:pPr>
    </w:p>
    <w:p w:rsidR="00EC074F" w:rsidRPr="00C8283F" w:rsidRDefault="00EC074F" w:rsidP="00EC074F">
      <w:pPr>
        <w:autoSpaceDE w:val="0"/>
        <w:autoSpaceDN w:val="0"/>
        <w:adjustRightInd w:val="0"/>
        <w:ind w:left="567" w:hanging="567"/>
        <w:jc w:val="both"/>
        <w:rPr>
          <w:rFonts w:ascii="Century Gothic" w:eastAsiaTheme="minorHAnsi" w:hAnsi="Century Gothic" w:cs="Arial"/>
          <w:sz w:val="22"/>
          <w:szCs w:val="22"/>
          <w:lang w:val="es-EC" w:eastAsia="en-US"/>
        </w:rPr>
      </w:pPr>
      <w:r w:rsidRPr="00C8283F">
        <w:rPr>
          <w:rFonts w:ascii="Century Gothic" w:hAnsi="Century Gothic" w:cs="Arial"/>
          <w:b/>
          <w:sz w:val="22"/>
          <w:szCs w:val="22"/>
        </w:rPr>
        <w:t xml:space="preserve">Que, </w:t>
      </w:r>
      <w:r w:rsidRPr="00C8283F">
        <w:rPr>
          <w:rFonts w:ascii="Century Gothic" w:eastAsiaTheme="minorHAnsi" w:hAnsi="Century Gothic" w:cs="Arial"/>
          <w:sz w:val="22"/>
          <w:szCs w:val="22"/>
          <w:lang w:val="es-EC" w:eastAsia="en-US"/>
        </w:rPr>
        <w:t xml:space="preserve">la Comisión de Propiedad y Espacio Público, con Informe No. IC-CPP-2022-005, emitió dictamen Favorable para obtener del Concejo Metropolitano de Quito: (i) el cambio de categoría de bien municipal de dominio público a bien municipal de dominio privado de la faja de terreno, producto de relleno de quebrada; y, (ii) la enajenación directa de la referida faja de terreno a favor de los propietarios colindantes señores Jorge René </w:t>
      </w:r>
      <w:proofErr w:type="spellStart"/>
      <w:r w:rsidRPr="00C8283F">
        <w:rPr>
          <w:rFonts w:ascii="Century Gothic" w:eastAsiaTheme="minorHAnsi" w:hAnsi="Century Gothic" w:cs="Arial"/>
          <w:sz w:val="22"/>
          <w:szCs w:val="22"/>
          <w:lang w:val="es-EC" w:eastAsia="en-US"/>
        </w:rPr>
        <w:t>Nicolalde</w:t>
      </w:r>
      <w:proofErr w:type="spellEnd"/>
      <w:r w:rsidRPr="00C8283F">
        <w:rPr>
          <w:rFonts w:ascii="Century Gothic" w:eastAsiaTheme="minorHAnsi" w:hAnsi="Century Gothic" w:cs="Arial"/>
          <w:sz w:val="22"/>
          <w:szCs w:val="22"/>
          <w:lang w:val="es-EC" w:eastAsia="en-US"/>
        </w:rPr>
        <w:t xml:space="preserve"> López, Jane Elizabeth </w:t>
      </w:r>
      <w:proofErr w:type="spellStart"/>
      <w:r w:rsidRPr="00C8283F">
        <w:rPr>
          <w:rFonts w:ascii="Century Gothic" w:eastAsiaTheme="minorHAnsi" w:hAnsi="Century Gothic" w:cs="Arial"/>
          <w:sz w:val="22"/>
          <w:szCs w:val="22"/>
          <w:lang w:val="es-EC" w:eastAsia="en-US"/>
        </w:rPr>
        <w:t>Nicolalde</w:t>
      </w:r>
      <w:proofErr w:type="spellEnd"/>
      <w:r w:rsidRPr="00C8283F">
        <w:rPr>
          <w:rFonts w:ascii="Century Gothic" w:eastAsiaTheme="minorHAnsi" w:hAnsi="Century Gothic" w:cs="Arial"/>
          <w:sz w:val="22"/>
          <w:szCs w:val="22"/>
          <w:lang w:val="es-EC" w:eastAsia="en-US"/>
        </w:rPr>
        <w:t xml:space="preserve"> López y Carlos Xavier </w:t>
      </w:r>
      <w:proofErr w:type="spellStart"/>
      <w:r w:rsidRPr="00C8283F">
        <w:rPr>
          <w:rFonts w:ascii="Century Gothic" w:eastAsiaTheme="minorHAnsi" w:hAnsi="Century Gothic" w:cs="Arial"/>
          <w:sz w:val="22"/>
          <w:szCs w:val="22"/>
          <w:lang w:val="es-EC" w:eastAsia="en-US"/>
        </w:rPr>
        <w:t>Nicolalde</w:t>
      </w:r>
      <w:proofErr w:type="spellEnd"/>
      <w:r w:rsidRPr="00C8283F">
        <w:rPr>
          <w:rFonts w:ascii="Century Gothic" w:eastAsiaTheme="minorHAnsi" w:hAnsi="Century Gothic" w:cs="Arial"/>
          <w:sz w:val="22"/>
          <w:szCs w:val="22"/>
          <w:lang w:val="es-EC" w:eastAsia="en-US"/>
        </w:rPr>
        <w:t xml:space="preserve"> López;</w:t>
      </w:r>
    </w:p>
    <w:p w:rsidR="00EC074F" w:rsidRPr="00C8283F" w:rsidRDefault="00EC074F" w:rsidP="00EC074F">
      <w:pPr>
        <w:autoSpaceDE w:val="0"/>
        <w:autoSpaceDN w:val="0"/>
        <w:adjustRightInd w:val="0"/>
        <w:ind w:left="567" w:hanging="567"/>
        <w:jc w:val="both"/>
        <w:rPr>
          <w:rFonts w:ascii="Century Gothic" w:eastAsiaTheme="minorHAnsi" w:hAnsi="Century Gothic" w:cs="Arial"/>
          <w:sz w:val="22"/>
          <w:szCs w:val="22"/>
          <w:lang w:val="es-EC" w:eastAsia="en-US"/>
        </w:rPr>
      </w:pPr>
    </w:p>
    <w:p w:rsidR="00EC074F" w:rsidRPr="00C8283F" w:rsidRDefault="00EC074F" w:rsidP="00EC074F">
      <w:pPr>
        <w:autoSpaceDE w:val="0"/>
        <w:autoSpaceDN w:val="0"/>
        <w:adjustRightInd w:val="0"/>
        <w:ind w:left="567" w:hanging="567"/>
        <w:jc w:val="both"/>
        <w:rPr>
          <w:rFonts w:ascii="Century Gothic" w:eastAsiaTheme="minorHAnsi" w:hAnsi="Century Gothic" w:cs="Arial"/>
          <w:i/>
          <w:iCs/>
          <w:sz w:val="22"/>
          <w:szCs w:val="22"/>
          <w:lang w:val="es-EC" w:eastAsia="en-US"/>
        </w:rPr>
      </w:pPr>
      <w:r w:rsidRPr="00C8283F">
        <w:rPr>
          <w:rFonts w:ascii="Century Gothic" w:hAnsi="Century Gothic" w:cs="Arial"/>
          <w:b/>
          <w:sz w:val="22"/>
          <w:szCs w:val="22"/>
        </w:rPr>
        <w:t xml:space="preserve">Que, </w:t>
      </w:r>
      <w:r w:rsidRPr="00C8283F">
        <w:rPr>
          <w:rFonts w:ascii="Century Gothic" w:eastAsiaTheme="minorHAnsi" w:hAnsi="Century Gothic" w:cs="Arial"/>
          <w:sz w:val="22"/>
          <w:szCs w:val="22"/>
          <w:lang w:val="es-EC" w:eastAsia="en-US"/>
        </w:rPr>
        <w:t xml:space="preserve">mediante Resolución No. C106-2022 de 06 de octubre de 2022, el Concejo Metropolitano de Quito, por moción presentada por el doctor Marco </w:t>
      </w:r>
      <w:proofErr w:type="spellStart"/>
      <w:r w:rsidRPr="00C8283F">
        <w:rPr>
          <w:rFonts w:ascii="Century Gothic" w:eastAsiaTheme="minorHAnsi" w:hAnsi="Century Gothic" w:cs="Arial"/>
          <w:sz w:val="22"/>
          <w:szCs w:val="22"/>
          <w:lang w:val="es-EC" w:eastAsia="en-US"/>
        </w:rPr>
        <w:t>Collaguazo</w:t>
      </w:r>
      <w:proofErr w:type="spellEnd"/>
      <w:r w:rsidRPr="00C8283F">
        <w:rPr>
          <w:rFonts w:ascii="Century Gothic" w:eastAsiaTheme="minorHAnsi" w:hAnsi="Century Gothic" w:cs="Arial"/>
          <w:sz w:val="22"/>
          <w:szCs w:val="22"/>
          <w:lang w:val="es-EC" w:eastAsia="en-US"/>
        </w:rPr>
        <w:t xml:space="preserve">, en su calidad de Presidente de la Comisión de Propiedad, Resolvió: </w:t>
      </w:r>
      <w:r w:rsidRPr="00C8283F">
        <w:rPr>
          <w:rFonts w:ascii="Century Gothic" w:eastAsiaTheme="minorHAnsi" w:hAnsi="Century Gothic" w:cs="Arial"/>
          <w:i/>
          <w:iCs/>
          <w:sz w:val="22"/>
          <w:szCs w:val="22"/>
          <w:lang w:val="es-EC" w:eastAsia="en-US"/>
        </w:rPr>
        <w:t>“Artículo Único. - Devolver a la Comisión de Propiedad y Espacio Público el</w:t>
      </w:r>
      <w:r w:rsidRPr="00C8283F">
        <w:rPr>
          <w:rFonts w:ascii="Century Gothic" w:eastAsiaTheme="minorHAnsi" w:hAnsi="Century Gothic" w:cs="Arial"/>
          <w:sz w:val="22"/>
          <w:szCs w:val="22"/>
          <w:lang w:val="es-EC" w:eastAsia="en-US"/>
        </w:rPr>
        <w:t xml:space="preserve"> </w:t>
      </w:r>
      <w:r w:rsidRPr="00C8283F">
        <w:rPr>
          <w:rFonts w:ascii="Century Gothic" w:eastAsiaTheme="minorHAnsi" w:hAnsi="Century Gothic" w:cs="Arial"/>
          <w:i/>
          <w:iCs/>
          <w:sz w:val="22"/>
          <w:szCs w:val="22"/>
          <w:lang w:val="es-EC" w:eastAsia="en-US"/>
        </w:rPr>
        <w:t>Informe No. IC-CPP-2022-005, junto con su respectivo expediente a efecto de superar las imprecisiones</w:t>
      </w:r>
      <w:r w:rsidRPr="00C8283F">
        <w:rPr>
          <w:rFonts w:ascii="Century Gothic" w:eastAsiaTheme="minorHAnsi" w:hAnsi="Century Gothic" w:cs="Arial"/>
          <w:sz w:val="22"/>
          <w:szCs w:val="22"/>
          <w:lang w:val="es-EC" w:eastAsia="en-US"/>
        </w:rPr>
        <w:t xml:space="preserve"> </w:t>
      </w:r>
      <w:r w:rsidRPr="00C8283F">
        <w:rPr>
          <w:rFonts w:ascii="Century Gothic" w:eastAsiaTheme="minorHAnsi" w:hAnsi="Century Gothic" w:cs="Arial"/>
          <w:i/>
          <w:iCs/>
          <w:sz w:val="22"/>
          <w:szCs w:val="22"/>
          <w:lang w:val="es-EC" w:eastAsia="en-US"/>
        </w:rPr>
        <w:t>técnicas de las que adolece el mentado informe, previo a que regrese a conocimiento y consideración delos miembros de Concejo Metropolitano.”;</w:t>
      </w:r>
    </w:p>
    <w:p w:rsidR="00EC074F" w:rsidRPr="00C8283F" w:rsidRDefault="00EC074F" w:rsidP="00EC074F">
      <w:pPr>
        <w:autoSpaceDE w:val="0"/>
        <w:autoSpaceDN w:val="0"/>
        <w:adjustRightInd w:val="0"/>
        <w:ind w:left="567" w:hanging="567"/>
        <w:jc w:val="both"/>
        <w:rPr>
          <w:rFonts w:ascii="Century Gothic" w:eastAsiaTheme="minorHAnsi" w:hAnsi="Century Gothic" w:cs="Arial"/>
          <w:sz w:val="22"/>
          <w:szCs w:val="22"/>
          <w:lang w:val="es-EC" w:eastAsia="en-US"/>
        </w:rPr>
      </w:pPr>
    </w:p>
    <w:p w:rsidR="00EC074F" w:rsidRPr="00C8283F" w:rsidRDefault="00EC074F" w:rsidP="00EC074F">
      <w:pPr>
        <w:autoSpaceDE w:val="0"/>
        <w:autoSpaceDN w:val="0"/>
        <w:adjustRightInd w:val="0"/>
        <w:ind w:left="567" w:hanging="567"/>
        <w:jc w:val="both"/>
        <w:rPr>
          <w:rFonts w:ascii="Century Gothic" w:eastAsiaTheme="minorHAnsi" w:hAnsi="Century Gothic" w:cs="Arial"/>
          <w:i/>
          <w:iCs/>
          <w:sz w:val="22"/>
          <w:szCs w:val="22"/>
          <w:lang w:val="es-EC" w:eastAsia="en-US"/>
        </w:rPr>
      </w:pPr>
      <w:r w:rsidRPr="00C8283F">
        <w:rPr>
          <w:rFonts w:ascii="Century Gothic" w:eastAsiaTheme="minorHAnsi" w:hAnsi="Century Gothic" w:cs="Arial"/>
          <w:b/>
          <w:sz w:val="22"/>
          <w:szCs w:val="22"/>
          <w:lang w:val="es-EC" w:eastAsia="en-US"/>
        </w:rPr>
        <w:t xml:space="preserve">Que, </w:t>
      </w:r>
      <w:r w:rsidRPr="00C8283F">
        <w:rPr>
          <w:rFonts w:ascii="Century Gothic" w:eastAsiaTheme="minorHAnsi" w:hAnsi="Century Gothic" w:cs="Arial"/>
          <w:sz w:val="22"/>
          <w:szCs w:val="22"/>
          <w:lang w:val="es-EC" w:eastAsia="en-US"/>
        </w:rPr>
        <w:t>mediante Resolución No 022-CPP-2022 de 19 de octubre de 2022, la Comisión de Propiedad y Espacio</w:t>
      </w:r>
      <w:r w:rsidRPr="00C8283F">
        <w:rPr>
          <w:rFonts w:ascii="Century Gothic" w:eastAsiaTheme="minorHAnsi" w:hAnsi="Century Gothic" w:cs="Arial"/>
          <w:b/>
          <w:sz w:val="22"/>
          <w:szCs w:val="22"/>
          <w:lang w:val="es-EC" w:eastAsia="en-US"/>
        </w:rPr>
        <w:t xml:space="preserve"> </w:t>
      </w:r>
      <w:r w:rsidRPr="00C8283F">
        <w:rPr>
          <w:rFonts w:ascii="Century Gothic" w:eastAsiaTheme="minorHAnsi" w:hAnsi="Century Gothic" w:cs="Arial"/>
          <w:sz w:val="22"/>
          <w:szCs w:val="22"/>
          <w:lang w:val="es-EC" w:eastAsia="en-US"/>
        </w:rPr>
        <w:t>Público, Resolvió</w:t>
      </w:r>
      <w:r w:rsidRPr="00C8283F">
        <w:rPr>
          <w:rFonts w:ascii="Century Gothic" w:eastAsiaTheme="minorHAnsi" w:hAnsi="Century Gothic" w:cs="Arial"/>
          <w:i/>
          <w:sz w:val="22"/>
          <w:szCs w:val="22"/>
          <w:lang w:val="es-EC" w:eastAsia="en-US"/>
        </w:rPr>
        <w:t xml:space="preserve">: </w:t>
      </w:r>
      <w:r w:rsidRPr="00C8283F">
        <w:rPr>
          <w:rFonts w:ascii="Century Gothic" w:eastAsiaTheme="minorHAnsi" w:hAnsi="Century Gothic" w:cs="Arial"/>
          <w:i/>
          <w:iCs/>
          <w:sz w:val="22"/>
          <w:szCs w:val="22"/>
          <w:lang w:val="es-EC" w:eastAsia="en-US"/>
        </w:rPr>
        <w:t xml:space="preserve">“Solicitar a la Empresa Pública Metropolitana de Agua Potable y Saneamiento que, en el término de 15 días remita a la Dirección Metropolitana de Catastros y a la Comisión un informe actualizado para continuar con el proceso de adjudicación de la faja de terreno Nro. 2 a favor de los colindantes señores Jorge René </w:t>
      </w:r>
      <w:proofErr w:type="spellStart"/>
      <w:r w:rsidRPr="00C8283F">
        <w:rPr>
          <w:rFonts w:ascii="Century Gothic" w:eastAsiaTheme="minorHAnsi" w:hAnsi="Century Gothic" w:cs="Arial"/>
          <w:i/>
          <w:iCs/>
          <w:sz w:val="22"/>
          <w:szCs w:val="22"/>
          <w:lang w:val="es-EC" w:eastAsia="en-US"/>
        </w:rPr>
        <w:lastRenderedPageBreak/>
        <w:t>Nicolalde</w:t>
      </w:r>
      <w:proofErr w:type="spellEnd"/>
      <w:r w:rsidRPr="00C8283F">
        <w:rPr>
          <w:rFonts w:ascii="Century Gothic" w:eastAsiaTheme="minorHAnsi" w:hAnsi="Century Gothic" w:cs="Arial"/>
          <w:i/>
          <w:iCs/>
          <w:sz w:val="22"/>
          <w:szCs w:val="22"/>
          <w:lang w:val="es-EC" w:eastAsia="en-US"/>
        </w:rPr>
        <w:t xml:space="preserve"> López, Jane Elizabeth </w:t>
      </w:r>
      <w:proofErr w:type="spellStart"/>
      <w:r w:rsidRPr="00C8283F">
        <w:rPr>
          <w:rFonts w:ascii="Century Gothic" w:eastAsiaTheme="minorHAnsi" w:hAnsi="Century Gothic" w:cs="Arial"/>
          <w:i/>
          <w:iCs/>
          <w:sz w:val="22"/>
          <w:szCs w:val="22"/>
          <w:lang w:val="es-EC" w:eastAsia="en-US"/>
        </w:rPr>
        <w:t>Nicolalde</w:t>
      </w:r>
      <w:proofErr w:type="spellEnd"/>
      <w:r w:rsidRPr="00C8283F">
        <w:rPr>
          <w:rFonts w:ascii="Century Gothic" w:eastAsiaTheme="minorHAnsi" w:hAnsi="Century Gothic" w:cs="Arial"/>
          <w:i/>
          <w:iCs/>
          <w:sz w:val="22"/>
          <w:szCs w:val="22"/>
          <w:lang w:val="es-EC" w:eastAsia="en-US"/>
        </w:rPr>
        <w:t xml:space="preserve"> López y Carlos Xavier </w:t>
      </w:r>
      <w:proofErr w:type="spellStart"/>
      <w:r w:rsidRPr="00C8283F">
        <w:rPr>
          <w:rFonts w:ascii="Century Gothic" w:eastAsiaTheme="minorHAnsi" w:hAnsi="Century Gothic" w:cs="Arial"/>
          <w:i/>
          <w:iCs/>
          <w:sz w:val="22"/>
          <w:szCs w:val="22"/>
          <w:lang w:val="es-EC" w:eastAsia="en-US"/>
        </w:rPr>
        <w:t>Nicolalde</w:t>
      </w:r>
      <w:proofErr w:type="spellEnd"/>
      <w:r w:rsidRPr="00C8283F">
        <w:rPr>
          <w:rFonts w:ascii="Century Gothic" w:eastAsiaTheme="minorHAnsi" w:hAnsi="Century Gothic" w:cs="Arial"/>
          <w:i/>
          <w:iCs/>
          <w:sz w:val="22"/>
          <w:szCs w:val="22"/>
          <w:lang w:val="es-EC" w:eastAsia="en-US"/>
        </w:rPr>
        <w:t xml:space="preserve"> López. Una vez que la Dirección Metropolitana de Catastros cuente con el informe actualizado de la Empresa Pública Metropolita de Agua Potable y Saneamiento, en el término de 8 días ratifique o rectifique la ficha técnica valorativa, para continuar con el respectivo trámite.”; </w:t>
      </w:r>
    </w:p>
    <w:p w:rsidR="00BA364C" w:rsidRPr="00C8283F" w:rsidRDefault="00BA364C" w:rsidP="00181251">
      <w:pPr>
        <w:autoSpaceDE w:val="0"/>
        <w:autoSpaceDN w:val="0"/>
        <w:adjustRightInd w:val="0"/>
        <w:jc w:val="both"/>
        <w:rPr>
          <w:rFonts w:ascii="Century Gothic" w:hAnsi="Century Gothic" w:cs="Arial"/>
          <w:sz w:val="22"/>
          <w:szCs w:val="22"/>
        </w:rPr>
      </w:pPr>
    </w:p>
    <w:p w:rsidR="00BA364C" w:rsidRPr="00C8283F" w:rsidRDefault="00BA364C" w:rsidP="00F21462">
      <w:pPr>
        <w:autoSpaceDE w:val="0"/>
        <w:autoSpaceDN w:val="0"/>
        <w:adjustRightInd w:val="0"/>
        <w:ind w:left="709" w:hanging="709"/>
        <w:jc w:val="both"/>
        <w:rPr>
          <w:rFonts w:ascii="Century Gothic" w:eastAsiaTheme="minorHAnsi" w:hAnsi="Century Gothic" w:cs="Arial"/>
          <w:iCs/>
          <w:sz w:val="22"/>
          <w:szCs w:val="22"/>
          <w:lang w:val="es-EC" w:eastAsia="en-US"/>
        </w:rPr>
      </w:pPr>
      <w:r w:rsidRPr="00C8283F">
        <w:rPr>
          <w:rFonts w:ascii="Century Gothic" w:hAnsi="Century Gothic" w:cs="Arial"/>
          <w:b/>
          <w:sz w:val="22"/>
          <w:szCs w:val="22"/>
        </w:rPr>
        <w:t>Que,</w:t>
      </w:r>
      <w:r w:rsidRPr="00C8283F">
        <w:rPr>
          <w:rFonts w:ascii="Century Gothic" w:hAnsi="Century Gothic" w:cs="Arial"/>
          <w:sz w:val="22"/>
          <w:szCs w:val="22"/>
        </w:rPr>
        <w:t xml:space="preserve">  </w:t>
      </w:r>
      <w:r w:rsidR="00181251" w:rsidRPr="00C8283F">
        <w:rPr>
          <w:rFonts w:ascii="Century Gothic" w:eastAsiaTheme="minorHAnsi" w:hAnsi="Century Gothic" w:cs="Arial"/>
          <w:sz w:val="22"/>
          <w:szCs w:val="22"/>
          <w:lang w:val="es-EC" w:eastAsia="en-US"/>
        </w:rPr>
        <w:t>la Empresa Pública Metropolitana de Agua Potable y Saneamiento, mediante Oficio No. EPMAPS-GO-GOLM-2023-0007 de 12 de enero de 2023, respecto a la Resolución No. 022-CPP-2022 de 19 de octubre de 2022, informó</w:t>
      </w:r>
      <w:r w:rsidR="00181251" w:rsidRPr="00C8283F">
        <w:rPr>
          <w:rFonts w:ascii="Century Gothic" w:eastAsiaTheme="minorHAnsi" w:hAnsi="Century Gothic" w:cs="Arial"/>
          <w:i/>
          <w:sz w:val="22"/>
          <w:szCs w:val="22"/>
          <w:lang w:val="es-EC" w:eastAsia="en-US"/>
        </w:rPr>
        <w:t xml:space="preserve">: </w:t>
      </w:r>
      <w:r w:rsidR="00421024">
        <w:rPr>
          <w:rFonts w:ascii="Century Gothic" w:eastAsiaTheme="minorHAnsi" w:hAnsi="Century Gothic" w:cs="Arial"/>
          <w:i/>
          <w:iCs/>
          <w:sz w:val="22"/>
          <w:szCs w:val="22"/>
          <w:lang w:val="es-EC" w:eastAsia="en-US"/>
        </w:rPr>
        <w:t>“ (</w:t>
      </w:r>
      <w:r w:rsidR="00181251" w:rsidRPr="00C8283F">
        <w:rPr>
          <w:rFonts w:ascii="Century Gothic" w:eastAsiaTheme="minorHAnsi" w:hAnsi="Century Gothic" w:cs="Arial"/>
          <w:i/>
          <w:sz w:val="22"/>
          <w:szCs w:val="22"/>
          <w:lang w:val="es-EC" w:eastAsia="en-US"/>
        </w:rPr>
        <w:t>…</w:t>
      </w:r>
      <w:r w:rsidR="00421024">
        <w:rPr>
          <w:rFonts w:ascii="Century Gothic" w:eastAsiaTheme="minorHAnsi" w:hAnsi="Century Gothic" w:cs="Arial"/>
          <w:i/>
          <w:iCs/>
          <w:sz w:val="22"/>
          <w:szCs w:val="22"/>
          <w:lang w:val="es-EC" w:eastAsia="en-US"/>
        </w:rPr>
        <w:t>)</w:t>
      </w:r>
      <w:r w:rsidR="00181251" w:rsidRPr="00C8283F">
        <w:rPr>
          <w:rFonts w:ascii="Century Gothic" w:eastAsiaTheme="minorHAnsi" w:hAnsi="Century Gothic" w:cs="Arial"/>
          <w:i/>
          <w:iCs/>
          <w:sz w:val="22"/>
          <w:szCs w:val="22"/>
          <w:lang w:val="es-EC" w:eastAsia="en-US"/>
        </w:rPr>
        <w:t xml:space="preserve"> me permito ratificar lo indicado en los oficios EPMAPS-GOLM-2019-020,</w:t>
      </w:r>
      <w:r w:rsidRPr="00C8283F">
        <w:rPr>
          <w:rFonts w:ascii="Century Gothic" w:hAnsi="Century Gothic" w:cs="Arial"/>
          <w:i/>
          <w:sz w:val="22"/>
          <w:szCs w:val="22"/>
        </w:rPr>
        <w:t xml:space="preserve"> </w:t>
      </w:r>
      <w:r w:rsidR="00181251" w:rsidRPr="00C8283F">
        <w:rPr>
          <w:rFonts w:ascii="Century Gothic" w:eastAsiaTheme="minorHAnsi" w:hAnsi="Century Gothic" w:cs="Arial"/>
          <w:i/>
          <w:iCs/>
          <w:sz w:val="22"/>
          <w:szCs w:val="22"/>
          <w:lang w:val="es-EC" w:eastAsia="en-US"/>
        </w:rPr>
        <w:t xml:space="preserve">EPMAPSGOLM-2017-003 y EPMAPS-GO-GOLN-2022-0437 de 06 de febrero de 2017, 13 de mayo de 2019 y 01 de diciembre de 2022, respectivamente, en los que se indica que no existen impedimento alguno para que se proceda con la adjudicación de la franja de relleno de quebrada en las condiciones indicadas en el artículo No. 172 de la Ordenanza Municipal. Adicionalmente, remito el plano con el catastro de la infraestructura de la EPMAPS que consta en la base de datos Sistema de Información Geográfica de la EPMAPS. Cabe mencionar que en el cuadro N°14 de Áreas de Protección Especial de la Ordenanza Metropolitana N° 0172, dispone mantener una franja de protección de 3 metros a cada lado del eje de la </w:t>
      </w:r>
      <w:r w:rsidR="00421024">
        <w:rPr>
          <w:rFonts w:ascii="Century Gothic" w:eastAsiaTheme="minorHAnsi" w:hAnsi="Century Gothic" w:cs="Arial"/>
          <w:i/>
          <w:iCs/>
          <w:sz w:val="22"/>
          <w:szCs w:val="22"/>
          <w:lang w:val="es-EC" w:eastAsia="en-US"/>
        </w:rPr>
        <w:t>red pública de alcantarillado. (</w:t>
      </w:r>
      <w:r w:rsidR="00181251" w:rsidRPr="00C8283F">
        <w:rPr>
          <w:rFonts w:ascii="Century Gothic" w:eastAsiaTheme="minorHAnsi" w:hAnsi="Century Gothic" w:cs="Arial"/>
          <w:i/>
          <w:sz w:val="22"/>
          <w:szCs w:val="22"/>
          <w:lang w:val="es-EC" w:eastAsia="en-US"/>
        </w:rPr>
        <w:t>…</w:t>
      </w:r>
      <w:r w:rsidR="00421024">
        <w:rPr>
          <w:rFonts w:ascii="Century Gothic" w:eastAsiaTheme="minorHAnsi" w:hAnsi="Century Gothic" w:cs="Arial"/>
          <w:i/>
          <w:iCs/>
          <w:sz w:val="22"/>
          <w:szCs w:val="22"/>
          <w:lang w:val="es-EC" w:eastAsia="en-US"/>
        </w:rPr>
        <w:t>)</w:t>
      </w:r>
      <w:r w:rsidR="00181251" w:rsidRPr="00C8283F">
        <w:rPr>
          <w:rFonts w:ascii="Century Gothic" w:eastAsiaTheme="minorHAnsi" w:hAnsi="Century Gothic" w:cs="Arial"/>
          <w:i/>
          <w:iCs/>
          <w:sz w:val="22"/>
          <w:szCs w:val="22"/>
          <w:lang w:val="es-EC" w:eastAsia="en-US"/>
        </w:rPr>
        <w:t>”</w:t>
      </w:r>
      <w:r w:rsidR="00181251" w:rsidRPr="00C8283F">
        <w:rPr>
          <w:rFonts w:ascii="Century Gothic" w:eastAsiaTheme="minorHAnsi" w:hAnsi="Century Gothic" w:cs="Arial"/>
          <w:iCs/>
          <w:sz w:val="22"/>
          <w:szCs w:val="22"/>
          <w:lang w:val="es-EC" w:eastAsia="en-US"/>
        </w:rPr>
        <w:t xml:space="preserve"> ;</w:t>
      </w:r>
    </w:p>
    <w:p w:rsidR="00F21462" w:rsidRPr="00C8283F" w:rsidRDefault="00F21462" w:rsidP="00F21462">
      <w:pPr>
        <w:autoSpaceDE w:val="0"/>
        <w:autoSpaceDN w:val="0"/>
        <w:adjustRightInd w:val="0"/>
        <w:ind w:left="709" w:hanging="709"/>
        <w:jc w:val="both"/>
        <w:rPr>
          <w:rFonts w:ascii="Century Gothic" w:eastAsiaTheme="minorHAnsi" w:hAnsi="Century Gothic" w:cs="Arial"/>
          <w:iCs/>
          <w:sz w:val="22"/>
          <w:szCs w:val="22"/>
          <w:lang w:val="es-EC" w:eastAsia="en-US"/>
        </w:rPr>
      </w:pPr>
    </w:p>
    <w:p w:rsidR="00BA364C" w:rsidRPr="00C8283F" w:rsidRDefault="00BA364C" w:rsidP="00F21462">
      <w:pPr>
        <w:autoSpaceDE w:val="0"/>
        <w:autoSpaceDN w:val="0"/>
        <w:adjustRightInd w:val="0"/>
        <w:ind w:left="709" w:hanging="709"/>
        <w:jc w:val="both"/>
        <w:rPr>
          <w:rFonts w:ascii="Century Gothic" w:eastAsiaTheme="minorHAnsi" w:hAnsi="Century Gothic" w:cs="Arial"/>
          <w:sz w:val="22"/>
          <w:szCs w:val="22"/>
          <w:lang w:val="es-EC" w:eastAsia="en-US"/>
        </w:rPr>
      </w:pPr>
      <w:r w:rsidRPr="00C8283F">
        <w:rPr>
          <w:rFonts w:ascii="Century Gothic" w:hAnsi="Century Gothic" w:cs="Arial"/>
          <w:b/>
          <w:sz w:val="22"/>
          <w:szCs w:val="22"/>
        </w:rPr>
        <w:t xml:space="preserve">Que, </w:t>
      </w:r>
      <w:r w:rsidR="00F21462" w:rsidRPr="00C8283F">
        <w:rPr>
          <w:rFonts w:ascii="Century Gothic" w:hAnsi="Century Gothic" w:cs="Arial"/>
          <w:b/>
          <w:sz w:val="22"/>
          <w:szCs w:val="22"/>
        </w:rPr>
        <w:t xml:space="preserve">  </w:t>
      </w:r>
      <w:r w:rsidR="00F21462" w:rsidRPr="00C8283F">
        <w:rPr>
          <w:rFonts w:ascii="Century Gothic" w:eastAsiaTheme="minorHAnsi" w:hAnsi="Century Gothic" w:cs="Arial"/>
          <w:sz w:val="22"/>
          <w:szCs w:val="22"/>
          <w:lang w:val="es-EC" w:eastAsia="en-US"/>
        </w:rPr>
        <w:t xml:space="preserve">mediante Oficio Nro. GADDMQ-STHV-DMC-2023-0106-O de 02 de febrero de 2023, el Arq. Héctor Fernando Zamorano Cevallos, Director Metropolitano de Catastro de la Secretaría de Territorio, Hábitat y Vivienda, informo que: </w:t>
      </w:r>
      <w:r w:rsidR="00421024">
        <w:rPr>
          <w:rFonts w:ascii="Century Gothic" w:eastAsiaTheme="minorHAnsi" w:hAnsi="Century Gothic" w:cs="Arial"/>
          <w:i/>
          <w:iCs/>
          <w:sz w:val="22"/>
          <w:szCs w:val="22"/>
          <w:lang w:val="es-EC" w:eastAsia="en-US"/>
        </w:rPr>
        <w:t>“(</w:t>
      </w:r>
      <w:r w:rsidR="006223E8" w:rsidRPr="00C8283F">
        <w:rPr>
          <w:rFonts w:ascii="Century Gothic" w:eastAsiaTheme="minorHAnsi" w:hAnsi="Century Gothic" w:cs="Arial"/>
          <w:sz w:val="22"/>
          <w:szCs w:val="22"/>
          <w:lang w:val="es-EC" w:eastAsia="en-US"/>
        </w:rPr>
        <w:t>…</w:t>
      </w:r>
      <w:r w:rsidR="00421024">
        <w:rPr>
          <w:rFonts w:ascii="Century Gothic" w:eastAsiaTheme="minorHAnsi" w:hAnsi="Century Gothic" w:cs="Arial"/>
          <w:i/>
          <w:iCs/>
          <w:sz w:val="22"/>
          <w:szCs w:val="22"/>
          <w:lang w:val="es-EC" w:eastAsia="en-US"/>
        </w:rPr>
        <w:t>)</w:t>
      </w:r>
      <w:r w:rsidR="00F21462" w:rsidRPr="00C8283F">
        <w:rPr>
          <w:rFonts w:ascii="Century Gothic" w:eastAsiaTheme="minorHAnsi" w:hAnsi="Century Gothic" w:cs="Arial"/>
          <w:i/>
          <w:iCs/>
          <w:sz w:val="22"/>
          <w:szCs w:val="22"/>
          <w:lang w:val="es-EC" w:eastAsia="en-US"/>
        </w:rPr>
        <w:t xml:space="preserve"> una vez que se cuenta con el Informe Técnico por parte de la Empresa Pública Metropolitana de</w:t>
      </w:r>
      <w:r w:rsidR="00F21462" w:rsidRPr="00C8283F">
        <w:rPr>
          <w:rFonts w:ascii="Century Gothic" w:eastAsiaTheme="minorHAnsi" w:hAnsi="Century Gothic" w:cs="Arial"/>
          <w:sz w:val="22"/>
          <w:szCs w:val="22"/>
          <w:lang w:val="es-EC" w:eastAsia="en-US"/>
        </w:rPr>
        <w:t xml:space="preserve"> </w:t>
      </w:r>
      <w:r w:rsidR="00F21462" w:rsidRPr="00C8283F">
        <w:rPr>
          <w:rFonts w:ascii="Century Gothic" w:eastAsiaTheme="minorHAnsi" w:hAnsi="Century Gothic" w:cs="Arial"/>
          <w:i/>
          <w:iCs/>
          <w:sz w:val="22"/>
          <w:szCs w:val="22"/>
          <w:lang w:val="es-EC" w:eastAsia="en-US"/>
        </w:rPr>
        <w:t>Agua Potable y Saneamiento y conforme a la normativa legal citada, la Dirección Metropolitana de</w:t>
      </w:r>
      <w:r w:rsidR="00F21462" w:rsidRPr="00C8283F">
        <w:rPr>
          <w:rFonts w:ascii="Century Gothic" w:eastAsiaTheme="minorHAnsi" w:hAnsi="Century Gothic" w:cs="Arial"/>
          <w:sz w:val="22"/>
          <w:szCs w:val="22"/>
          <w:lang w:val="es-EC" w:eastAsia="en-US"/>
        </w:rPr>
        <w:t xml:space="preserve"> </w:t>
      </w:r>
      <w:r w:rsidR="00F21462" w:rsidRPr="00C8283F">
        <w:rPr>
          <w:rFonts w:ascii="Century Gothic" w:eastAsiaTheme="minorHAnsi" w:hAnsi="Century Gothic" w:cs="Arial"/>
          <w:i/>
          <w:iCs/>
          <w:sz w:val="22"/>
          <w:szCs w:val="22"/>
          <w:lang w:val="es-EC" w:eastAsia="en-US"/>
        </w:rPr>
        <w:t>Catastro de la Secretaría de Territorio, Hábitat y Vivienda dentro del ámbito de sus competencias y</w:t>
      </w:r>
      <w:r w:rsidR="00F21462" w:rsidRPr="00C8283F">
        <w:rPr>
          <w:rFonts w:ascii="Century Gothic" w:eastAsiaTheme="minorHAnsi" w:hAnsi="Century Gothic" w:cs="Arial"/>
          <w:sz w:val="22"/>
          <w:szCs w:val="22"/>
          <w:lang w:val="es-EC" w:eastAsia="en-US"/>
        </w:rPr>
        <w:t xml:space="preserve"> </w:t>
      </w:r>
      <w:r w:rsidR="00F21462" w:rsidRPr="00C8283F">
        <w:rPr>
          <w:rFonts w:ascii="Century Gothic" w:eastAsiaTheme="minorHAnsi" w:hAnsi="Century Gothic" w:cs="Arial"/>
          <w:i/>
          <w:iCs/>
          <w:sz w:val="22"/>
          <w:szCs w:val="22"/>
          <w:lang w:val="es-EC" w:eastAsia="en-US"/>
        </w:rPr>
        <w:t>atribuciones, procede a RECTIFICAR el Informe Técnico Nro. DMC-UCE-2021-1633 emitido con Oficio</w:t>
      </w:r>
      <w:r w:rsidR="00F21462" w:rsidRPr="00C8283F">
        <w:rPr>
          <w:rFonts w:ascii="Century Gothic" w:eastAsiaTheme="minorHAnsi" w:hAnsi="Century Gothic" w:cs="Arial"/>
          <w:sz w:val="22"/>
          <w:szCs w:val="22"/>
          <w:lang w:val="es-EC" w:eastAsia="en-US"/>
        </w:rPr>
        <w:t xml:space="preserve"> </w:t>
      </w:r>
      <w:r w:rsidR="00F21462" w:rsidRPr="00C8283F">
        <w:rPr>
          <w:rFonts w:ascii="Century Gothic" w:eastAsiaTheme="minorHAnsi" w:hAnsi="Century Gothic" w:cs="Arial"/>
          <w:i/>
          <w:iCs/>
          <w:sz w:val="22"/>
          <w:szCs w:val="22"/>
          <w:lang w:val="es-EC" w:eastAsia="en-US"/>
        </w:rPr>
        <w:t>Nro. GADDMQ-STHV-DMC-UCE-2021-1960-O de 08 de septiembre de 2021, con la emisión del</w:t>
      </w:r>
      <w:r w:rsidR="00F21462" w:rsidRPr="00C8283F">
        <w:rPr>
          <w:rFonts w:ascii="Century Gothic" w:eastAsiaTheme="minorHAnsi" w:hAnsi="Century Gothic" w:cs="Arial"/>
          <w:sz w:val="22"/>
          <w:szCs w:val="22"/>
          <w:lang w:val="es-EC" w:eastAsia="en-US"/>
        </w:rPr>
        <w:t xml:space="preserve"> </w:t>
      </w:r>
      <w:r w:rsidR="00F21462" w:rsidRPr="00C8283F">
        <w:rPr>
          <w:rFonts w:ascii="Century Gothic" w:eastAsiaTheme="minorHAnsi" w:hAnsi="Century Gothic" w:cs="Arial"/>
          <w:bCs/>
          <w:i/>
          <w:iCs/>
          <w:sz w:val="22"/>
          <w:szCs w:val="22"/>
          <w:lang w:val="es-EC" w:eastAsia="en-US"/>
        </w:rPr>
        <w:t>Informe Técnico Nro. STHV-DMC-UCE-2023-0142</w:t>
      </w:r>
      <w:r w:rsidR="00F21462" w:rsidRPr="00C8283F">
        <w:rPr>
          <w:rFonts w:ascii="Century Gothic" w:eastAsiaTheme="minorHAnsi" w:hAnsi="Century Gothic" w:cs="Arial"/>
          <w:b/>
          <w:bCs/>
          <w:i/>
          <w:iCs/>
          <w:sz w:val="22"/>
          <w:szCs w:val="22"/>
          <w:lang w:val="es-EC" w:eastAsia="en-US"/>
        </w:rPr>
        <w:t xml:space="preserve"> </w:t>
      </w:r>
      <w:r w:rsidR="00F21462" w:rsidRPr="00C8283F">
        <w:rPr>
          <w:rFonts w:ascii="Century Gothic" w:eastAsiaTheme="minorHAnsi" w:hAnsi="Century Gothic" w:cs="Arial"/>
          <w:i/>
          <w:iCs/>
          <w:sz w:val="22"/>
          <w:szCs w:val="22"/>
          <w:lang w:val="es-EC" w:eastAsia="en-US"/>
        </w:rPr>
        <w:t>de 31 de enero de 2023, correspondiente al área</w:t>
      </w:r>
      <w:r w:rsidR="00F21462" w:rsidRPr="00C8283F">
        <w:rPr>
          <w:rFonts w:ascii="Century Gothic" w:eastAsiaTheme="minorHAnsi" w:hAnsi="Century Gothic" w:cs="Arial"/>
          <w:sz w:val="22"/>
          <w:szCs w:val="22"/>
          <w:lang w:val="es-EC" w:eastAsia="en-US"/>
        </w:rPr>
        <w:t xml:space="preserve"> </w:t>
      </w:r>
      <w:r w:rsidR="00F21462" w:rsidRPr="00C8283F">
        <w:rPr>
          <w:rFonts w:ascii="Century Gothic" w:eastAsiaTheme="minorHAnsi" w:hAnsi="Century Gothic" w:cs="Arial"/>
          <w:i/>
          <w:iCs/>
          <w:sz w:val="22"/>
          <w:szCs w:val="22"/>
          <w:lang w:val="es-EC" w:eastAsia="en-US"/>
        </w:rPr>
        <w:t>de la faja de la posible adjudicación colindante al predio No. 680160, con clave catastral No.</w:t>
      </w:r>
      <w:r w:rsidR="00F21462" w:rsidRPr="00C8283F">
        <w:rPr>
          <w:rFonts w:ascii="Century Gothic" w:eastAsiaTheme="minorHAnsi" w:hAnsi="Century Gothic" w:cs="Arial"/>
          <w:sz w:val="22"/>
          <w:szCs w:val="22"/>
          <w:lang w:val="es-EC" w:eastAsia="en-US"/>
        </w:rPr>
        <w:t xml:space="preserve"> </w:t>
      </w:r>
      <w:r w:rsidR="00F21462" w:rsidRPr="00C8283F">
        <w:rPr>
          <w:rFonts w:ascii="Century Gothic" w:eastAsiaTheme="minorHAnsi" w:hAnsi="Century Gothic" w:cs="Arial"/>
          <w:i/>
          <w:iCs/>
          <w:sz w:val="22"/>
          <w:szCs w:val="22"/>
          <w:lang w:val="es-EC" w:eastAsia="en-US"/>
        </w:rPr>
        <w:t>13108-02-058, mismo se servirá encontrar adjunto al presente. Se deja insubsistente el Informe Técnico</w:t>
      </w:r>
      <w:r w:rsidR="00F21462" w:rsidRPr="00C8283F">
        <w:rPr>
          <w:rFonts w:ascii="Century Gothic" w:eastAsiaTheme="minorHAnsi" w:hAnsi="Century Gothic" w:cs="Arial"/>
          <w:sz w:val="22"/>
          <w:szCs w:val="22"/>
          <w:lang w:val="es-EC" w:eastAsia="en-US"/>
        </w:rPr>
        <w:t xml:space="preserve"> </w:t>
      </w:r>
      <w:r w:rsidR="00F21462" w:rsidRPr="00C8283F">
        <w:rPr>
          <w:rFonts w:ascii="Century Gothic" w:eastAsiaTheme="minorHAnsi" w:hAnsi="Century Gothic" w:cs="Arial"/>
          <w:i/>
          <w:iCs/>
          <w:sz w:val="22"/>
          <w:szCs w:val="22"/>
          <w:lang w:val="es-EC" w:eastAsia="en-US"/>
        </w:rPr>
        <w:t>Nro. DMC-UCE-2021-1633, emitido con Oficio Nro. GADDMQ-STHV-DMC-UCE-2021-1960-O de 08</w:t>
      </w:r>
      <w:r w:rsidR="00F21462" w:rsidRPr="00C8283F">
        <w:rPr>
          <w:rFonts w:ascii="Century Gothic" w:eastAsiaTheme="minorHAnsi" w:hAnsi="Century Gothic" w:cs="Arial"/>
          <w:sz w:val="22"/>
          <w:szCs w:val="22"/>
          <w:lang w:val="es-EC" w:eastAsia="en-US"/>
        </w:rPr>
        <w:t xml:space="preserve"> </w:t>
      </w:r>
      <w:r w:rsidR="00F21462" w:rsidRPr="00C8283F">
        <w:rPr>
          <w:rFonts w:ascii="Century Gothic" w:eastAsiaTheme="minorHAnsi" w:hAnsi="Century Gothic" w:cs="Arial"/>
          <w:i/>
          <w:iCs/>
          <w:sz w:val="22"/>
          <w:szCs w:val="22"/>
          <w:lang w:val="es-EC" w:eastAsia="en-US"/>
        </w:rPr>
        <w:t>de septiembre de 2021.”</w:t>
      </w:r>
      <w:r w:rsidR="006223E8" w:rsidRPr="00C8283F">
        <w:rPr>
          <w:rFonts w:ascii="Century Gothic" w:eastAsiaTheme="minorHAnsi" w:hAnsi="Century Gothic" w:cs="Arial"/>
          <w:i/>
          <w:iCs/>
          <w:sz w:val="22"/>
          <w:szCs w:val="22"/>
          <w:lang w:val="es-EC" w:eastAsia="en-US"/>
        </w:rPr>
        <w:t xml:space="preserve">; </w:t>
      </w:r>
    </w:p>
    <w:p w:rsidR="00F21462" w:rsidRPr="00C8283F" w:rsidRDefault="00F21462" w:rsidP="00C8283F">
      <w:pPr>
        <w:autoSpaceDE w:val="0"/>
        <w:autoSpaceDN w:val="0"/>
        <w:adjustRightInd w:val="0"/>
        <w:jc w:val="both"/>
        <w:rPr>
          <w:rFonts w:ascii="Century Gothic" w:hAnsi="Century Gothic" w:cs="Arial"/>
          <w:i/>
          <w:sz w:val="22"/>
          <w:szCs w:val="22"/>
        </w:rPr>
      </w:pPr>
    </w:p>
    <w:p w:rsidR="00BA364C" w:rsidRPr="00C8283F" w:rsidRDefault="00BA364C" w:rsidP="00357B35">
      <w:pPr>
        <w:autoSpaceDE w:val="0"/>
        <w:autoSpaceDN w:val="0"/>
        <w:adjustRightInd w:val="0"/>
        <w:ind w:left="567" w:hanging="567"/>
        <w:jc w:val="both"/>
        <w:rPr>
          <w:rFonts w:ascii="Century Gothic" w:eastAsiaTheme="minorHAnsi" w:hAnsi="Century Gothic" w:cs="Arial"/>
          <w:sz w:val="22"/>
          <w:szCs w:val="22"/>
          <w:lang w:val="es-EC" w:eastAsia="en-US"/>
        </w:rPr>
      </w:pPr>
      <w:r w:rsidRPr="00C8283F">
        <w:rPr>
          <w:rFonts w:ascii="Century Gothic" w:hAnsi="Century Gothic" w:cs="Arial"/>
          <w:b/>
          <w:sz w:val="22"/>
          <w:szCs w:val="22"/>
        </w:rPr>
        <w:t xml:space="preserve">Que, </w:t>
      </w:r>
      <w:r w:rsidR="006223E8" w:rsidRPr="00C8283F">
        <w:rPr>
          <w:rFonts w:ascii="Century Gothic" w:eastAsiaTheme="minorHAnsi" w:hAnsi="Century Gothic" w:cs="Arial"/>
          <w:sz w:val="22"/>
          <w:szCs w:val="22"/>
          <w:lang w:val="es-EC" w:eastAsia="en-US"/>
        </w:rPr>
        <w:t xml:space="preserve">la Unidad de Catastro Especial, mediante Oficio Nro. GADDMQ-STHV-DMC-UCE-2023-0629-O de 20 de marzo de 2023, informó: </w:t>
      </w:r>
      <w:r w:rsidR="00421024">
        <w:rPr>
          <w:rFonts w:ascii="Century Gothic" w:eastAsiaTheme="minorHAnsi" w:hAnsi="Century Gothic" w:cs="Arial"/>
          <w:i/>
          <w:iCs/>
          <w:sz w:val="22"/>
          <w:szCs w:val="22"/>
          <w:lang w:val="es-EC" w:eastAsia="en-US"/>
        </w:rPr>
        <w:t>“(</w:t>
      </w:r>
      <w:r w:rsidR="006223E8" w:rsidRPr="00C8283F">
        <w:rPr>
          <w:rFonts w:ascii="Century Gothic" w:eastAsiaTheme="minorHAnsi" w:hAnsi="Century Gothic" w:cs="Arial"/>
          <w:sz w:val="22"/>
          <w:szCs w:val="22"/>
          <w:lang w:val="es-EC" w:eastAsia="en-US"/>
        </w:rPr>
        <w:t>…</w:t>
      </w:r>
      <w:r w:rsidR="00421024">
        <w:rPr>
          <w:rFonts w:ascii="Century Gothic" w:eastAsiaTheme="minorHAnsi" w:hAnsi="Century Gothic" w:cs="Arial"/>
          <w:i/>
          <w:iCs/>
          <w:sz w:val="22"/>
          <w:szCs w:val="22"/>
          <w:lang w:val="es-EC" w:eastAsia="en-US"/>
        </w:rPr>
        <w:t>)</w:t>
      </w:r>
      <w:r w:rsidR="006223E8" w:rsidRPr="00C8283F">
        <w:rPr>
          <w:rFonts w:ascii="Century Gothic" w:eastAsiaTheme="minorHAnsi" w:hAnsi="Century Gothic" w:cs="Arial"/>
          <w:i/>
          <w:iCs/>
          <w:sz w:val="22"/>
          <w:szCs w:val="22"/>
          <w:lang w:val="es-EC" w:eastAsia="en-US"/>
        </w:rPr>
        <w:t xml:space="preserve"> con Oficio Nro. GADDMQ-STHV-DMC-2023-0106-O de 02 de febrero de 2023, esta Dirección</w:t>
      </w:r>
      <w:r w:rsidR="006223E8" w:rsidRPr="00C8283F">
        <w:rPr>
          <w:rFonts w:ascii="Century Gothic" w:eastAsiaTheme="minorHAnsi" w:hAnsi="Century Gothic" w:cs="Arial"/>
          <w:sz w:val="22"/>
          <w:szCs w:val="22"/>
          <w:lang w:val="es-EC" w:eastAsia="en-US"/>
        </w:rPr>
        <w:t xml:space="preserve"> </w:t>
      </w:r>
      <w:r w:rsidR="006223E8" w:rsidRPr="00C8283F">
        <w:rPr>
          <w:rFonts w:ascii="Century Gothic" w:eastAsiaTheme="minorHAnsi" w:hAnsi="Century Gothic" w:cs="Arial"/>
          <w:i/>
          <w:iCs/>
          <w:sz w:val="22"/>
          <w:szCs w:val="22"/>
          <w:lang w:val="es-EC" w:eastAsia="en-US"/>
        </w:rPr>
        <w:t>Metropolitana emitió el Informe Técnico No. STHV-DMC-UCE-2023-0142 en atención a lo solicitado</w:t>
      </w:r>
      <w:r w:rsidR="006223E8" w:rsidRPr="00C8283F">
        <w:rPr>
          <w:rFonts w:ascii="Century Gothic" w:eastAsiaTheme="minorHAnsi" w:hAnsi="Century Gothic" w:cs="Arial"/>
          <w:sz w:val="22"/>
          <w:szCs w:val="22"/>
          <w:lang w:val="es-EC" w:eastAsia="en-US"/>
        </w:rPr>
        <w:t xml:space="preserve"> </w:t>
      </w:r>
      <w:r w:rsidR="006223E8" w:rsidRPr="00C8283F">
        <w:rPr>
          <w:rFonts w:ascii="Century Gothic" w:eastAsiaTheme="minorHAnsi" w:hAnsi="Century Gothic" w:cs="Arial"/>
          <w:i/>
          <w:iCs/>
          <w:sz w:val="22"/>
          <w:szCs w:val="22"/>
          <w:lang w:val="es-EC" w:eastAsia="en-US"/>
        </w:rPr>
        <w:t>por la Comisión de Propiedad y Espacio Público.</w:t>
      </w:r>
      <w:r w:rsidR="006223E8" w:rsidRPr="00C8283F">
        <w:rPr>
          <w:rFonts w:ascii="Century Gothic" w:eastAsiaTheme="minorHAnsi" w:hAnsi="Century Gothic" w:cs="Arial"/>
          <w:sz w:val="22"/>
          <w:szCs w:val="22"/>
          <w:lang w:val="es-EC" w:eastAsia="en-US"/>
        </w:rPr>
        <w:t xml:space="preserve"> </w:t>
      </w:r>
      <w:r w:rsidR="006223E8" w:rsidRPr="00C8283F">
        <w:rPr>
          <w:rFonts w:ascii="Century Gothic" w:eastAsiaTheme="minorHAnsi" w:hAnsi="Century Gothic" w:cs="Arial"/>
          <w:i/>
          <w:iCs/>
          <w:sz w:val="22"/>
          <w:szCs w:val="22"/>
          <w:lang w:val="es-EC" w:eastAsia="en-US"/>
        </w:rPr>
        <w:t>Por lo expuesto, la Dirección Metropolitana de Catastro de la Secretaría de Territorio, Hábitat y Vivienda dentro del ámbito de sus competencias y atribuciones, RECTIFICA el Informe Técnico No. STHV-DMC-UCE-2022-0125 enviado con oficio No. GADDMQ-STHV-DMC-2022-0123-O de 20 de</w:t>
      </w:r>
      <w:r w:rsidR="00BE5AD0" w:rsidRPr="00C8283F">
        <w:rPr>
          <w:rFonts w:ascii="Century Gothic" w:eastAsiaTheme="minorHAnsi" w:hAnsi="Century Gothic" w:cs="Arial"/>
          <w:sz w:val="22"/>
          <w:szCs w:val="22"/>
          <w:lang w:val="es-EC" w:eastAsia="en-US"/>
        </w:rPr>
        <w:t xml:space="preserve"> </w:t>
      </w:r>
      <w:r w:rsidR="006223E8" w:rsidRPr="00C8283F">
        <w:rPr>
          <w:rFonts w:ascii="Century Gothic" w:eastAsiaTheme="minorHAnsi" w:hAnsi="Century Gothic" w:cs="Arial"/>
          <w:i/>
          <w:iCs/>
          <w:sz w:val="22"/>
          <w:szCs w:val="22"/>
          <w:lang w:val="es-EC" w:eastAsia="en-US"/>
        </w:rPr>
        <w:t xml:space="preserve">enero de 2022, mismo que se deja insubsistente con la emisión de </w:t>
      </w:r>
      <w:r w:rsidR="006223E8" w:rsidRPr="00C8283F">
        <w:rPr>
          <w:rFonts w:ascii="Century Gothic" w:eastAsiaTheme="minorHAnsi" w:hAnsi="Century Gothic" w:cs="Arial"/>
          <w:i/>
          <w:iCs/>
          <w:sz w:val="22"/>
          <w:szCs w:val="22"/>
          <w:lang w:val="es-EC" w:eastAsia="en-US"/>
        </w:rPr>
        <w:lastRenderedPageBreak/>
        <w:t>este nuevo Oficio Nro.GADDMQ-STHV-DMC-2023-0106-O de 02 de febrero de 2023 e Informe Técnico No.STHV-DMC-UCE-2023-0142.”</w:t>
      </w:r>
      <w:r w:rsidR="00357B35" w:rsidRPr="00C8283F">
        <w:rPr>
          <w:rFonts w:ascii="Century Gothic" w:eastAsiaTheme="minorHAnsi" w:hAnsi="Century Gothic" w:cs="Arial"/>
          <w:sz w:val="22"/>
          <w:szCs w:val="22"/>
          <w:lang w:val="es-EC" w:eastAsia="en-US"/>
        </w:rPr>
        <w:t>;</w:t>
      </w:r>
    </w:p>
    <w:p w:rsidR="00DA2901" w:rsidRPr="00C8283F" w:rsidRDefault="00DA2901" w:rsidP="00357B35">
      <w:pPr>
        <w:autoSpaceDE w:val="0"/>
        <w:autoSpaceDN w:val="0"/>
        <w:adjustRightInd w:val="0"/>
        <w:ind w:left="567" w:hanging="567"/>
        <w:jc w:val="both"/>
        <w:rPr>
          <w:rFonts w:ascii="Century Gothic" w:eastAsiaTheme="minorHAnsi" w:hAnsi="Century Gothic" w:cs="Arial"/>
          <w:sz w:val="22"/>
          <w:szCs w:val="22"/>
          <w:lang w:val="es-EC" w:eastAsia="en-US"/>
        </w:rPr>
      </w:pPr>
    </w:p>
    <w:p w:rsidR="00DA2901" w:rsidRPr="00C8283F" w:rsidRDefault="00DA2901" w:rsidP="00DA2901">
      <w:pPr>
        <w:autoSpaceDE w:val="0"/>
        <w:autoSpaceDN w:val="0"/>
        <w:adjustRightInd w:val="0"/>
        <w:ind w:left="567" w:hanging="567"/>
        <w:jc w:val="both"/>
        <w:rPr>
          <w:rFonts w:ascii="Century Gothic" w:hAnsi="Century Gothic" w:cs="Arial"/>
          <w:sz w:val="22"/>
          <w:szCs w:val="22"/>
        </w:rPr>
      </w:pPr>
      <w:r w:rsidRPr="00C8283F">
        <w:rPr>
          <w:rFonts w:ascii="Century Gothic" w:hAnsi="Century Gothic" w:cs="Arial"/>
          <w:b/>
          <w:sz w:val="22"/>
          <w:szCs w:val="22"/>
          <w:lang w:val="es-EC"/>
        </w:rPr>
        <w:t>Que</w:t>
      </w:r>
      <w:r w:rsidRPr="00C8283F">
        <w:rPr>
          <w:rFonts w:ascii="Century Gothic" w:hAnsi="Century Gothic" w:cs="Arial"/>
          <w:sz w:val="22"/>
          <w:szCs w:val="22"/>
          <w:lang w:val="es-EC"/>
        </w:rPr>
        <w:t xml:space="preserve">, </w:t>
      </w:r>
      <w:r w:rsidR="007C15D5" w:rsidRPr="00C8283F">
        <w:rPr>
          <w:rFonts w:ascii="Century Gothic" w:hAnsi="Century Gothic" w:cs="Arial"/>
          <w:sz w:val="22"/>
          <w:szCs w:val="22"/>
        </w:rPr>
        <w:t>con Oficio No. GADDMQ-PM-2023-1171-O,</w:t>
      </w:r>
      <w:r w:rsidR="009F6368">
        <w:rPr>
          <w:rFonts w:ascii="Century Gothic" w:hAnsi="Century Gothic" w:cs="Arial"/>
          <w:sz w:val="22"/>
          <w:szCs w:val="22"/>
        </w:rPr>
        <w:t xml:space="preserve"> de 22 de marzo de 2023, suscrito por el </w:t>
      </w:r>
      <w:proofErr w:type="spellStart"/>
      <w:r w:rsidR="009F6368">
        <w:rPr>
          <w:rFonts w:ascii="Century Gothic" w:hAnsi="Century Gothic" w:cs="Arial"/>
          <w:sz w:val="22"/>
          <w:szCs w:val="22"/>
        </w:rPr>
        <w:t>Msg</w:t>
      </w:r>
      <w:proofErr w:type="spellEnd"/>
      <w:r w:rsidR="009F6368">
        <w:rPr>
          <w:rFonts w:ascii="Century Gothic" w:hAnsi="Century Gothic" w:cs="Arial"/>
          <w:sz w:val="22"/>
          <w:szCs w:val="22"/>
        </w:rPr>
        <w:t xml:space="preserve">. Paul Esteban Romero Osorio, </w:t>
      </w:r>
      <w:r w:rsidR="007C15D5" w:rsidRPr="00C8283F">
        <w:rPr>
          <w:rFonts w:ascii="Century Gothic" w:hAnsi="Century Gothic" w:cs="Arial"/>
          <w:sz w:val="22"/>
          <w:szCs w:val="22"/>
        </w:rPr>
        <w:t xml:space="preserve"> </w:t>
      </w:r>
      <w:r w:rsidR="009F6368">
        <w:rPr>
          <w:rFonts w:ascii="Century Gothic" w:hAnsi="Century Gothic" w:cs="Arial"/>
          <w:sz w:val="22"/>
          <w:szCs w:val="22"/>
        </w:rPr>
        <w:t>Sub Procurador Metropolitano de Uso y Ocupación de Suelos, en el que</w:t>
      </w:r>
      <w:r w:rsidR="007C15D5" w:rsidRPr="00C8283F">
        <w:rPr>
          <w:rFonts w:ascii="Century Gothic" w:hAnsi="Century Gothic" w:cs="Arial"/>
          <w:sz w:val="22"/>
          <w:szCs w:val="22"/>
        </w:rPr>
        <w:t xml:space="preserve"> emite s</w:t>
      </w:r>
      <w:r w:rsidRPr="00C8283F">
        <w:rPr>
          <w:rFonts w:ascii="Century Gothic" w:hAnsi="Century Gothic" w:cs="Arial"/>
          <w:sz w:val="22"/>
          <w:szCs w:val="22"/>
        </w:rPr>
        <w:t>u informe favorable</w:t>
      </w:r>
      <w:r w:rsidR="00421024">
        <w:rPr>
          <w:rFonts w:ascii="Century Gothic" w:hAnsi="Century Gothic" w:cs="Arial"/>
          <w:sz w:val="22"/>
          <w:szCs w:val="22"/>
        </w:rPr>
        <w:t xml:space="preserve"> exponiendo</w:t>
      </w:r>
      <w:r w:rsidRPr="00C8283F">
        <w:rPr>
          <w:rFonts w:ascii="Century Gothic" w:hAnsi="Century Gothic" w:cs="Arial"/>
          <w:sz w:val="22"/>
          <w:szCs w:val="22"/>
        </w:rPr>
        <w:t xml:space="preserve"> :</w:t>
      </w:r>
      <w:r w:rsidR="007C15D5" w:rsidRPr="00C8283F">
        <w:rPr>
          <w:rFonts w:ascii="Century Gothic" w:hAnsi="Century Gothic" w:cs="Arial"/>
          <w:sz w:val="22"/>
          <w:szCs w:val="22"/>
        </w:rPr>
        <w:t xml:space="preserve"> </w:t>
      </w:r>
      <w:r w:rsidRPr="00C8283F">
        <w:rPr>
          <w:rFonts w:ascii="Century Gothic" w:hAnsi="Century Gothic" w:cs="Arial"/>
          <w:i/>
          <w:iCs/>
          <w:sz w:val="22"/>
          <w:szCs w:val="22"/>
          <w:lang w:val="es-EC"/>
        </w:rPr>
        <w:t>“</w:t>
      </w:r>
      <w:r w:rsidR="009F6368">
        <w:rPr>
          <w:rFonts w:ascii="Century Gothic" w:eastAsiaTheme="minorHAnsi" w:hAnsi="Century Gothic" w:cs="Arial"/>
          <w:i/>
          <w:iCs/>
          <w:sz w:val="22"/>
          <w:szCs w:val="22"/>
          <w:lang w:val="es-EC" w:eastAsia="en-US"/>
        </w:rPr>
        <w:t xml:space="preserve"> (</w:t>
      </w:r>
      <w:r w:rsidRPr="00C8283F">
        <w:rPr>
          <w:rFonts w:ascii="Century Gothic" w:eastAsiaTheme="minorHAnsi" w:hAnsi="Century Gothic" w:cs="Arial"/>
          <w:sz w:val="22"/>
          <w:szCs w:val="22"/>
          <w:lang w:val="es-EC" w:eastAsia="en-US"/>
        </w:rPr>
        <w:t>…</w:t>
      </w:r>
      <w:r w:rsidR="009F6368">
        <w:rPr>
          <w:rFonts w:ascii="Century Gothic" w:eastAsiaTheme="minorHAnsi" w:hAnsi="Century Gothic" w:cs="Arial"/>
          <w:i/>
          <w:iCs/>
          <w:sz w:val="22"/>
          <w:szCs w:val="22"/>
          <w:lang w:val="es-EC" w:eastAsia="en-US"/>
        </w:rPr>
        <w:t>)</w:t>
      </w:r>
      <w:r w:rsidRPr="00C8283F">
        <w:rPr>
          <w:rFonts w:ascii="Century Gothic" w:hAnsi="Century Gothic" w:cs="Arial"/>
          <w:i/>
          <w:iCs/>
          <w:sz w:val="22"/>
          <w:szCs w:val="22"/>
          <w:lang w:val="es-EC"/>
        </w:rPr>
        <w:t xml:space="preserve"> Con los antecedentes, fundamentos jurídicos e informes actualizados expuestos, en consideración a que la autorización para la venta de bienes inmuebles municipales es competencia del Concejo Metropolitano de conformidad con el art. 436 del COOTAD, Procuraduría Metropolitana se ratifica en el informe jurídico favorable emitido con Oficio Nro. GADDMQ-PM-SAUOS-2019-0025-O de 09 de septiembre de 2019; y, su ratificación emitido con oficio No. GADDMQ-PM-2022-0665-O de 10 de febrero de 2022, para que, de estimarlo pertinente, la Comisión de Propiedad y Espacio Público, continúe con el procedimiento para obtener del Concejo Metropolitano de Quito la autorización para: (i) el cambio de categoría de bien municipal de dominio público a bien municipal de dominio privado de la faja de terreno producto de relleno de quebrada; y, (ii) la enajenación directa de la referida faja de terreno, a favor de los propietarios colindantes señores Jorge René </w:t>
      </w:r>
      <w:proofErr w:type="spellStart"/>
      <w:r w:rsidRPr="00C8283F">
        <w:rPr>
          <w:rFonts w:ascii="Century Gothic" w:hAnsi="Century Gothic" w:cs="Arial"/>
          <w:i/>
          <w:iCs/>
          <w:sz w:val="22"/>
          <w:szCs w:val="22"/>
          <w:lang w:val="es-EC"/>
        </w:rPr>
        <w:t>Nicolalde</w:t>
      </w:r>
      <w:proofErr w:type="spellEnd"/>
      <w:r w:rsidRPr="00C8283F">
        <w:rPr>
          <w:rFonts w:ascii="Century Gothic" w:hAnsi="Century Gothic" w:cs="Arial"/>
          <w:i/>
          <w:iCs/>
          <w:sz w:val="22"/>
          <w:szCs w:val="22"/>
          <w:lang w:val="es-EC"/>
        </w:rPr>
        <w:t xml:space="preserve"> López, Jane Elizabeth </w:t>
      </w:r>
      <w:proofErr w:type="spellStart"/>
      <w:r w:rsidRPr="00C8283F">
        <w:rPr>
          <w:rFonts w:ascii="Century Gothic" w:hAnsi="Century Gothic" w:cs="Arial"/>
          <w:i/>
          <w:iCs/>
          <w:sz w:val="22"/>
          <w:szCs w:val="22"/>
          <w:lang w:val="es-EC"/>
        </w:rPr>
        <w:t>Nicolalde</w:t>
      </w:r>
      <w:proofErr w:type="spellEnd"/>
      <w:r w:rsidRPr="00C8283F">
        <w:rPr>
          <w:rFonts w:ascii="Century Gothic" w:hAnsi="Century Gothic" w:cs="Arial"/>
          <w:i/>
          <w:iCs/>
          <w:sz w:val="22"/>
          <w:szCs w:val="22"/>
          <w:lang w:val="es-EC"/>
        </w:rPr>
        <w:t xml:space="preserve"> López y Carlos Xavier </w:t>
      </w:r>
      <w:proofErr w:type="spellStart"/>
      <w:r w:rsidRPr="00C8283F">
        <w:rPr>
          <w:rFonts w:ascii="Century Gothic" w:hAnsi="Century Gothic" w:cs="Arial"/>
          <w:i/>
          <w:iCs/>
          <w:sz w:val="22"/>
          <w:szCs w:val="22"/>
          <w:lang w:val="es-EC"/>
        </w:rPr>
        <w:t>Nicolalde</w:t>
      </w:r>
      <w:proofErr w:type="spellEnd"/>
      <w:r w:rsidRPr="00C8283F">
        <w:rPr>
          <w:rFonts w:ascii="Century Gothic" w:hAnsi="Century Gothic" w:cs="Arial"/>
          <w:i/>
          <w:iCs/>
          <w:sz w:val="22"/>
          <w:szCs w:val="22"/>
          <w:lang w:val="es-EC"/>
        </w:rPr>
        <w:t xml:space="preserve"> López, precisando y puntualizando que respecto a los datos técnicos de ubicación, linderos, superficie y avalúo, se estará a lo establecido en la ficha técnica rectificada y actualizada, adjunta al Oficio Nro. GADDMQ-STHV-DMC-2023-0106-O de 02 de febrero de 2023 de la Dirección Metropolitana de Catastro de la Secretaría de Territorio, Hábitat y Vivienda; y, con las recomendaciones constantes en el informe de la Dirección Metropolitana de Gestión de Riesgos de la Secretaría General de Seguridad y Gobernabilidad del Municipio del Distrito Metropolitano de Quito, constante en el expediente administrativo</w:t>
      </w:r>
      <w:r w:rsidR="009F6368">
        <w:rPr>
          <w:rFonts w:ascii="Century Gothic" w:eastAsiaTheme="minorHAnsi" w:hAnsi="Century Gothic" w:cs="Arial"/>
          <w:i/>
          <w:iCs/>
          <w:sz w:val="22"/>
          <w:szCs w:val="22"/>
          <w:lang w:val="es-EC" w:eastAsia="en-US"/>
        </w:rPr>
        <w:t>(</w:t>
      </w:r>
      <w:r w:rsidRPr="00C8283F">
        <w:rPr>
          <w:rFonts w:ascii="Century Gothic" w:eastAsiaTheme="minorHAnsi" w:hAnsi="Century Gothic" w:cs="Arial"/>
          <w:sz w:val="22"/>
          <w:szCs w:val="22"/>
          <w:lang w:val="es-EC" w:eastAsia="en-US"/>
        </w:rPr>
        <w:t>…</w:t>
      </w:r>
      <w:r w:rsidR="009F6368">
        <w:rPr>
          <w:rFonts w:ascii="Century Gothic" w:eastAsiaTheme="minorHAnsi" w:hAnsi="Century Gothic" w:cs="Arial"/>
          <w:i/>
          <w:iCs/>
          <w:sz w:val="22"/>
          <w:szCs w:val="22"/>
          <w:lang w:val="es-EC" w:eastAsia="en-US"/>
        </w:rPr>
        <w:t>)</w:t>
      </w:r>
      <w:r w:rsidRPr="00C8283F">
        <w:rPr>
          <w:rFonts w:ascii="Century Gothic" w:hAnsi="Century Gothic" w:cs="Arial"/>
          <w:i/>
          <w:iCs/>
          <w:sz w:val="22"/>
          <w:szCs w:val="22"/>
          <w:lang w:val="es-EC"/>
        </w:rPr>
        <w:t xml:space="preserve"> “</w:t>
      </w:r>
    </w:p>
    <w:p w:rsidR="00BA364C" w:rsidRPr="00C8283F" w:rsidRDefault="00BA364C" w:rsidP="00BA364C">
      <w:pPr>
        <w:tabs>
          <w:tab w:val="left" w:pos="426"/>
        </w:tabs>
        <w:jc w:val="both"/>
        <w:rPr>
          <w:rFonts w:ascii="Century Gothic" w:hAnsi="Century Gothic" w:cs="Arial"/>
          <w:sz w:val="22"/>
          <w:szCs w:val="22"/>
        </w:rPr>
      </w:pPr>
    </w:p>
    <w:p w:rsidR="00BA364C" w:rsidRPr="00C8283F" w:rsidRDefault="00BA364C" w:rsidP="00BA364C">
      <w:pPr>
        <w:tabs>
          <w:tab w:val="left" w:pos="426"/>
        </w:tabs>
        <w:ind w:left="705" w:hanging="705"/>
        <w:jc w:val="both"/>
        <w:rPr>
          <w:rFonts w:ascii="Century Gothic" w:hAnsi="Century Gothic" w:cs="Arial"/>
          <w:sz w:val="22"/>
          <w:szCs w:val="22"/>
        </w:rPr>
      </w:pPr>
      <w:r w:rsidRPr="00C8283F">
        <w:rPr>
          <w:rFonts w:ascii="Century Gothic" w:hAnsi="Century Gothic" w:cs="Arial"/>
          <w:sz w:val="22"/>
          <w:szCs w:val="22"/>
        </w:rPr>
        <w:t xml:space="preserve">  </w:t>
      </w:r>
      <w:r w:rsidRPr="00C8283F">
        <w:rPr>
          <w:rFonts w:ascii="Century Gothic" w:hAnsi="Century Gothic" w:cs="Arial"/>
          <w:b/>
          <w:sz w:val="22"/>
          <w:szCs w:val="22"/>
        </w:rPr>
        <w:t>Que,</w:t>
      </w:r>
      <w:r w:rsidRPr="00C8283F">
        <w:rPr>
          <w:rFonts w:ascii="Century Gothic" w:hAnsi="Century Gothic" w:cs="Arial"/>
          <w:sz w:val="22"/>
          <w:szCs w:val="22"/>
        </w:rPr>
        <w:tab/>
      </w:r>
      <w:r w:rsidRPr="00C8283F">
        <w:rPr>
          <w:rFonts w:ascii="Century Gothic" w:eastAsiaTheme="minorHAnsi" w:hAnsi="Century Gothic" w:cs="Arial"/>
          <w:sz w:val="22"/>
          <w:szCs w:val="22"/>
          <w:lang w:val="es-EC" w:eastAsia="en-US"/>
        </w:rPr>
        <w:t>la Comisión de Propiedad y Espacio Público, e</w:t>
      </w:r>
      <w:r w:rsidR="00B401BE" w:rsidRPr="00C8283F">
        <w:rPr>
          <w:rFonts w:ascii="Century Gothic" w:eastAsiaTheme="minorHAnsi" w:hAnsi="Century Gothic" w:cs="Arial"/>
          <w:sz w:val="22"/>
          <w:szCs w:val="22"/>
          <w:lang w:val="es-EC" w:eastAsia="en-US"/>
        </w:rPr>
        <w:t>mitió el Informe No. IC-CPP-2023-XXX de XX de XXXXXX de 2023</w:t>
      </w:r>
      <w:r w:rsidRPr="00C8283F">
        <w:rPr>
          <w:rFonts w:ascii="Century Gothic" w:eastAsiaTheme="minorHAnsi" w:hAnsi="Century Gothic" w:cs="Arial"/>
          <w:sz w:val="22"/>
          <w:szCs w:val="22"/>
          <w:lang w:val="es-EC" w:eastAsia="en-US"/>
        </w:rPr>
        <w:t>, el que contiene el dictamen favorable para que el Concejo Metropolitano se pronuncie en los términos previstos en la presente resolución.</w:t>
      </w:r>
    </w:p>
    <w:p w:rsidR="00BA364C" w:rsidRPr="001B5A35" w:rsidRDefault="00BA364C" w:rsidP="00BA364C">
      <w:pPr>
        <w:autoSpaceDE w:val="0"/>
        <w:autoSpaceDN w:val="0"/>
        <w:adjustRightInd w:val="0"/>
        <w:jc w:val="both"/>
        <w:rPr>
          <w:rFonts w:ascii="Century Gothic" w:eastAsiaTheme="minorHAnsi" w:hAnsi="Century Gothic"/>
          <w:sz w:val="22"/>
          <w:szCs w:val="22"/>
          <w:lang w:val="es-EC" w:eastAsia="en-US"/>
        </w:rPr>
      </w:pPr>
    </w:p>
    <w:p w:rsidR="00BA364C" w:rsidRPr="001B5A35" w:rsidRDefault="00BA364C" w:rsidP="00BA364C">
      <w:pPr>
        <w:pStyle w:val="Sinespaciado"/>
        <w:rPr>
          <w:rFonts w:ascii="Century Gothic" w:hAnsi="Century Gothic" w:cs="Times New Roman"/>
          <w:b/>
        </w:rPr>
      </w:pPr>
      <w:r w:rsidRPr="001B5A35">
        <w:rPr>
          <w:rFonts w:ascii="Century Gothic" w:hAnsi="Century Gothic" w:cs="Times New Roman"/>
          <w:b/>
          <w:bCs/>
        </w:rPr>
        <w:t xml:space="preserve">El Concejo Metropolitana de Quito, en ejercicio de sus atribuciones previstas en los artículos </w:t>
      </w:r>
      <w:r w:rsidRPr="001B5A35">
        <w:rPr>
          <w:rFonts w:ascii="Century Gothic" w:hAnsi="Century Gothic" w:cs="Times New Roman"/>
          <w:b/>
        </w:rPr>
        <w:t xml:space="preserve">240 de la Constitución de la República y artículos 87 letra a); y, 323 del Código Orgánico de Organización Territorial, Autonomía y Descentralización; </w:t>
      </w:r>
    </w:p>
    <w:p w:rsidR="00BA364C" w:rsidRPr="001B5A35" w:rsidRDefault="00BA364C" w:rsidP="00927186">
      <w:pPr>
        <w:autoSpaceDE w:val="0"/>
        <w:autoSpaceDN w:val="0"/>
        <w:adjustRightInd w:val="0"/>
        <w:rPr>
          <w:rFonts w:ascii="Century Gothic" w:eastAsiaTheme="minorHAnsi" w:hAnsi="Century Gothic"/>
          <w:b/>
          <w:bCs/>
          <w:sz w:val="22"/>
          <w:szCs w:val="22"/>
          <w:lang w:val="es-EC" w:eastAsia="en-US"/>
        </w:rPr>
      </w:pPr>
      <w:bookmarkStart w:id="0" w:name="_GoBack"/>
      <w:bookmarkEnd w:id="0"/>
    </w:p>
    <w:p w:rsidR="00BA364C" w:rsidRPr="001B5A35" w:rsidRDefault="00BA364C" w:rsidP="00BA364C">
      <w:pPr>
        <w:autoSpaceDE w:val="0"/>
        <w:autoSpaceDN w:val="0"/>
        <w:adjustRightInd w:val="0"/>
        <w:jc w:val="center"/>
        <w:rPr>
          <w:rFonts w:ascii="Century Gothic" w:eastAsiaTheme="minorHAnsi" w:hAnsi="Century Gothic"/>
          <w:b/>
          <w:bCs/>
          <w:sz w:val="22"/>
          <w:szCs w:val="22"/>
          <w:lang w:val="es-EC" w:eastAsia="en-US"/>
        </w:rPr>
      </w:pPr>
      <w:r w:rsidRPr="001B5A35">
        <w:rPr>
          <w:rFonts w:ascii="Century Gothic" w:eastAsiaTheme="minorHAnsi" w:hAnsi="Century Gothic"/>
          <w:b/>
          <w:bCs/>
          <w:sz w:val="22"/>
          <w:szCs w:val="22"/>
          <w:lang w:val="es-EC" w:eastAsia="en-US"/>
        </w:rPr>
        <w:t>RESUELVE:</w:t>
      </w:r>
    </w:p>
    <w:p w:rsidR="00BA364C" w:rsidRPr="001B5A35" w:rsidRDefault="00BA364C" w:rsidP="00BA364C">
      <w:pPr>
        <w:autoSpaceDE w:val="0"/>
        <w:autoSpaceDN w:val="0"/>
        <w:adjustRightInd w:val="0"/>
        <w:rPr>
          <w:rFonts w:ascii="Century Gothic" w:eastAsiaTheme="minorHAnsi" w:hAnsi="Century Gothic"/>
          <w:b/>
          <w:bCs/>
          <w:sz w:val="22"/>
          <w:szCs w:val="22"/>
          <w:lang w:val="es-EC" w:eastAsia="en-US"/>
        </w:rPr>
      </w:pPr>
    </w:p>
    <w:p w:rsidR="00BA364C" w:rsidRPr="002A3828" w:rsidRDefault="00BA364C" w:rsidP="00BA364C">
      <w:pPr>
        <w:pStyle w:val="Sinespaciado"/>
        <w:rPr>
          <w:rFonts w:ascii="Century Gothic" w:hAnsi="Century Gothic"/>
        </w:rPr>
      </w:pPr>
      <w:r w:rsidRPr="001B5A35">
        <w:rPr>
          <w:rFonts w:ascii="Century Gothic" w:hAnsi="Century Gothic" w:cs="Times New Roman"/>
          <w:b/>
        </w:rPr>
        <w:t>Artículo 1.-</w:t>
      </w:r>
      <w:r w:rsidRPr="001B5A35">
        <w:rPr>
          <w:rFonts w:ascii="Century Gothic" w:hAnsi="Century Gothic" w:cs="Times New Roman"/>
        </w:rPr>
        <w:t xml:space="preserve"> Autorizar el cambio de categoría de bien municipal de dominio público a bien municipal de dominio</w:t>
      </w:r>
      <w:r w:rsidR="00421024">
        <w:rPr>
          <w:rFonts w:ascii="Century Gothic" w:hAnsi="Century Gothic" w:cs="Times New Roman"/>
        </w:rPr>
        <w:t xml:space="preserve"> privado, de la faja de terreno</w:t>
      </w:r>
      <w:r>
        <w:rPr>
          <w:rFonts w:ascii="Century Gothic" w:hAnsi="Century Gothic" w:cs="Times New Roman"/>
        </w:rPr>
        <w:t xml:space="preserve"> colindante del inmueble ubicado en la calle </w:t>
      </w:r>
      <w:r w:rsidR="002A3828" w:rsidRPr="002A3828">
        <w:rPr>
          <w:rFonts w:ascii="Century Gothic" w:hAnsi="Century Gothic" w:cs="Arial"/>
          <w:shd w:val="clear" w:color="auto" w:fill="FFFFFF"/>
        </w:rPr>
        <w:t>N72A - S/N</w:t>
      </w:r>
      <w:r w:rsidR="002A3828">
        <w:rPr>
          <w:rFonts w:ascii="Century Gothic" w:hAnsi="Century Gothic" w:cs="Arial"/>
          <w:shd w:val="clear" w:color="auto" w:fill="FFFFFF"/>
        </w:rPr>
        <w:t xml:space="preserve">, </w:t>
      </w:r>
      <w:r>
        <w:rPr>
          <w:rFonts w:ascii="Century Gothic" w:hAnsi="Century Gothic" w:cs="Times New Roman"/>
        </w:rPr>
        <w:t xml:space="preserve">cuya referencia catastral es la clave </w:t>
      </w:r>
      <w:r w:rsidR="002A3828" w:rsidRPr="002A3828">
        <w:rPr>
          <w:rFonts w:ascii="Century Gothic" w:hAnsi="Century Gothic" w:cs="Arial"/>
          <w:shd w:val="clear" w:color="auto" w:fill="FFFFFF"/>
        </w:rPr>
        <w:t>13108 02 058</w:t>
      </w:r>
      <w:r w:rsidRPr="002A3828">
        <w:rPr>
          <w:rFonts w:ascii="Century Gothic" w:hAnsi="Century Gothic"/>
        </w:rPr>
        <w:t>,</w:t>
      </w:r>
      <w:r w:rsidR="002A3828">
        <w:rPr>
          <w:rFonts w:ascii="Century Gothic" w:hAnsi="Century Gothic"/>
        </w:rPr>
        <w:t xml:space="preserve"> </w:t>
      </w:r>
      <w:r>
        <w:rPr>
          <w:rFonts w:ascii="Century Gothic" w:hAnsi="Century Gothic"/>
        </w:rPr>
        <w:t xml:space="preserve">conforme a lo establecido en la ficha técnica actualizada, adjunta al informe técnico </w:t>
      </w:r>
      <w:r w:rsidR="002A3828">
        <w:rPr>
          <w:rFonts w:ascii="Century Gothic" w:hAnsi="Century Gothic" w:cs="Times New Roman"/>
        </w:rPr>
        <w:t>STHV-DMC-UCE-2023-0142</w:t>
      </w:r>
      <w:r>
        <w:rPr>
          <w:rFonts w:ascii="Century Gothic" w:hAnsi="Century Gothic" w:cs="Times New Roman"/>
        </w:rPr>
        <w:t xml:space="preserve">, de </w:t>
      </w:r>
      <w:r w:rsidR="002A3828">
        <w:rPr>
          <w:rFonts w:ascii="Century Gothic" w:hAnsi="Century Gothic" w:cs="Times New Roman"/>
        </w:rPr>
        <w:t>31 de enero de 2023</w:t>
      </w:r>
      <w:r>
        <w:rPr>
          <w:rFonts w:ascii="Century Gothic" w:hAnsi="Century Gothic" w:cs="Times New Roman"/>
        </w:rPr>
        <w:t>, de la Dirección Metropolitana de Catastro.</w:t>
      </w:r>
    </w:p>
    <w:p w:rsidR="00BA364C" w:rsidRPr="001B5A35" w:rsidRDefault="00BA364C" w:rsidP="00BA364C">
      <w:pPr>
        <w:pStyle w:val="Sinespaciado"/>
        <w:rPr>
          <w:rFonts w:ascii="Century Gothic" w:hAnsi="Century Gothic" w:cs="Times New Roman"/>
        </w:rPr>
      </w:pPr>
    </w:p>
    <w:p w:rsidR="002A3828" w:rsidRPr="002A3828" w:rsidRDefault="00BA364C" w:rsidP="002A3828">
      <w:pPr>
        <w:pStyle w:val="Sinespaciado"/>
        <w:rPr>
          <w:rFonts w:ascii="Century Gothic" w:hAnsi="Century Gothic"/>
        </w:rPr>
      </w:pPr>
      <w:r w:rsidRPr="001B5A35">
        <w:rPr>
          <w:rFonts w:ascii="Century Gothic" w:hAnsi="Century Gothic" w:cs="Times New Roman"/>
          <w:b/>
        </w:rPr>
        <w:lastRenderedPageBreak/>
        <w:t xml:space="preserve">Artículo 2.- </w:t>
      </w:r>
      <w:r w:rsidRPr="001B5A35">
        <w:rPr>
          <w:rFonts w:ascii="Century Gothic" w:hAnsi="Century Gothic" w:cs="Times New Roman"/>
        </w:rPr>
        <w:t>Autorizar la enajenación directa de la faja de terreno, referida en el artículo anterior, a favor de los propietarios, los señores</w:t>
      </w:r>
      <w:r w:rsidR="002A3828">
        <w:rPr>
          <w:rFonts w:ascii="Century Gothic" w:hAnsi="Century Gothic" w:cs="Times New Roman"/>
        </w:rPr>
        <w:t xml:space="preserve"> </w:t>
      </w:r>
      <w:r w:rsidR="002A3828" w:rsidRPr="00EC074F">
        <w:rPr>
          <w:rFonts w:ascii="Century Gothic" w:hAnsi="Century Gothic"/>
        </w:rPr>
        <w:t xml:space="preserve">JORGE RENÉ NICOLALDE LÓPEZ, JANE ELIZABETH NICOLALDE LÓPEZ </w:t>
      </w:r>
      <w:r w:rsidR="002A3828">
        <w:rPr>
          <w:rFonts w:ascii="Century Gothic" w:hAnsi="Century Gothic"/>
        </w:rPr>
        <w:t>y CARLOS XAVIER NICOLALDE LÓPEZ</w:t>
      </w:r>
      <w:r w:rsidR="002A3828">
        <w:rPr>
          <w:rFonts w:ascii="Century Gothic" w:hAnsi="Century Gothic" w:cs="Times New Roman"/>
        </w:rPr>
        <w:t xml:space="preserve">, </w:t>
      </w:r>
      <w:r w:rsidRPr="001B5A35">
        <w:rPr>
          <w:rFonts w:ascii="Century Gothic" w:hAnsi="Century Gothic" w:cs="Times New Roman"/>
        </w:rPr>
        <w:t xml:space="preserve"> puntualizando que respecto a los datos técnicos</w:t>
      </w:r>
      <w:r w:rsidR="002A3828">
        <w:rPr>
          <w:rFonts w:ascii="Century Gothic" w:hAnsi="Century Gothic" w:cs="Times New Roman"/>
        </w:rPr>
        <w:t>, ubicación , linderos , superficie y avalúo</w:t>
      </w:r>
      <w:r w:rsidRPr="001B5A35">
        <w:rPr>
          <w:rFonts w:ascii="Century Gothic" w:hAnsi="Century Gothic" w:cs="Times New Roman"/>
        </w:rPr>
        <w:t xml:space="preserve"> para la enajenación de la faja de terreno se estará a lo establecido en la ficha técnica actualizada, adjunta al </w:t>
      </w:r>
      <w:r w:rsidR="002A3828">
        <w:rPr>
          <w:rFonts w:ascii="Century Gothic" w:hAnsi="Century Gothic"/>
        </w:rPr>
        <w:t xml:space="preserve">informe técnico </w:t>
      </w:r>
      <w:r w:rsidR="002A3828">
        <w:rPr>
          <w:rFonts w:ascii="Century Gothic" w:hAnsi="Century Gothic" w:cs="Times New Roman"/>
        </w:rPr>
        <w:t>STHV-DMC-UCE-2023-0142, de 31 de enero de 2023, de la Dirección Metropolitana de Catastro.</w:t>
      </w:r>
    </w:p>
    <w:p w:rsidR="00BA364C" w:rsidRPr="001B5A35" w:rsidRDefault="00BA364C" w:rsidP="00BA364C">
      <w:pPr>
        <w:pStyle w:val="Sinespaciado"/>
        <w:rPr>
          <w:rFonts w:ascii="Century Gothic" w:hAnsi="Century Gothic" w:cs="Times New Roman"/>
        </w:rPr>
      </w:pPr>
    </w:p>
    <w:p w:rsidR="00BA364C" w:rsidRPr="001B5A35" w:rsidRDefault="00BA364C" w:rsidP="00BA364C">
      <w:pPr>
        <w:pStyle w:val="Sinespaciado"/>
        <w:rPr>
          <w:rFonts w:ascii="Century Gothic" w:hAnsi="Century Gothic" w:cs="Times New Roman"/>
        </w:rPr>
      </w:pPr>
      <w:r w:rsidRPr="001B5A35">
        <w:rPr>
          <w:rFonts w:ascii="Century Gothic" w:hAnsi="Century Gothic" w:cs="Times New Roman"/>
          <w:b/>
        </w:rPr>
        <w:t>Artículo 3.-</w:t>
      </w:r>
      <w:r w:rsidRPr="001B5A35">
        <w:rPr>
          <w:rFonts w:ascii="Century Gothic" w:hAnsi="Century Gothic" w:cs="Times New Roman"/>
        </w:rPr>
        <w:t xml:space="preserve"> El valor que deberán cancelar los adjudicatarios, por efecto de la enajenación directa autorizada, será el avalúo catastral actualizado a la fecha de la aprobación de la presente Resolución, hecho lo cual, la Dirección Metropolitana Financiera emitirá los respectivos títulos de crédito. En el caso de existir pagos anteriores, estos valores serán descontados como abono del valor de la adjudicación actual.</w:t>
      </w:r>
    </w:p>
    <w:p w:rsidR="00BA364C" w:rsidRPr="001B5A35" w:rsidRDefault="00BA364C" w:rsidP="00BA364C">
      <w:pPr>
        <w:pStyle w:val="Sinespaciado"/>
        <w:rPr>
          <w:rFonts w:ascii="Century Gothic" w:hAnsi="Century Gothic" w:cs="Times New Roman"/>
        </w:rPr>
      </w:pPr>
    </w:p>
    <w:p w:rsidR="00BA364C" w:rsidRPr="001B5A35" w:rsidRDefault="00BA364C" w:rsidP="00BA364C">
      <w:pPr>
        <w:pStyle w:val="Sinespaciado"/>
        <w:rPr>
          <w:rFonts w:ascii="Century Gothic" w:hAnsi="Century Gothic" w:cs="Times New Roman"/>
        </w:rPr>
      </w:pPr>
      <w:r w:rsidRPr="001B5A35">
        <w:rPr>
          <w:rFonts w:ascii="Century Gothic" w:hAnsi="Century Gothic" w:cs="Times New Roman"/>
          <w:b/>
        </w:rPr>
        <w:t xml:space="preserve">Artículo 4.- </w:t>
      </w:r>
      <w:r w:rsidRPr="001B5A35">
        <w:rPr>
          <w:rFonts w:ascii="Century Gothic" w:hAnsi="Century Gothic" w:cs="Times New Roman"/>
        </w:rPr>
        <w:t xml:space="preserve">Una vez realizado el pago, la Tesorería Metropolitana remitirá todo el expediente, con su constancia a la Procuraduría Metropolitana, para continuar con los trámites de escrituración. </w:t>
      </w:r>
    </w:p>
    <w:p w:rsidR="00BA364C" w:rsidRPr="001B5A35" w:rsidRDefault="00BA364C" w:rsidP="00BA364C">
      <w:pPr>
        <w:pStyle w:val="Sinespaciado"/>
        <w:rPr>
          <w:rFonts w:ascii="Century Gothic" w:hAnsi="Century Gothic" w:cs="Times New Roman"/>
        </w:rPr>
      </w:pPr>
    </w:p>
    <w:p w:rsidR="00BA364C" w:rsidRPr="001B5A35" w:rsidRDefault="00BA364C" w:rsidP="00BA364C">
      <w:pPr>
        <w:pStyle w:val="Sinespaciado"/>
        <w:rPr>
          <w:rFonts w:ascii="Century Gothic" w:hAnsi="Century Gothic" w:cs="Times New Roman"/>
        </w:rPr>
      </w:pPr>
      <w:r w:rsidRPr="001B5A35">
        <w:rPr>
          <w:rFonts w:ascii="Century Gothic" w:hAnsi="Century Gothic" w:cs="Times New Roman"/>
        </w:rPr>
        <w:t xml:space="preserve">En caso de que no se verifiquen los pagos en el plazo legal, la Tesorería Metropolitana procederá al cobro por la vía coactiva. </w:t>
      </w:r>
    </w:p>
    <w:p w:rsidR="00BA364C" w:rsidRPr="001B5A35" w:rsidRDefault="00BA364C" w:rsidP="00BA364C">
      <w:pPr>
        <w:pStyle w:val="Sinespaciado"/>
        <w:rPr>
          <w:rFonts w:ascii="Century Gothic" w:hAnsi="Century Gothic" w:cs="Times New Roman"/>
        </w:rPr>
      </w:pPr>
    </w:p>
    <w:p w:rsidR="00BA364C" w:rsidRPr="001B5A35" w:rsidRDefault="00BA364C" w:rsidP="00BA364C">
      <w:pPr>
        <w:pStyle w:val="Sinespaciado"/>
        <w:rPr>
          <w:rFonts w:ascii="Century Gothic" w:hAnsi="Century Gothic" w:cs="Times New Roman"/>
        </w:rPr>
      </w:pPr>
      <w:r w:rsidRPr="001B5A35">
        <w:rPr>
          <w:rFonts w:ascii="Century Gothic" w:hAnsi="Century Gothic" w:cs="Times New Roman"/>
          <w:b/>
        </w:rPr>
        <w:t>Artículo 5.-</w:t>
      </w:r>
      <w:r w:rsidRPr="001B5A35">
        <w:rPr>
          <w:rFonts w:ascii="Century Gothic" w:hAnsi="Century Gothic" w:cs="Times New Roman"/>
        </w:rPr>
        <w:t xml:space="preserve"> Comuníquese a los interesados y al señor Procurador Metropolitano, para que una vez efectuado el pago continúe con los trámites de Ley y las acciones necesarias, para el perfeccionamiento de la transferencia de dominio hasta la debida inscripción en el Registro de la Propiedad. </w:t>
      </w:r>
    </w:p>
    <w:p w:rsidR="00BA364C" w:rsidRPr="001B5A35" w:rsidRDefault="00BA364C" w:rsidP="00BA364C">
      <w:pPr>
        <w:pStyle w:val="Sinespaciado"/>
        <w:rPr>
          <w:rFonts w:ascii="Century Gothic" w:hAnsi="Century Gothic" w:cs="Times New Roman"/>
        </w:rPr>
      </w:pPr>
    </w:p>
    <w:p w:rsidR="00BA364C" w:rsidRPr="001B5A35" w:rsidRDefault="00BA364C" w:rsidP="00BA364C">
      <w:pPr>
        <w:autoSpaceDE w:val="0"/>
        <w:autoSpaceDN w:val="0"/>
        <w:adjustRightInd w:val="0"/>
        <w:jc w:val="both"/>
        <w:rPr>
          <w:rFonts w:ascii="Century Gothic" w:hAnsi="Century Gothic"/>
          <w:sz w:val="22"/>
          <w:szCs w:val="22"/>
        </w:rPr>
      </w:pPr>
      <w:r w:rsidRPr="001B5A35">
        <w:rPr>
          <w:rFonts w:ascii="Century Gothic" w:eastAsiaTheme="minorHAnsi" w:hAnsi="Century Gothic"/>
          <w:b/>
          <w:sz w:val="22"/>
          <w:szCs w:val="22"/>
          <w:lang w:val="es-EC" w:eastAsia="en-US"/>
        </w:rPr>
        <w:t xml:space="preserve">Disposición Final. - </w:t>
      </w:r>
      <w:r w:rsidRPr="001B5A35">
        <w:rPr>
          <w:rFonts w:ascii="Century Gothic" w:eastAsiaTheme="minorHAnsi" w:hAnsi="Century Gothic"/>
          <w:sz w:val="22"/>
          <w:szCs w:val="22"/>
          <w:lang w:val="es-EC" w:eastAsia="en-US"/>
        </w:rPr>
        <w:t xml:space="preserve">La presente Resolución entrará en vigencia a partir de su suscripción sin perjuicio de su publicación. </w:t>
      </w:r>
    </w:p>
    <w:p w:rsidR="00BA364C" w:rsidRPr="001B5A35" w:rsidRDefault="00BA364C" w:rsidP="00BA364C">
      <w:pPr>
        <w:autoSpaceDE w:val="0"/>
        <w:autoSpaceDN w:val="0"/>
        <w:adjustRightInd w:val="0"/>
        <w:jc w:val="both"/>
        <w:rPr>
          <w:rFonts w:ascii="Century Gothic" w:eastAsiaTheme="minorHAnsi" w:hAnsi="Century Gothic"/>
          <w:sz w:val="22"/>
          <w:szCs w:val="22"/>
          <w:lang w:val="es-EC" w:eastAsia="en-US"/>
        </w:rPr>
      </w:pPr>
    </w:p>
    <w:p w:rsidR="00BA364C" w:rsidRPr="001B5A35" w:rsidRDefault="00BA364C" w:rsidP="00BA364C">
      <w:pPr>
        <w:jc w:val="both"/>
        <w:rPr>
          <w:rFonts w:ascii="Century Gothic" w:hAnsi="Century Gothic"/>
          <w:sz w:val="22"/>
          <w:szCs w:val="22"/>
        </w:rPr>
      </w:pPr>
      <w:r w:rsidRPr="001B5A35">
        <w:rPr>
          <w:rFonts w:ascii="Century Gothic" w:hAnsi="Century Gothic"/>
          <w:b/>
          <w:sz w:val="22"/>
          <w:szCs w:val="22"/>
        </w:rPr>
        <w:t xml:space="preserve">Alcaldía del Distrito Metropolitano. - </w:t>
      </w:r>
      <w:r w:rsidRPr="001B5A35">
        <w:rPr>
          <w:rFonts w:ascii="Century Gothic" w:hAnsi="Century Gothic"/>
          <w:sz w:val="22"/>
          <w:szCs w:val="22"/>
        </w:rPr>
        <w:t xml:space="preserve">Distrito Metropolitano de Quito, </w:t>
      </w:r>
    </w:p>
    <w:p w:rsidR="00BA364C" w:rsidRPr="001B5A35" w:rsidRDefault="00BA364C" w:rsidP="00BA364C">
      <w:pPr>
        <w:jc w:val="both"/>
        <w:rPr>
          <w:rFonts w:ascii="Century Gothic" w:hAnsi="Century Gothic"/>
          <w:sz w:val="22"/>
          <w:szCs w:val="22"/>
        </w:rPr>
      </w:pPr>
    </w:p>
    <w:p w:rsidR="00BA364C" w:rsidRPr="001B5A35" w:rsidRDefault="00BA364C" w:rsidP="00BA364C">
      <w:pPr>
        <w:jc w:val="center"/>
        <w:rPr>
          <w:rFonts w:ascii="Century Gothic" w:hAnsi="Century Gothic"/>
          <w:b/>
          <w:sz w:val="22"/>
          <w:szCs w:val="22"/>
        </w:rPr>
      </w:pPr>
    </w:p>
    <w:p w:rsidR="00BA364C" w:rsidRPr="001B5A35" w:rsidRDefault="00BA364C" w:rsidP="00BA364C">
      <w:pPr>
        <w:jc w:val="center"/>
        <w:rPr>
          <w:rFonts w:ascii="Century Gothic" w:hAnsi="Century Gothic"/>
          <w:b/>
          <w:sz w:val="22"/>
          <w:szCs w:val="22"/>
        </w:rPr>
      </w:pPr>
      <w:r w:rsidRPr="001B5A35">
        <w:rPr>
          <w:rFonts w:ascii="Century Gothic" w:hAnsi="Century Gothic"/>
          <w:b/>
          <w:sz w:val="22"/>
          <w:szCs w:val="22"/>
        </w:rPr>
        <w:t>EJECÚTESE:</w:t>
      </w:r>
    </w:p>
    <w:p w:rsidR="00BA364C" w:rsidRPr="001B5A35" w:rsidRDefault="00BA364C" w:rsidP="00BA364C">
      <w:pPr>
        <w:pStyle w:val="Sinespaciado"/>
        <w:jc w:val="center"/>
        <w:rPr>
          <w:rFonts w:ascii="Century Gothic" w:hAnsi="Century Gothic" w:cs="Times New Roman"/>
        </w:rPr>
      </w:pPr>
    </w:p>
    <w:p w:rsidR="00BA364C" w:rsidRPr="001B5A35" w:rsidRDefault="00BA364C" w:rsidP="00BA364C">
      <w:pPr>
        <w:pStyle w:val="Sinespaciado"/>
        <w:jc w:val="center"/>
        <w:rPr>
          <w:rFonts w:ascii="Century Gothic" w:hAnsi="Century Gothic" w:cs="Times New Roman"/>
        </w:rPr>
      </w:pPr>
    </w:p>
    <w:p w:rsidR="00BA364C" w:rsidRPr="001B5A35" w:rsidRDefault="00BA364C" w:rsidP="007E7BB9">
      <w:pPr>
        <w:pStyle w:val="Sinespaciado"/>
        <w:rPr>
          <w:rFonts w:ascii="Century Gothic" w:hAnsi="Century Gothic" w:cs="Times New Roman"/>
        </w:rPr>
      </w:pPr>
    </w:p>
    <w:p w:rsidR="00BA364C" w:rsidRPr="001B5A35" w:rsidRDefault="00BA364C" w:rsidP="00BA364C">
      <w:pPr>
        <w:pStyle w:val="Sinespaciado"/>
        <w:jc w:val="center"/>
        <w:rPr>
          <w:rFonts w:ascii="Century Gothic" w:hAnsi="Century Gothic" w:cs="Times New Roman"/>
        </w:rPr>
      </w:pPr>
      <w:r w:rsidRPr="001B5A35">
        <w:rPr>
          <w:rFonts w:ascii="Century Gothic" w:hAnsi="Century Gothic" w:cs="Times New Roman"/>
        </w:rPr>
        <w:t xml:space="preserve">Dr. Santiago Mauricio </w:t>
      </w:r>
      <w:proofErr w:type="spellStart"/>
      <w:r w:rsidRPr="001B5A35">
        <w:rPr>
          <w:rFonts w:ascii="Century Gothic" w:hAnsi="Century Gothic" w:cs="Times New Roman"/>
        </w:rPr>
        <w:t>Guarderas</w:t>
      </w:r>
      <w:proofErr w:type="spellEnd"/>
      <w:r w:rsidRPr="001B5A35">
        <w:rPr>
          <w:rFonts w:ascii="Century Gothic" w:hAnsi="Century Gothic" w:cs="Times New Roman"/>
        </w:rPr>
        <w:t xml:space="preserve"> Izquierdo</w:t>
      </w:r>
    </w:p>
    <w:p w:rsidR="00BA364C" w:rsidRPr="001B5A35" w:rsidRDefault="00BA364C" w:rsidP="00BA364C">
      <w:pPr>
        <w:pStyle w:val="Sinespaciado"/>
        <w:jc w:val="center"/>
        <w:rPr>
          <w:rFonts w:ascii="Century Gothic" w:hAnsi="Century Gothic" w:cs="Times New Roman"/>
          <w:b/>
        </w:rPr>
      </w:pPr>
      <w:r w:rsidRPr="001B5A35">
        <w:rPr>
          <w:rFonts w:ascii="Century Gothic" w:hAnsi="Century Gothic" w:cs="Times New Roman"/>
          <w:b/>
        </w:rPr>
        <w:t>ALCALDE DEL DISTRITO METROPOLITANO DE QUITO</w:t>
      </w:r>
    </w:p>
    <w:p w:rsidR="00BA364C" w:rsidRPr="001B5A35" w:rsidRDefault="00BA364C" w:rsidP="00BA364C">
      <w:pPr>
        <w:jc w:val="both"/>
        <w:rPr>
          <w:rFonts w:ascii="Century Gothic" w:hAnsi="Century Gothic"/>
          <w:b/>
          <w:sz w:val="22"/>
          <w:szCs w:val="22"/>
        </w:rPr>
      </w:pPr>
    </w:p>
    <w:p w:rsidR="00BA364C" w:rsidRPr="001B5A35" w:rsidRDefault="00BA364C" w:rsidP="00BA364C">
      <w:pPr>
        <w:jc w:val="both"/>
        <w:rPr>
          <w:rFonts w:ascii="Century Gothic" w:hAnsi="Century Gothic"/>
          <w:sz w:val="22"/>
          <w:szCs w:val="22"/>
        </w:rPr>
      </w:pPr>
      <w:r w:rsidRPr="001B5A35">
        <w:rPr>
          <w:rFonts w:ascii="Century Gothic" w:hAnsi="Century Gothic"/>
          <w:b/>
          <w:sz w:val="22"/>
          <w:szCs w:val="22"/>
        </w:rPr>
        <w:t>CERTIFICO,</w:t>
      </w:r>
      <w:r w:rsidRPr="001B5A35">
        <w:rPr>
          <w:rFonts w:ascii="Century Gothic" w:hAnsi="Century Gothic"/>
          <w:sz w:val="22"/>
          <w:szCs w:val="22"/>
        </w:rPr>
        <w:t xml:space="preserve"> que la presente resolución fue discutida y aprobada en sesión pública ordinaria del Concejo Metropolitano de Quito, el XXXXXXXXXXX; y, suscrita por el Dr. Santiago Mauricio </w:t>
      </w:r>
      <w:proofErr w:type="spellStart"/>
      <w:r w:rsidRPr="001B5A35">
        <w:rPr>
          <w:rFonts w:ascii="Century Gothic" w:hAnsi="Century Gothic"/>
          <w:sz w:val="22"/>
          <w:szCs w:val="22"/>
        </w:rPr>
        <w:t>Guarderas</w:t>
      </w:r>
      <w:proofErr w:type="spellEnd"/>
      <w:r w:rsidRPr="001B5A35">
        <w:rPr>
          <w:rFonts w:ascii="Century Gothic" w:hAnsi="Century Gothic"/>
          <w:sz w:val="22"/>
          <w:szCs w:val="22"/>
        </w:rPr>
        <w:t xml:space="preserve"> Izquierdo, Alcalde del Distrito Metropolitano de Quito, e</w:t>
      </w:r>
      <w:r w:rsidR="00B401BE">
        <w:rPr>
          <w:rFonts w:ascii="Century Gothic" w:hAnsi="Century Gothic"/>
          <w:sz w:val="22"/>
          <w:szCs w:val="22"/>
        </w:rPr>
        <w:t>l XXXXXXXXXXX de XXXXXXX de 2023</w:t>
      </w:r>
      <w:r w:rsidRPr="001B5A35">
        <w:rPr>
          <w:rFonts w:ascii="Century Gothic" w:hAnsi="Century Gothic"/>
          <w:sz w:val="22"/>
          <w:szCs w:val="22"/>
        </w:rPr>
        <w:t>.</w:t>
      </w:r>
    </w:p>
    <w:p w:rsidR="00BA364C" w:rsidRPr="001B5A35" w:rsidRDefault="00BA364C" w:rsidP="00BA364C">
      <w:pPr>
        <w:jc w:val="both"/>
        <w:rPr>
          <w:rFonts w:ascii="Century Gothic" w:hAnsi="Century Gothic"/>
          <w:b/>
          <w:sz w:val="22"/>
          <w:szCs w:val="22"/>
        </w:rPr>
      </w:pPr>
    </w:p>
    <w:p w:rsidR="00BA364C" w:rsidRPr="001B5A35" w:rsidRDefault="00BA364C" w:rsidP="00BA364C">
      <w:pPr>
        <w:jc w:val="both"/>
        <w:rPr>
          <w:rFonts w:ascii="Century Gothic" w:hAnsi="Century Gothic"/>
          <w:sz w:val="22"/>
          <w:szCs w:val="22"/>
        </w:rPr>
      </w:pPr>
      <w:r w:rsidRPr="001B5A35">
        <w:rPr>
          <w:rFonts w:ascii="Century Gothic" w:hAnsi="Century Gothic"/>
          <w:b/>
          <w:sz w:val="22"/>
          <w:szCs w:val="22"/>
        </w:rPr>
        <w:t xml:space="preserve">Lo certifico. - </w:t>
      </w:r>
      <w:r w:rsidRPr="001B5A35">
        <w:rPr>
          <w:rFonts w:ascii="Century Gothic" w:hAnsi="Century Gothic"/>
          <w:sz w:val="22"/>
          <w:szCs w:val="22"/>
        </w:rPr>
        <w:t xml:space="preserve">Distrito Metropolitano de Quito, el </w:t>
      </w:r>
    </w:p>
    <w:p w:rsidR="00BA364C" w:rsidRPr="001B5A35" w:rsidRDefault="00BA364C" w:rsidP="00BA364C">
      <w:pPr>
        <w:jc w:val="both"/>
        <w:rPr>
          <w:rFonts w:ascii="Century Gothic" w:hAnsi="Century Gothic"/>
          <w:sz w:val="22"/>
          <w:szCs w:val="22"/>
        </w:rPr>
      </w:pPr>
    </w:p>
    <w:p w:rsidR="00BA364C" w:rsidRDefault="00BA364C" w:rsidP="00BA364C">
      <w:pPr>
        <w:rPr>
          <w:rFonts w:ascii="Century Gothic" w:hAnsi="Century Gothic"/>
          <w:sz w:val="22"/>
          <w:szCs w:val="22"/>
        </w:rPr>
      </w:pPr>
    </w:p>
    <w:p w:rsidR="007E7BB9" w:rsidRPr="001B5A35" w:rsidRDefault="007E7BB9" w:rsidP="00BA364C">
      <w:pPr>
        <w:rPr>
          <w:rFonts w:ascii="Century Gothic" w:hAnsi="Century Gothic"/>
          <w:sz w:val="22"/>
          <w:szCs w:val="22"/>
        </w:rPr>
      </w:pPr>
    </w:p>
    <w:p w:rsidR="00BA364C" w:rsidRPr="001B5A35" w:rsidRDefault="00BA364C" w:rsidP="00421024">
      <w:pPr>
        <w:pStyle w:val="Sinespaciado"/>
        <w:jc w:val="center"/>
        <w:rPr>
          <w:rFonts w:ascii="Century Gothic" w:hAnsi="Century Gothic" w:cs="Times New Roman"/>
        </w:rPr>
      </w:pPr>
      <w:r w:rsidRPr="001B5A35">
        <w:rPr>
          <w:rFonts w:ascii="Century Gothic" w:hAnsi="Century Gothic" w:cs="Times New Roman"/>
        </w:rPr>
        <w:t>Abg. Pablo Antonio Santillán Paredes</w:t>
      </w:r>
    </w:p>
    <w:p w:rsidR="00BA364C" w:rsidRPr="001B5A35" w:rsidRDefault="00BA364C" w:rsidP="00BA364C">
      <w:pPr>
        <w:pStyle w:val="Sinespaciado"/>
        <w:jc w:val="center"/>
        <w:rPr>
          <w:rFonts w:ascii="Century Gothic" w:hAnsi="Century Gothic" w:cs="Times New Roman"/>
        </w:rPr>
      </w:pPr>
      <w:r w:rsidRPr="001B5A35">
        <w:rPr>
          <w:rFonts w:ascii="Century Gothic" w:hAnsi="Century Gothic" w:cs="Times New Roman"/>
          <w:b/>
        </w:rPr>
        <w:t xml:space="preserve">SECRETARIO GENERAL DEL CONCEJO METROPOLITANO DE QUITO </w:t>
      </w:r>
    </w:p>
    <w:p w:rsidR="00BA364C" w:rsidRPr="001B5A35" w:rsidRDefault="00BA364C" w:rsidP="00BA364C">
      <w:pPr>
        <w:rPr>
          <w:rFonts w:ascii="Century Gothic" w:hAnsi="Century Gothic"/>
          <w:sz w:val="22"/>
          <w:szCs w:val="22"/>
        </w:rPr>
      </w:pPr>
    </w:p>
    <w:p w:rsidR="00BA364C" w:rsidRPr="001B5A35" w:rsidRDefault="00BA364C" w:rsidP="00BA364C">
      <w:pPr>
        <w:autoSpaceDE w:val="0"/>
        <w:autoSpaceDN w:val="0"/>
        <w:adjustRightInd w:val="0"/>
        <w:ind w:left="705" w:hanging="705"/>
        <w:jc w:val="both"/>
        <w:rPr>
          <w:rFonts w:ascii="Century Gothic" w:hAnsi="Century Gothic"/>
          <w:sz w:val="22"/>
          <w:szCs w:val="22"/>
        </w:rPr>
      </w:pPr>
    </w:p>
    <w:p w:rsidR="00BA364C" w:rsidRPr="001B5A35" w:rsidRDefault="00BA364C" w:rsidP="00BA364C">
      <w:pPr>
        <w:rPr>
          <w:rFonts w:ascii="Century Gothic" w:hAnsi="Century Gothic"/>
          <w:sz w:val="22"/>
          <w:szCs w:val="22"/>
        </w:rPr>
      </w:pPr>
    </w:p>
    <w:p w:rsidR="006C19A8" w:rsidRDefault="006C19A8"/>
    <w:sectPr w:rsidR="006C19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03664"/>
    <w:multiLevelType w:val="hybridMultilevel"/>
    <w:tmpl w:val="BBA2B91A"/>
    <w:lvl w:ilvl="0" w:tplc="B9EE952A">
      <w:start w:val="1"/>
      <w:numFmt w:val="bullet"/>
      <w:lvlText w:val=""/>
      <w:lvlJc w:val="left"/>
      <w:pPr>
        <w:tabs>
          <w:tab w:val="num" w:pos="720"/>
        </w:tabs>
        <w:ind w:left="720" w:hanging="360"/>
      </w:pPr>
      <w:rPr>
        <w:rFonts w:ascii="Wingdings" w:hAnsi="Wingdings" w:hint="default"/>
      </w:rPr>
    </w:lvl>
    <w:lvl w:ilvl="1" w:tplc="189ECD0E" w:tentative="1">
      <w:start w:val="1"/>
      <w:numFmt w:val="bullet"/>
      <w:lvlText w:val=""/>
      <w:lvlJc w:val="left"/>
      <w:pPr>
        <w:tabs>
          <w:tab w:val="num" w:pos="1440"/>
        </w:tabs>
        <w:ind w:left="1440" w:hanging="360"/>
      </w:pPr>
      <w:rPr>
        <w:rFonts w:ascii="Wingdings" w:hAnsi="Wingdings" w:hint="default"/>
      </w:rPr>
    </w:lvl>
    <w:lvl w:ilvl="2" w:tplc="437686E0" w:tentative="1">
      <w:start w:val="1"/>
      <w:numFmt w:val="bullet"/>
      <w:lvlText w:val=""/>
      <w:lvlJc w:val="left"/>
      <w:pPr>
        <w:tabs>
          <w:tab w:val="num" w:pos="2160"/>
        </w:tabs>
        <w:ind w:left="2160" w:hanging="360"/>
      </w:pPr>
      <w:rPr>
        <w:rFonts w:ascii="Wingdings" w:hAnsi="Wingdings" w:hint="default"/>
      </w:rPr>
    </w:lvl>
    <w:lvl w:ilvl="3" w:tplc="AAFE76E8" w:tentative="1">
      <w:start w:val="1"/>
      <w:numFmt w:val="bullet"/>
      <w:lvlText w:val=""/>
      <w:lvlJc w:val="left"/>
      <w:pPr>
        <w:tabs>
          <w:tab w:val="num" w:pos="2880"/>
        </w:tabs>
        <w:ind w:left="2880" w:hanging="360"/>
      </w:pPr>
      <w:rPr>
        <w:rFonts w:ascii="Wingdings" w:hAnsi="Wingdings" w:hint="default"/>
      </w:rPr>
    </w:lvl>
    <w:lvl w:ilvl="4" w:tplc="299497D8" w:tentative="1">
      <w:start w:val="1"/>
      <w:numFmt w:val="bullet"/>
      <w:lvlText w:val=""/>
      <w:lvlJc w:val="left"/>
      <w:pPr>
        <w:tabs>
          <w:tab w:val="num" w:pos="3600"/>
        </w:tabs>
        <w:ind w:left="3600" w:hanging="360"/>
      </w:pPr>
      <w:rPr>
        <w:rFonts w:ascii="Wingdings" w:hAnsi="Wingdings" w:hint="default"/>
      </w:rPr>
    </w:lvl>
    <w:lvl w:ilvl="5" w:tplc="D496318A" w:tentative="1">
      <w:start w:val="1"/>
      <w:numFmt w:val="bullet"/>
      <w:lvlText w:val=""/>
      <w:lvlJc w:val="left"/>
      <w:pPr>
        <w:tabs>
          <w:tab w:val="num" w:pos="4320"/>
        </w:tabs>
        <w:ind w:left="4320" w:hanging="360"/>
      </w:pPr>
      <w:rPr>
        <w:rFonts w:ascii="Wingdings" w:hAnsi="Wingdings" w:hint="default"/>
      </w:rPr>
    </w:lvl>
    <w:lvl w:ilvl="6" w:tplc="0BF653F8" w:tentative="1">
      <w:start w:val="1"/>
      <w:numFmt w:val="bullet"/>
      <w:lvlText w:val=""/>
      <w:lvlJc w:val="left"/>
      <w:pPr>
        <w:tabs>
          <w:tab w:val="num" w:pos="5040"/>
        </w:tabs>
        <w:ind w:left="5040" w:hanging="360"/>
      </w:pPr>
      <w:rPr>
        <w:rFonts w:ascii="Wingdings" w:hAnsi="Wingdings" w:hint="default"/>
      </w:rPr>
    </w:lvl>
    <w:lvl w:ilvl="7" w:tplc="A6521DE6" w:tentative="1">
      <w:start w:val="1"/>
      <w:numFmt w:val="bullet"/>
      <w:lvlText w:val=""/>
      <w:lvlJc w:val="left"/>
      <w:pPr>
        <w:tabs>
          <w:tab w:val="num" w:pos="5760"/>
        </w:tabs>
        <w:ind w:left="5760" w:hanging="360"/>
      </w:pPr>
      <w:rPr>
        <w:rFonts w:ascii="Wingdings" w:hAnsi="Wingdings" w:hint="default"/>
      </w:rPr>
    </w:lvl>
    <w:lvl w:ilvl="8" w:tplc="5900B5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541E4F"/>
    <w:multiLevelType w:val="hybridMultilevel"/>
    <w:tmpl w:val="F6A6F9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4C"/>
    <w:rsid w:val="000701E8"/>
    <w:rsid w:val="00076129"/>
    <w:rsid w:val="00181251"/>
    <w:rsid w:val="002A3828"/>
    <w:rsid w:val="003313FD"/>
    <w:rsid w:val="00357B35"/>
    <w:rsid w:val="00421024"/>
    <w:rsid w:val="0054693D"/>
    <w:rsid w:val="0061477D"/>
    <w:rsid w:val="006223E8"/>
    <w:rsid w:val="006B3EFE"/>
    <w:rsid w:val="006C19A8"/>
    <w:rsid w:val="007C15D5"/>
    <w:rsid w:val="007E7BB9"/>
    <w:rsid w:val="00927186"/>
    <w:rsid w:val="009F6368"/>
    <w:rsid w:val="00AB6F0D"/>
    <w:rsid w:val="00B1285F"/>
    <w:rsid w:val="00B401BE"/>
    <w:rsid w:val="00BA364C"/>
    <w:rsid w:val="00BE5AD0"/>
    <w:rsid w:val="00C8283F"/>
    <w:rsid w:val="00CC40AC"/>
    <w:rsid w:val="00DA2901"/>
    <w:rsid w:val="00DC689E"/>
    <w:rsid w:val="00EC074F"/>
    <w:rsid w:val="00F2146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F8530-FBF1-4CB8-9D51-BEE830E0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64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BA364C"/>
  </w:style>
  <w:style w:type="paragraph" w:styleId="Sinespaciado">
    <w:name w:val="No Spacing"/>
    <w:basedOn w:val="Normal"/>
    <w:link w:val="SinespaciadoCar"/>
    <w:uiPriority w:val="1"/>
    <w:qFormat/>
    <w:rsid w:val="00BA364C"/>
    <w:pPr>
      <w:jc w:val="both"/>
    </w:pPr>
    <w:rPr>
      <w:rFonts w:asciiTheme="minorHAnsi" w:eastAsiaTheme="minorHAnsi" w:hAnsiTheme="minorHAnsi" w:cstheme="minorBidi"/>
      <w:sz w:val="22"/>
      <w:szCs w:val="22"/>
      <w:lang w:val="es-EC" w:eastAsia="en-US"/>
    </w:rPr>
  </w:style>
  <w:style w:type="paragraph" w:styleId="Prrafodelista">
    <w:name w:val="List Paragraph"/>
    <w:basedOn w:val="Normal"/>
    <w:uiPriority w:val="34"/>
    <w:qFormat/>
    <w:rsid w:val="00DA2901"/>
    <w:pPr>
      <w:ind w:left="720"/>
      <w:contextualSpacing/>
    </w:pPr>
    <w:rPr>
      <w:lang w:val="es-EC" w:eastAsia="es-EC"/>
    </w:rPr>
  </w:style>
  <w:style w:type="table" w:styleId="Tablaconcuadrcula">
    <w:name w:val="Table Grid"/>
    <w:basedOn w:val="Tablanormal"/>
    <w:uiPriority w:val="39"/>
    <w:rsid w:val="00546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69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508290">
      <w:bodyDiv w:val="1"/>
      <w:marLeft w:val="0"/>
      <w:marRight w:val="0"/>
      <w:marTop w:val="0"/>
      <w:marBottom w:val="0"/>
      <w:divBdr>
        <w:top w:val="none" w:sz="0" w:space="0" w:color="auto"/>
        <w:left w:val="none" w:sz="0" w:space="0" w:color="auto"/>
        <w:bottom w:val="none" w:sz="0" w:space="0" w:color="auto"/>
        <w:right w:val="none" w:sz="0" w:space="0" w:color="auto"/>
      </w:divBdr>
      <w:divsChild>
        <w:div w:id="179648350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9</Pages>
  <Words>3491</Words>
  <Characters>19203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Catalina Duque Villacis</dc:creator>
  <cp:keywords/>
  <dc:description/>
  <cp:lastModifiedBy>Gabriela Catalina Duque Villacis</cp:lastModifiedBy>
  <cp:revision>21</cp:revision>
  <dcterms:created xsi:type="dcterms:W3CDTF">2023-04-04T16:50:00Z</dcterms:created>
  <dcterms:modified xsi:type="dcterms:W3CDTF">2023-04-05T13:23:00Z</dcterms:modified>
</cp:coreProperties>
</file>