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A3162E">
      <w:pPr>
        <w:autoSpaceDE w:val="0"/>
        <w:autoSpaceDN w:val="0"/>
        <w:adjustRightInd w:val="0"/>
        <w:spacing w:line="276" w:lineRule="auto"/>
        <w:ind w:left="708" w:hanging="708"/>
        <w:jc w:val="center"/>
        <w:rPr>
          <w:rFonts w:ascii="Palatino Linotype" w:eastAsiaTheme="minorHAnsi" w:hAnsi="Palatino Linotype"/>
          <w:b/>
          <w:sz w:val="22"/>
          <w:szCs w:val="22"/>
          <w:lang w:eastAsia="en-US"/>
        </w:rPr>
      </w:pPr>
      <w:bookmarkStart w:id="0" w:name="_GoBack"/>
      <w:bookmarkEnd w:id="0"/>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0859B0" w:rsidRPr="00002DE9" w:rsidRDefault="00C926A0" w:rsidP="000859B0">
      <w:pPr>
        <w:autoSpaceDE w:val="0"/>
        <w:autoSpaceDN w:val="0"/>
        <w:adjustRightInd w:val="0"/>
        <w:ind w:left="708" w:hanging="708"/>
        <w:jc w:val="both"/>
        <w:rPr>
          <w:rFonts w:ascii="Palatino Linotype" w:hAnsi="Palatino Linotype" w:cs="Arial"/>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0859B0">
        <w:rPr>
          <w:rFonts w:ascii="Palatino Linotype" w:hAnsi="Palatino Linotype" w:cs="Arial"/>
          <w:sz w:val="22"/>
          <w:szCs w:val="22"/>
        </w:rPr>
        <w:t>c</w:t>
      </w:r>
      <w:r w:rsidR="000859B0" w:rsidRPr="00002DE9">
        <w:rPr>
          <w:rFonts w:ascii="Palatino Linotype" w:hAnsi="Palatino Linotype" w:cs="Arial"/>
          <w:sz w:val="22"/>
          <w:szCs w:val="22"/>
        </w:rPr>
        <w:t xml:space="preserve">onforme se desprende del informe técnico No. AZCA-DGT-2022-002, de 23 de marzo de 2023, de conformidad al Proceso de Juicio No. 17320-2009-0804 de 14 de julio de 2015 , la Unidad Judicial Civil con sede en el Distrito Metropolitano de Quito, Provincia de Pichincha suscrito por el Juez Landázuri Salazar Luis Fernando a favor de Lomas Ayala Rosa María, en su parte pertinente señala: </w:t>
      </w:r>
      <w:r w:rsidR="000859B0" w:rsidRPr="00002DE9">
        <w:rPr>
          <w:rFonts w:ascii="Palatino Linotype" w:hAnsi="Palatino Linotype" w:cs="Arial"/>
          <w:i/>
          <w:sz w:val="22"/>
          <w:szCs w:val="22"/>
        </w:rPr>
        <w:t xml:space="preserve"> </w:t>
      </w:r>
      <w:r w:rsidR="000859B0" w:rsidRPr="00002DE9">
        <w:rPr>
          <w:i/>
          <w:sz w:val="22"/>
          <w:szCs w:val="22"/>
        </w:rPr>
        <w:t>̈</w:t>
      </w:r>
      <w:r w:rsidR="000859B0" w:rsidRPr="00002DE9">
        <w:rPr>
          <w:rFonts w:ascii="Palatino Linotype" w:hAnsi="Palatino Linotype" w:cs="Arial"/>
          <w:i/>
          <w:sz w:val="22"/>
          <w:szCs w:val="22"/>
        </w:rPr>
        <w:t xml:space="preserve">(...) se acepta la demanda y se declara la Prescripción Adquisitiva Extraordinaria de Dominio a favor del Rosa María Lomas Ayala, respecto del lote de terreno que forma parte de uno de mayor </w:t>
      </w:r>
      <w:r w:rsidR="000859B0" w:rsidRPr="00002DE9">
        <w:rPr>
          <w:rFonts w:ascii="Palatino Linotype" w:hAnsi="Palatino Linotype" w:cs="Arial"/>
          <w:i/>
          <w:sz w:val="22"/>
          <w:szCs w:val="22"/>
        </w:rPr>
        <w:lastRenderedPageBreak/>
        <w:t xml:space="preserve">extensión, adquirido por adjudicación del IERAC, en el barrio Jardines del Norte, parroquia de Pomasqui de este Distrito Metropolitano de Quito, Provincia de Pichincha, con una superficie de 183,70 metros cuadrados (...) </w:t>
      </w:r>
      <w:r w:rsidR="000859B0" w:rsidRPr="00002DE9">
        <w:rPr>
          <w:i/>
          <w:sz w:val="22"/>
          <w:szCs w:val="22"/>
        </w:rPr>
        <w:t>̈</w:t>
      </w:r>
    </w:p>
    <w:p w:rsidR="00D2352F" w:rsidRPr="0050708A" w:rsidRDefault="00D2352F" w:rsidP="00D2352F">
      <w:pPr>
        <w:autoSpaceDE w:val="0"/>
        <w:autoSpaceDN w:val="0"/>
        <w:adjustRightInd w:val="0"/>
        <w:ind w:left="708" w:hanging="708"/>
        <w:jc w:val="both"/>
        <w:rPr>
          <w:rFonts w:ascii="Palatino Linotype" w:hAnsi="Palatino Linotype"/>
          <w:sz w:val="22"/>
          <w:szCs w:val="22"/>
        </w:rPr>
      </w:pPr>
    </w:p>
    <w:p w:rsidR="00F073C7" w:rsidRPr="00EA337F" w:rsidRDefault="00F073C7" w:rsidP="001E2F33">
      <w:pPr>
        <w:autoSpaceDE w:val="0"/>
        <w:autoSpaceDN w:val="0"/>
        <w:adjustRightInd w:val="0"/>
        <w:ind w:left="708" w:hanging="708"/>
        <w:jc w:val="both"/>
        <w:rPr>
          <w:rFonts w:ascii="Palatino Linotype" w:hAnsi="Palatino Linotype"/>
          <w:i/>
          <w:sz w:val="22"/>
          <w:szCs w:val="22"/>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Subprocurador Metropolitano, señala: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Pr="00EA337F" w:rsidRDefault="001F733D" w:rsidP="001F733D">
      <w:pPr>
        <w:tabs>
          <w:tab w:val="left" w:pos="284"/>
        </w:tabs>
        <w:jc w:val="both"/>
        <w:rPr>
          <w:rFonts w:ascii="Palatino Linotype" w:hAnsi="Palatino Linotype"/>
          <w:i/>
          <w:sz w:val="22"/>
          <w:szCs w:val="22"/>
        </w:rPr>
      </w:pPr>
    </w:p>
    <w:p w:rsidR="009A0CD0" w:rsidRPr="00002DE9" w:rsidRDefault="000B4CF2" w:rsidP="00CD4C3B">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Que,</w:t>
      </w:r>
      <w:r w:rsidR="005071E3">
        <w:rPr>
          <w:rFonts w:ascii="Palatino Linotype" w:hAnsi="Palatino Linotype"/>
          <w:sz w:val="22"/>
          <w:szCs w:val="22"/>
        </w:rPr>
        <w:t xml:space="preserve"> </w:t>
      </w:r>
      <w:r w:rsidR="009A0CD0">
        <w:rPr>
          <w:rFonts w:ascii="Palatino Linotype" w:hAnsi="Palatino Linotype"/>
          <w:sz w:val="22"/>
          <w:szCs w:val="22"/>
        </w:rPr>
        <w:t>m</w:t>
      </w:r>
      <w:r w:rsidR="009A0CD0" w:rsidRPr="00002DE9">
        <w:rPr>
          <w:rFonts w:ascii="Palatino Linotype" w:hAnsi="Palatino Linotype"/>
          <w:sz w:val="22"/>
          <w:szCs w:val="22"/>
        </w:rPr>
        <w:t xml:space="preserve">ediante informe técnico Nro. </w:t>
      </w:r>
      <w:r w:rsidR="009A0CD0" w:rsidRPr="00002DE9">
        <w:rPr>
          <w:rFonts w:ascii="Palatino Linotype" w:hAnsi="Palatino Linotype" w:cs="Arial"/>
          <w:sz w:val="22"/>
          <w:szCs w:val="22"/>
        </w:rPr>
        <w:t>AZCA-DGT-2022-002</w:t>
      </w:r>
      <w:r w:rsidR="009A0CD0" w:rsidRPr="00002DE9">
        <w:rPr>
          <w:rFonts w:ascii="Palatino Linotype" w:hAnsi="Palatino Linotype"/>
          <w:sz w:val="22"/>
          <w:szCs w:val="22"/>
        </w:rPr>
        <w:t xml:space="preserve">, de 23 de marzo de 2023, el </w:t>
      </w:r>
      <w:r w:rsidR="009A0CD0" w:rsidRPr="00002DE9">
        <w:rPr>
          <w:rFonts w:ascii="Palatino Linotype" w:hAnsi="Palatino Linotype" w:cs="Arial"/>
          <w:sz w:val="22"/>
          <w:szCs w:val="22"/>
        </w:rPr>
        <w:t>Ing. Israel Jiménez Veloz</w:t>
      </w:r>
      <w:r w:rsidR="009A0CD0" w:rsidRPr="00002DE9">
        <w:rPr>
          <w:rFonts w:ascii="Palatino Linotype" w:hAnsi="Palatino Linotype"/>
          <w:sz w:val="22"/>
          <w:szCs w:val="22"/>
        </w:rPr>
        <w:t xml:space="preserve">, funcionario de la Administración Zonal Calderón, señala: </w:t>
      </w:r>
    </w:p>
    <w:p w:rsidR="009A0CD0" w:rsidRPr="00002DE9" w:rsidRDefault="009A0CD0" w:rsidP="009A0CD0">
      <w:pPr>
        <w:tabs>
          <w:tab w:val="left" w:pos="1080"/>
        </w:tabs>
        <w:ind w:left="708"/>
        <w:jc w:val="both"/>
        <w:rPr>
          <w:rFonts w:ascii="Palatino Linotype" w:hAnsi="Palatino Linotype"/>
          <w:b/>
          <w:i/>
          <w:sz w:val="22"/>
          <w:szCs w:val="22"/>
        </w:rPr>
      </w:pPr>
    </w:p>
    <w:p w:rsidR="009A0CD0" w:rsidRPr="00002DE9" w:rsidRDefault="009A0CD0" w:rsidP="009A0CD0">
      <w:pPr>
        <w:tabs>
          <w:tab w:val="left" w:pos="1080"/>
        </w:tabs>
        <w:ind w:left="1080"/>
        <w:jc w:val="both"/>
        <w:rPr>
          <w:rFonts w:ascii="Palatino Linotype" w:hAnsi="Palatino Linotype" w:cs="Arial"/>
          <w:b/>
          <w:i/>
          <w:sz w:val="22"/>
          <w:szCs w:val="22"/>
        </w:rPr>
      </w:pPr>
      <w:r w:rsidRPr="00002DE9">
        <w:rPr>
          <w:rFonts w:ascii="Palatino Linotype" w:hAnsi="Palatino Linotype"/>
          <w:b/>
          <w:i/>
          <w:sz w:val="22"/>
          <w:szCs w:val="22"/>
        </w:rPr>
        <w:t xml:space="preserve">“(…) </w:t>
      </w:r>
      <w:r w:rsidRPr="00002DE9">
        <w:rPr>
          <w:rFonts w:ascii="Palatino Linotype" w:hAnsi="Palatino Linotype" w:cs="Arial"/>
          <w:b/>
          <w:i/>
          <w:sz w:val="22"/>
          <w:szCs w:val="22"/>
        </w:rPr>
        <w:t>Análisis de la Prescripción Adquisitiva de Dominio</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Descripción del Juicio</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Actores: Sra. Rosa María Lomas Ayala; Demandados: Sra. María Transito Tipán</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 xml:space="preserve">“(...) se acepta la demanda y se declara la Prescripción Adquisitiva Extraordinaria de Dominio a favor de Rosa María Lomas Ayala, respecto del lote de terreno que forma parte de uno de mayor extensión, adquirido por adjudicación del IERAC, en el barrio Jardines del Norte, parroquia Pomasqui de este Distrito Metropolitano de Quito, Provincia de Pichincha, con una superficie de 183.70 metros cuadrados, el mismo que se encuentra comprendido dentro de los siguientes linderos: Norte, en una longitud de </w:t>
      </w:r>
      <w:r w:rsidRPr="00002DE9">
        <w:rPr>
          <w:rFonts w:ascii="Palatino Linotype" w:hAnsi="Palatino Linotype" w:cs="Arial"/>
          <w:i/>
          <w:sz w:val="22"/>
          <w:szCs w:val="22"/>
        </w:rPr>
        <w:lastRenderedPageBreak/>
        <w:t>12.30 metros, con pasaje público; Sur, en una longitud de 10.90 metros, con propiedad de Teofilo Simbaña; Este, en una longitud de 14.82 metros, con propiedad del señor Zambrano; y a Oeste, en una longitud de 15.55 metros, con propiedad de Marco Lomas.- Por formar parte, el bien inmueble objeto de la prescripción, de otro de mayor extensión el actor deberá tramitar la autorización municipal ante la Administración zonal correspondiente el fraccionamiento del inmueble de mayor extensión, previo a la inscripción de la sentencia en el Registro de la Propiedad, estando al plano constante en el mencionado informe pericial.(...)”</w:t>
      </w:r>
    </w:p>
    <w:p w:rsidR="009A0CD0" w:rsidRPr="00002DE9" w:rsidRDefault="009A0CD0" w:rsidP="009A0CD0">
      <w:pPr>
        <w:tabs>
          <w:tab w:val="left" w:pos="1080"/>
        </w:tabs>
        <w:ind w:left="1080"/>
        <w:jc w:val="both"/>
        <w:rPr>
          <w:rFonts w:ascii="Palatino Linotype" w:hAnsi="Palatino Linotype" w:cs="Arial"/>
          <w:b/>
          <w:i/>
          <w:sz w:val="22"/>
          <w:szCs w:val="22"/>
        </w:rPr>
      </w:pPr>
      <w:r w:rsidRPr="00002DE9">
        <w:rPr>
          <w:rFonts w:ascii="Palatino Linotype" w:hAnsi="Palatino Linotype"/>
          <w:b/>
          <w:i/>
          <w:sz w:val="22"/>
          <w:szCs w:val="22"/>
        </w:rPr>
        <w:br/>
      </w:r>
      <w:r w:rsidRPr="00002DE9">
        <w:rPr>
          <w:rFonts w:ascii="Palatino Linotype" w:hAnsi="Palatino Linotype" w:cs="Arial"/>
          <w:b/>
          <w:i/>
          <w:sz w:val="22"/>
          <w:szCs w:val="22"/>
        </w:rPr>
        <w:t>Prescripción Adquisitiva de Dominio Área Observaciones</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No. 17320-2009-0804(1)</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Perito: Arq. Mauricio Gonzales Garcia</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Lote 183,70 m2 No Cumple</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Frente 0 m No Cumple”</w:t>
      </w: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 xml:space="preserve">“De acuerdo a oficio </w:t>
      </w:r>
      <w:r w:rsidRPr="00002DE9">
        <w:rPr>
          <w:rFonts w:ascii="Palatino Linotype" w:hAnsi="Palatino Linotype" w:cs="Arial"/>
          <w:b/>
          <w:i/>
          <w:sz w:val="22"/>
          <w:szCs w:val="22"/>
        </w:rPr>
        <w:t>GADDMQ-AZCA-DGT-2021-2662-M</w:t>
      </w:r>
      <w:r w:rsidRPr="00002DE9">
        <w:rPr>
          <w:rFonts w:ascii="Palatino Linotype" w:hAnsi="Palatino Linotype" w:cs="Arial"/>
          <w:i/>
          <w:sz w:val="22"/>
          <w:szCs w:val="22"/>
        </w:rPr>
        <w:t xml:space="preserve"> de fecha 16 de noviembre de 2021, emitido por la Jefatura de Territorio y Vivienda de la Administración Zonal Calderón se expone: “(...) El inmueble descrito en la sentencia de prescripción Adquisitiva de Dominio del Sra. ROSA MARÍA LOMAS AYALA con cedula CI: 170399227-9, referencia LOTE No. 11; se encuentra ubicado en la parte interna del predio No. 390030 de clave catastral 13814-04-022 ubicado en el sector LUZ y VIDA de la parroquia de CALDERON, como se visualiza en la foto adjunta. De acuerdo al Plan Parcial Calderón las Vías locales existentes aperturadas, aprobadas por Ordenanza Metropolitana Nro. 0209-(005/Ref0016) (P.P.C). Está Sentencia de Prescripción Adquisitiva </w:t>
      </w:r>
      <w:r w:rsidRPr="00002DE9">
        <w:rPr>
          <w:rFonts w:ascii="Palatino Linotype" w:hAnsi="Palatino Linotype" w:cs="Arial"/>
          <w:b/>
          <w:i/>
          <w:sz w:val="22"/>
          <w:szCs w:val="22"/>
        </w:rPr>
        <w:t>NO COLINDA</w:t>
      </w:r>
      <w:r w:rsidRPr="00002DE9">
        <w:rPr>
          <w:rFonts w:ascii="Palatino Linotype" w:hAnsi="Palatino Linotype" w:cs="Arial"/>
          <w:i/>
          <w:sz w:val="22"/>
          <w:szCs w:val="22"/>
        </w:rPr>
        <w:t xml:space="preserve"> con ninguna vía Publica aprobada para su acceso.”</w:t>
      </w: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1080"/>
        <w:jc w:val="both"/>
        <w:rPr>
          <w:rFonts w:ascii="Palatino Linotype" w:hAnsi="Palatino Linotype" w:cs="Arial"/>
          <w:b/>
          <w:i/>
          <w:sz w:val="22"/>
          <w:szCs w:val="22"/>
        </w:rPr>
      </w:pPr>
      <w:r w:rsidRPr="00002DE9">
        <w:rPr>
          <w:rFonts w:ascii="Palatino Linotype" w:hAnsi="Palatino Linotype" w:cs="Arial"/>
          <w:b/>
          <w:i/>
          <w:sz w:val="22"/>
          <w:szCs w:val="22"/>
        </w:rPr>
        <w:sym w:font="Symbol" w:char="F0B7"/>
      </w:r>
      <w:r w:rsidRPr="00002DE9">
        <w:rPr>
          <w:rFonts w:ascii="Palatino Linotype" w:hAnsi="Palatino Linotype" w:cs="Arial"/>
          <w:b/>
          <w:i/>
          <w:sz w:val="22"/>
          <w:szCs w:val="22"/>
        </w:rPr>
        <w:t xml:space="preserve"> Análisis, contribución del 15% del área útil adjudicada adquirida mediante sentencia.</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En el caso que nos ocupa, el 15% del área útil prescrita corresponde a 27,555 m2, lo cual es inferior al lote mínimo vigente (200 m2), razón por la que el actor de la demanda deberá compensar en valor monetario de acuerdo al avalúo catastral vigente a la fecha de la emisión del título de crédito correspondiente.</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 xml:space="preserve">Conforme lo señalado en el Informe Técnico GADDMQ-STHV-DMC-UGT-ZC-2023-0116-M de fecha 20 de marzo de 2023 emitida por la Unidad Desconcentrada de Catastros, </w:t>
      </w:r>
      <w:r w:rsidRPr="00002DE9">
        <w:rPr>
          <w:i/>
          <w:sz w:val="22"/>
          <w:szCs w:val="22"/>
        </w:rPr>
        <w:t>̈</w:t>
      </w:r>
      <w:r w:rsidRPr="00002DE9">
        <w:rPr>
          <w:rFonts w:ascii="Palatino Linotype" w:hAnsi="Palatino Linotype" w:cs="Arial"/>
          <w:i/>
          <w:sz w:val="22"/>
          <w:szCs w:val="22"/>
        </w:rPr>
        <w:t xml:space="preserve">Se deja expresa constancia, que en el Predio: 390030, Clave Catastral: 1381404022 se han ejecutado prescripciones adquisitivas de dominio, por lo tanto, el avalúo catastral corresponde a la parte sobrante del inmueble. </w:t>
      </w:r>
      <w:r w:rsidRPr="00002DE9">
        <w:rPr>
          <w:i/>
          <w:sz w:val="22"/>
          <w:szCs w:val="22"/>
        </w:rPr>
        <w:t>̈</w:t>
      </w: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1080"/>
        <w:jc w:val="center"/>
        <w:rPr>
          <w:rFonts w:ascii="Palatino Linotype" w:hAnsi="Palatino Linotype" w:cs="Arial"/>
          <w:i/>
          <w:sz w:val="22"/>
          <w:szCs w:val="22"/>
        </w:rPr>
      </w:pPr>
      <w:r w:rsidRPr="00002DE9">
        <w:rPr>
          <w:rFonts w:ascii="Palatino Linotype" w:hAnsi="Palatino Linotype" w:cs="Arial"/>
          <w:i/>
          <w:noProof/>
          <w:sz w:val="22"/>
          <w:szCs w:val="22"/>
          <w:lang w:eastAsia="es-EC"/>
        </w:rPr>
        <w:lastRenderedPageBreak/>
        <w:drawing>
          <wp:inline distT="0" distB="0" distL="0" distR="0" wp14:anchorId="0D98663C" wp14:editId="2A96D561">
            <wp:extent cx="3658111" cy="119079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58111" cy="1190791"/>
                    </a:xfrm>
                    <a:prstGeom prst="rect">
                      <a:avLst/>
                    </a:prstGeom>
                  </pic:spPr>
                </pic:pic>
              </a:graphicData>
            </a:graphic>
          </wp:inline>
        </w:drawing>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sz w:val="22"/>
          <w:szCs w:val="22"/>
        </w:rPr>
        <w:t>En tal motivo el cálculo de la contribución del 15% de área verde es la siguiente.</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1.- El cálculo se realiza en función del Avalúo del Terreno (no con el AIVA ya que éste es el valor de un lote tipo)</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Se utiliza el Avalúo del terreno ya que este valor ya implica el uso del AIVA y diferentes factores, además el sistema SLUM en el cual se ingresa las Subdivisiones por prescripción solo pide los valores de: el Avalúo del Terreno, Área del Terreno y Área Prescrita</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2.- La fórmula con la cual se calcula la compensación es la siguiente.</w:t>
      </w:r>
    </w:p>
    <w:p w:rsidR="009A0CD0" w:rsidRPr="00002DE9" w:rsidRDefault="009A0CD0" w:rsidP="009A0CD0">
      <w:pPr>
        <w:tabs>
          <w:tab w:val="left" w:pos="1080"/>
        </w:tabs>
        <w:ind w:left="1080"/>
        <w:jc w:val="center"/>
        <w:rPr>
          <w:rFonts w:ascii="Palatino Linotype" w:hAnsi="Palatino Linotype" w:cs="Arial"/>
          <w:i/>
          <w:sz w:val="22"/>
          <w:szCs w:val="22"/>
        </w:rPr>
      </w:pPr>
      <w:r w:rsidRPr="00002DE9">
        <w:rPr>
          <w:rFonts w:ascii="Palatino Linotype" w:hAnsi="Palatino Linotype" w:cs="Arial"/>
          <w:i/>
          <w:sz w:val="22"/>
          <w:szCs w:val="22"/>
        </w:rPr>
        <w:t>(Avalúo del Terreno / Área del Terreno) * (Área de prescripción) * (15%)</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Por tanto, el valor por compensación del 15 por ciento del área útil adjudicada mediante sentencia a la fecha de hoy es la que se detalla a continuación pudiendo esta cambiar si cambia el avaluó catastral.</w:t>
      </w:r>
    </w:p>
    <w:p w:rsidR="009A0CD0" w:rsidRPr="00002DE9" w:rsidRDefault="009A0CD0" w:rsidP="009A0CD0">
      <w:pPr>
        <w:tabs>
          <w:tab w:val="left" w:pos="1080"/>
        </w:tabs>
        <w:ind w:left="1080"/>
        <w:jc w:val="center"/>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(595064,57 usd / 8706,75 m2 ) * (183,70 m2) * (0,15) = 1883,25 usd</w:t>
      </w: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i/>
          <w:sz w:val="22"/>
          <w:szCs w:val="22"/>
        </w:rPr>
        <w:br/>
      </w:r>
      <w:r w:rsidRPr="00002DE9">
        <w:rPr>
          <w:rFonts w:ascii="Palatino Linotype" w:hAnsi="Palatino Linotype" w:cs="Arial"/>
          <w:i/>
          <w:sz w:val="22"/>
          <w:szCs w:val="22"/>
        </w:rPr>
        <w:t>Por tanto, el valor por compensación del 15 por ciento del área útil adjudicada mediante sentencia a la fecha de hoy es la que se detalla a continuación pudiendo esta cambiar si cambia el avaluó catastral.</w:t>
      </w: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1080"/>
        <w:jc w:val="both"/>
        <w:rPr>
          <w:rFonts w:ascii="Palatino Linotype" w:hAnsi="Palatino Linotype" w:cs="Arial"/>
          <w:i/>
          <w:sz w:val="22"/>
          <w:szCs w:val="22"/>
        </w:rPr>
      </w:pPr>
      <w:r w:rsidRPr="00002DE9">
        <w:rPr>
          <w:rFonts w:ascii="Palatino Linotype" w:hAnsi="Palatino Linotype" w:cs="Arial"/>
          <w:i/>
          <w:noProof/>
          <w:sz w:val="22"/>
          <w:szCs w:val="22"/>
          <w:lang w:eastAsia="es-EC"/>
        </w:rPr>
        <w:drawing>
          <wp:inline distT="0" distB="0" distL="0" distR="0" wp14:anchorId="7784ABF3" wp14:editId="37C56E95">
            <wp:extent cx="5249008" cy="866896"/>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9008" cy="866896"/>
                    </a:xfrm>
                    <a:prstGeom prst="rect">
                      <a:avLst/>
                    </a:prstGeom>
                  </pic:spPr>
                </pic:pic>
              </a:graphicData>
            </a:graphic>
          </wp:inline>
        </w:drawing>
      </w:r>
    </w:p>
    <w:p w:rsidR="009A0CD0" w:rsidRPr="00002DE9" w:rsidRDefault="009A0CD0" w:rsidP="009A0CD0">
      <w:pPr>
        <w:tabs>
          <w:tab w:val="left" w:pos="1080"/>
        </w:tabs>
        <w:ind w:left="1080"/>
        <w:jc w:val="both"/>
        <w:rPr>
          <w:rFonts w:ascii="Palatino Linotype" w:hAnsi="Palatino Linotype" w:cs="Arial"/>
          <w:i/>
          <w:sz w:val="22"/>
          <w:szCs w:val="22"/>
        </w:rPr>
      </w:pPr>
    </w:p>
    <w:p w:rsidR="009A0CD0" w:rsidRPr="00002DE9" w:rsidRDefault="009A0CD0" w:rsidP="009A0CD0">
      <w:pPr>
        <w:tabs>
          <w:tab w:val="left" w:pos="1080"/>
        </w:tabs>
        <w:ind w:left="372"/>
        <w:jc w:val="both"/>
        <w:rPr>
          <w:rFonts w:ascii="Palatino Linotype" w:hAnsi="Palatino Linotype" w:cs="Arial"/>
          <w:i/>
          <w:sz w:val="22"/>
          <w:szCs w:val="22"/>
        </w:rPr>
      </w:pPr>
    </w:p>
    <w:p w:rsidR="009A0CD0" w:rsidRPr="00002DE9" w:rsidRDefault="009A0CD0" w:rsidP="009A0CD0">
      <w:pPr>
        <w:tabs>
          <w:tab w:val="left" w:pos="1080"/>
        </w:tabs>
        <w:ind w:left="372"/>
        <w:jc w:val="both"/>
        <w:rPr>
          <w:rFonts w:ascii="Palatino Linotype" w:hAnsi="Palatino Linotype" w:cs="Arial"/>
          <w:i/>
          <w:sz w:val="22"/>
          <w:szCs w:val="22"/>
        </w:rPr>
      </w:pPr>
      <w:r w:rsidRPr="00002DE9">
        <w:rPr>
          <w:rFonts w:ascii="Palatino Linotype" w:hAnsi="Palatino Linotype" w:cs="Arial"/>
          <w:i/>
          <w:sz w:val="22"/>
          <w:szCs w:val="22"/>
        </w:rPr>
        <w:t>“CONCLUSIONES</w:t>
      </w:r>
    </w:p>
    <w:p w:rsidR="009A0CD0" w:rsidRPr="00002DE9" w:rsidRDefault="009A0CD0" w:rsidP="009A0CD0">
      <w:pPr>
        <w:tabs>
          <w:tab w:val="left" w:pos="1080"/>
        </w:tabs>
        <w:ind w:left="372"/>
        <w:jc w:val="both"/>
        <w:rPr>
          <w:rFonts w:ascii="Palatino Linotype" w:hAnsi="Palatino Linotype" w:cs="Arial"/>
          <w:i/>
          <w:sz w:val="22"/>
          <w:szCs w:val="22"/>
        </w:rPr>
      </w:pPr>
      <w:r w:rsidRPr="00002DE9">
        <w:rPr>
          <w:rFonts w:ascii="Palatino Linotype" w:hAnsi="Palatino Linotype" w:cs="Arial"/>
          <w:i/>
          <w:sz w:val="22"/>
          <w:szCs w:val="22"/>
        </w:rPr>
        <w:t xml:space="preserve">Del análisis técnico se desprende que, la prescripción adquisitiva de dominio de una parte del inmueble del predio No. 390030, </w:t>
      </w:r>
      <w:r w:rsidRPr="00002DE9">
        <w:rPr>
          <w:rFonts w:ascii="Palatino Linotype" w:hAnsi="Palatino Linotype" w:cs="Arial"/>
          <w:b/>
          <w:i/>
          <w:sz w:val="22"/>
          <w:szCs w:val="22"/>
        </w:rPr>
        <w:t>No Cumple</w:t>
      </w:r>
      <w:r w:rsidRPr="00002DE9">
        <w:rPr>
          <w:rFonts w:ascii="Palatino Linotype" w:hAnsi="Palatino Linotype" w:cs="Arial"/>
          <w:i/>
          <w:sz w:val="22"/>
          <w:szCs w:val="22"/>
        </w:rPr>
        <w:t xml:space="preserve"> con los datos establecidos en la zonificación vigente, razón por la que se emite </w:t>
      </w:r>
      <w:r w:rsidRPr="00002DE9">
        <w:rPr>
          <w:rFonts w:ascii="Palatino Linotype" w:hAnsi="Palatino Linotype" w:cs="Arial"/>
          <w:b/>
          <w:i/>
          <w:sz w:val="22"/>
          <w:szCs w:val="22"/>
        </w:rPr>
        <w:t>Informe Técnico Desfavorable”.</w:t>
      </w:r>
    </w:p>
    <w:p w:rsidR="00763C7E" w:rsidRDefault="00763C7E" w:rsidP="001D0485">
      <w:pPr>
        <w:tabs>
          <w:tab w:val="left" w:pos="1080"/>
        </w:tabs>
        <w:ind w:left="1080" w:hanging="1080"/>
        <w:jc w:val="both"/>
        <w:rPr>
          <w:rFonts w:ascii="Palatino Linotype" w:hAnsi="Palatino Linotype"/>
          <w:b/>
          <w:i/>
          <w:sz w:val="22"/>
          <w:szCs w:val="22"/>
        </w:rPr>
      </w:pPr>
    </w:p>
    <w:p w:rsidR="001533C2" w:rsidRPr="00002DE9" w:rsidRDefault="00E41B4B" w:rsidP="009335BB">
      <w:pPr>
        <w:pStyle w:val="Default"/>
        <w:ind w:left="708" w:hanging="708"/>
        <w:jc w:val="both"/>
        <w:rPr>
          <w:sz w:val="22"/>
          <w:szCs w:val="22"/>
        </w:rPr>
      </w:pPr>
      <w:r w:rsidRPr="00EA337F">
        <w:rPr>
          <w:sz w:val="22"/>
          <w:szCs w:val="22"/>
        </w:rPr>
        <w:t xml:space="preserve">Que, </w:t>
      </w:r>
      <w:r w:rsidR="001533C2">
        <w:rPr>
          <w:sz w:val="22"/>
          <w:szCs w:val="22"/>
        </w:rPr>
        <w:t>m</w:t>
      </w:r>
      <w:r w:rsidR="001533C2" w:rsidRPr="00002DE9">
        <w:rPr>
          <w:sz w:val="22"/>
          <w:szCs w:val="22"/>
        </w:rPr>
        <w:t xml:space="preserve">ediante </w:t>
      </w:r>
      <w:r w:rsidR="001533C2" w:rsidRPr="00002DE9">
        <w:rPr>
          <w:sz w:val="22"/>
          <w:szCs w:val="22"/>
          <w:lang w:val="es-EC"/>
        </w:rPr>
        <w:t xml:space="preserve">memorando Nro. </w:t>
      </w:r>
      <w:r w:rsidR="001533C2" w:rsidRPr="00002DE9">
        <w:rPr>
          <w:sz w:val="22"/>
          <w:szCs w:val="22"/>
        </w:rPr>
        <w:t xml:space="preserve">GADDMQ-AZCA-DAJ-2023-0103-M, de 31 de marzo de 2023, la Abg. Lorena Elizabeth Donoso Rivera, Subprocuradora Zonal de la Administración Zonal Calderón Quitumbe, señala: </w:t>
      </w:r>
    </w:p>
    <w:p w:rsidR="001533C2" w:rsidRPr="00002DE9" w:rsidRDefault="001533C2" w:rsidP="001533C2">
      <w:pPr>
        <w:pStyle w:val="Default"/>
        <w:jc w:val="center"/>
        <w:rPr>
          <w:i/>
          <w:sz w:val="22"/>
          <w:szCs w:val="22"/>
        </w:rPr>
      </w:pPr>
    </w:p>
    <w:p w:rsidR="001533C2" w:rsidRPr="00002DE9" w:rsidRDefault="001533C2" w:rsidP="001533C2">
      <w:pPr>
        <w:tabs>
          <w:tab w:val="left" w:pos="284"/>
        </w:tabs>
        <w:ind w:left="708"/>
        <w:jc w:val="both"/>
        <w:rPr>
          <w:rFonts w:ascii="Palatino Linotype" w:hAnsi="Palatino Linotype"/>
          <w:b/>
          <w:i/>
          <w:sz w:val="22"/>
          <w:szCs w:val="22"/>
        </w:rPr>
      </w:pPr>
      <w:r w:rsidRPr="00002DE9">
        <w:rPr>
          <w:rFonts w:ascii="Palatino Linotype" w:eastAsiaTheme="minorHAnsi" w:hAnsi="Palatino Linotype" w:cs="Palatino Linotype"/>
          <w:b/>
          <w:i/>
          <w:color w:val="000000"/>
          <w:sz w:val="22"/>
          <w:szCs w:val="22"/>
          <w:lang w:eastAsia="en-US"/>
        </w:rPr>
        <w:t xml:space="preserve">“(…) </w:t>
      </w:r>
      <w:r w:rsidRPr="00002DE9">
        <w:rPr>
          <w:rFonts w:ascii="Palatino Linotype" w:hAnsi="Palatino Linotype"/>
          <w:b/>
          <w:i/>
          <w:sz w:val="22"/>
          <w:szCs w:val="22"/>
        </w:rPr>
        <w:t xml:space="preserve">CRITERIO:  </w:t>
      </w:r>
    </w:p>
    <w:p w:rsidR="001533C2" w:rsidRPr="00002DE9" w:rsidRDefault="001533C2" w:rsidP="001533C2">
      <w:pPr>
        <w:tabs>
          <w:tab w:val="left" w:pos="284"/>
        </w:tabs>
        <w:jc w:val="both"/>
        <w:rPr>
          <w:rFonts w:ascii="Palatino Linotype" w:hAnsi="Palatino Linotype"/>
          <w:i/>
          <w:sz w:val="22"/>
          <w:szCs w:val="22"/>
        </w:rPr>
      </w:pPr>
    </w:p>
    <w:p w:rsidR="001533C2" w:rsidRPr="00002DE9" w:rsidRDefault="001533C2" w:rsidP="001533C2">
      <w:pPr>
        <w:tabs>
          <w:tab w:val="left" w:pos="284"/>
        </w:tabs>
        <w:ind w:left="708"/>
        <w:jc w:val="both"/>
        <w:rPr>
          <w:rFonts w:ascii="Palatino Linotype" w:hAnsi="Palatino Linotype"/>
          <w:i/>
          <w:sz w:val="22"/>
          <w:szCs w:val="22"/>
        </w:rPr>
      </w:pPr>
      <w:r w:rsidRPr="00002DE9">
        <w:rPr>
          <w:rFonts w:ascii="Palatino Linotype" w:hAnsi="Palatino Linotype"/>
          <w:i/>
          <w:sz w:val="22"/>
          <w:szCs w:val="22"/>
        </w:rPr>
        <w:t>Por lo expuesto, esta Dirección Jurídica acogiendo el informe técnico AZCA-DGT-2022-002, de 23 de marzo de 2023, del Jefe de Gestión Urbana y aprobado por la Directora de Gestión Territorial de la Administración Zonal Calderón con memorando Nro. GADDMQ-AZCA-DGT-2023-0331-M de 24 de marzo de 2023, en el que indica que la prescripción adquisitiva de dominio de una parte del inmueble del predio No. 390030, No Cumple con los datos establecidos en la zonificación vigente, razón por la que se emite Informe Técnico Desfavorable”, en este sentido, se deberá proceder conforme lo establece en el COOTAD y la Ordenanza 001.”</w:t>
      </w:r>
    </w:p>
    <w:p w:rsidR="001533C2" w:rsidRPr="00002DE9" w:rsidRDefault="001533C2" w:rsidP="001533C2">
      <w:pPr>
        <w:tabs>
          <w:tab w:val="left" w:pos="284"/>
        </w:tabs>
        <w:ind w:left="284"/>
        <w:jc w:val="both"/>
        <w:rPr>
          <w:rFonts w:ascii="Palatino Linotype" w:hAnsi="Palatino Linotype"/>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E02AE3" w:rsidRPr="00EA337F">
        <w:rPr>
          <w:sz w:val="22"/>
          <w:szCs w:val="22"/>
        </w:rPr>
        <w:t xml:space="preserve">elo en sesión ordinaria Nro. </w:t>
      </w:r>
      <w:r w:rsidR="00917C15">
        <w:rPr>
          <w:sz w:val="22"/>
          <w:szCs w:val="22"/>
        </w:rPr>
        <w:t>203</w:t>
      </w:r>
      <w:r w:rsidRPr="00EA337F">
        <w:rPr>
          <w:sz w:val="22"/>
          <w:szCs w:val="22"/>
        </w:rPr>
        <w:t xml:space="preserve">, de </w:t>
      </w:r>
      <w:r w:rsidR="00917C15">
        <w:rPr>
          <w:sz w:val="22"/>
          <w:szCs w:val="22"/>
        </w:rPr>
        <w:t xml:space="preserve">24 </w:t>
      </w:r>
      <w:r w:rsidRPr="00EA337F">
        <w:rPr>
          <w:sz w:val="22"/>
          <w:szCs w:val="22"/>
        </w:rPr>
        <w:t xml:space="preserve">de </w:t>
      </w:r>
      <w:r w:rsidR="002D0586">
        <w:rPr>
          <w:sz w:val="22"/>
          <w:szCs w:val="22"/>
        </w:rPr>
        <w:t>abril de 2023</w:t>
      </w:r>
      <w:r w:rsidRPr="00EA337F">
        <w:rPr>
          <w:sz w:val="22"/>
          <w:szCs w:val="22"/>
        </w:rPr>
        <w:t>, analizó los informes técnicos y legale</w:t>
      </w:r>
      <w:r w:rsidR="00917C15">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2D0586">
        <w:rPr>
          <w:rFonts w:ascii="Palatino Linotype" w:eastAsiaTheme="minorHAnsi" w:hAnsi="Palatino Linotype"/>
          <w:sz w:val="22"/>
          <w:szCs w:val="22"/>
          <w:lang w:eastAsia="en-US"/>
        </w:rPr>
        <w:t>ealizada el … de … de 2023</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E01875">
        <w:rPr>
          <w:rFonts w:ascii="Palatino Linotype" w:eastAsiaTheme="minorHAnsi" w:hAnsi="Palatino Linotype"/>
          <w:sz w:val="22"/>
          <w:szCs w:val="22"/>
          <w:lang w:eastAsia="en-US"/>
        </w:rPr>
        <w:t>3</w:t>
      </w:r>
      <w:r w:rsidR="00745751" w:rsidRPr="00EA337F">
        <w:rPr>
          <w:rFonts w:ascii="Palatino Linotype" w:eastAsiaTheme="minorHAnsi" w:hAnsi="Palatino Linotype"/>
          <w:sz w:val="22"/>
          <w:szCs w:val="22"/>
          <w:lang w:eastAsia="en-US"/>
        </w:rPr>
        <w:t>-</w:t>
      </w:r>
      <w:r w:rsidR="00621EA6">
        <w:rPr>
          <w:rFonts w:ascii="Palatino Linotype" w:eastAsiaTheme="minorHAnsi" w:hAnsi="Palatino Linotype"/>
          <w:sz w:val="22"/>
          <w:szCs w:val="22"/>
          <w:lang w:eastAsia="en-US"/>
        </w:rPr>
        <w:t>025</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Artículo 1.-</w:t>
      </w:r>
      <w:r w:rsidRPr="00EA337F">
        <w:rPr>
          <w:rFonts w:ascii="Palatino Linotype" w:hAnsi="Palatino Linotype" w:cs="Arial"/>
          <w:sz w:val="22"/>
          <w:szCs w:val="22"/>
        </w:rPr>
        <w:t xml:space="preserve"> Autorizar la subdivisión del </w:t>
      </w:r>
      <w:r w:rsidR="009924EB" w:rsidRPr="0050708A">
        <w:rPr>
          <w:rFonts w:ascii="Palatino Linotype" w:hAnsi="Palatino Linotype"/>
          <w:sz w:val="22"/>
          <w:szCs w:val="22"/>
        </w:rPr>
        <w:t xml:space="preserve">predio Nro. </w:t>
      </w:r>
      <w:r w:rsidR="002830D8" w:rsidRPr="00002DE9">
        <w:rPr>
          <w:rFonts w:ascii="Palatino Linotype" w:hAnsi="Palatino Linotype" w:cs="Arial"/>
          <w:sz w:val="22"/>
          <w:szCs w:val="22"/>
        </w:rPr>
        <w:t>390030</w:t>
      </w:r>
      <w:r w:rsidR="002830D8" w:rsidRPr="00002DE9">
        <w:rPr>
          <w:rFonts w:ascii="Palatino Linotype" w:hAnsi="Palatino Linotype"/>
          <w:sz w:val="22"/>
          <w:szCs w:val="22"/>
        </w:rPr>
        <w:t xml:space="preserve">, clave catastral Nro. </w:t>
      </w:r>
      <w:r w:rsidR="002830D8" w:rsidRPr="00002DE9">
        <w:rPr>
          <w:rFonts w:ascii="Palatino Linotype" w:hAnsi="Palatino Linotype" w:cs="Arial"/>
          <w:sz w:val="22"/>
          <w:szCs w:val="22"/>
        </w:rPr>
        <w:t>1381404022000000000</w:t>
      </w:r>
      <w:r w:rsidR="002830D8" w:rsidRPr="00002DE9">
        <w:rPr>
          <w:rFonts w:ascii="Palatino Linotype" w:hAnsi="Palatino Linotype"/>
          <w:sz w:val="22"/>
          <w:szCs w:val="22"/>
        </w:rPr>
        <w:t>, ubicado en la parroquia Calderón</w:t>
      </w:r>
      <w:r w:rsidRPr="00EA337F">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2830D8" w:rsidRPr="00002DE9">
        <w:rPr>
          <w:rFonts w:ascii="Palatino Linotype" w:hAnsi="Palatino Linotype" w:cs="Arial"/>
          <w:sz w:val="22"/>
          <w:szCs w:val="22"/>
        </w:rPr>
        <w:t>17320-2009-0804</w:t>
      </w:r>
      <w:r w:rsidRPr="00EA337F">
        <w:rPr>
          <w:rFonts w:ascii="Palatino Linotype" w:hAnsi="Palatino Linotype" w:cs="Arial"/>
          <w:sz w:val="22"/>
          <w:szCs w:val="22"/>
        </w:rPr>
        <w:t>,</w:t>
      </w:r>
      <w:r w:rsidRPr="00EA337F">
        <w:rPr>
          <w:rFonts w:ascii="Palatino Linotype" w:hAnsi="Palatino Linotype" w:cs="Arial"/>
          <w:sz w:val="22"/>
          <w:szCs w:val="22"/>
        </w:rPr>
        <w:t xml:space="preserve"> mediante la cual la Jueza de la Unidad Judicial Civil con sede en </w:t>
      </w:r>
      <w:r w:rsidR="002830D8">
        <w:rPr>
          <w:rFonts w:ascii="Palatino Linotype" w:hAnsi="Palatino Linotype" w:cs="Arial"/>
          <w:sz w:val="22"/>
          <w:szCs w:val="22"/>
        </w:rPr>
        <w:t xml:space="preserve">el </w:t>
      </w:r>
      <w:r w:rsidRPr="00EA337F">
        <w:rPr>
          <w:rFonts w:ascii="Palatino Linotype" w:hAnsi="Palatino Linotype" w:cs="Arial"/>
          <w:sz w:val="22"/>
          <w:szCs w:val="22"/>
        </w:rPr>
        <w:t xml:space="preserve">Distrito Metropolitano </w:t>
      </w:r>
      <w:r w:rsidRPr="00EA337F">
        <w:rPr>
          <w:rFonts w:ascii="Palatino Linotype" w:hAnsi="Palatino Linotype" w:cs="Arial"/>
          <w:sz w:val="22"/>
          <w:szCs w:val="22"/>
        </w:rPr>
        <w:lastRenderedPageBreak/>
        <w:t>de Quito, acepta la demanda y declara la Prescripción Extraordinaria Adquisitiva de Do</w:t>
      </w:r>
      <w:r w:rsidR="00633AF6" w:rsidRPr="00EA337F">
        <w:rPr>
          <w:rFonts w:ascii="Palatino Linotype" w:hAnsi="Palatino Linotype" w:cs="Arial"/>
          <w:sz w:val="22"/>
          <w:szCs w:val="22"/>
        </w:rPr>
        <w:t>minio que ha operado a favor de</w:t>
      </w:r>
      <w:r w:rsidR="00590CC8">
        <w:rPr>
          <w:rFonts w:ascii="Palatino Linotype" w:hAnsi="Palatino Linotype" w:cs="Arial"/>
          <w:sz w:val="22"/>
          <w:szCs w:val="22"/>
        </w:rPr>
        <w:t xml:space="preserve"> </w:t>
      </w:r>
      <w:r w:rsidR="00F93D2D" w:rsidRPr="0050708A">
        <w:rPr>
          <w:rFonts w:ascii="Palatino Linotype" w:hAnsi="Palatino Linotype"/>
          <w:sz w:val="22"/>
          <w:szCs w:val="22"/>
        </w:rPr>
        <w:t xml:space="preserve">la </w:t>
      </w:r>
      <w:r w:rsidR="00F93D2D">
        <w:rPr>
          <w:rFonts w:ascii="Palatino Linotype" w:hAnsi="Palatino Linotype"/>
          <w:sz w:val="22"/>
          <w:szCs w:val="22"/>
        </w:rPr>
        <w:t>señora</w:t>
      </w:r>
      <w:r w:rsidR="00F93D2D" w:rsidRPr="0050708A">
        <w:rPr>
          <w:rFonts w:ascii="Palatino Linotype" w:hAnsi="Palatino Linotype"/>
          <w:sz w:val="22"/>
          <w:szCs w:val="22"/>
        </w:rPr>
        <w:t xml:space="preserve"> </w:t>
      </w:r>
      <w:r w:rsidR="00F91CD4" w:rsidRPr="00002DE9">
        <w:rPr>
          <w:rFonts w:ascii="Palatino Linotype" w:hAnsi="Palatino Linotype" w:cs="Arial"/>
          <w:sz w:val="22"/>
          <w:szCs w:val="22"/>
        </w:rPr>
        <w:t>Lomas Ayala Rosa María</w:t>
      </w:r>
      <w:r w:rsidRPr="00EA337F">
        <w:rPr>
          <w:rFonts w:ascii="Palatino Linotype" w:hAnsi="Palatino Linotype" w:cs="Arial"/>
          <w:sz w:val="22"/>
          <w:szCs w:val="22"/>
        </w:rPr>
        <w:t xml:space="preserve">, por una superficie de </w:t>
      </w:r>
      <w:r w:rsidR="00F91CD4">
        <w:rPr>
          <w:rFonts w:ascii="Palatino Linotype" w:hAnsi="Palatino Linotype"/>
          <w:sz w:val="22"/>
          <w:szCs w:val="22"/>
        </w:rPr>
        <w:t>183,7</w:t>
      </w:r>
      <w:r w:rsidR="00D206D2">
        <w:rPr>
          <w:rFonts w:ascii="Palatino Linotype" w:hAnsi="Palatino Linotype"/>
          <w:sz w:val="22"/>
          <w:szCs w:val="22"/>
        </w:rPr>
        <w:t>0</w:t>
      </w:r>
      <w:r w:rsidR="002F2CCA" w:rsidRPr="00EA337F">
        <w:rPr>
          <w:rFonts w:ascii="Palatino Linotype" w:hAnsi="Palatino Linotype"/>
          <w:sz w:val="22"/>
          <w:szCs w:val="22"/>
        </w:rPr>
        <w:t xml:space="preserve"> m2</w:t>
      </w:r>
      <w:r w:rsidRPr="00EA337F">
        <w:rPr>
          <w:rFonts w:ascii="Palatino Linotype" w:hAnsi="Palatino Linotype" w:cs="Arial"/>
          <w:sz w:val="22"/>
          <w:szCs w:val="22"/>
        </w:rPr>
        <w:t xml:space="preserve">. </w:t>
      </w: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sz w:val="22"/>
          <w:szCs w:val="22"/>
        </w:rPr>
        <w:t xml:space="preserve">De conformidad con lo dispuesto en el artículo 2266.160 del Código Municipal para el Distrito Metropolitano de Quito, </w:t>
      </w:r>
      <w:r w:rsidR="00DA65C2" w:rsidRPr="00EA337F">
        <w:rPr>
          <w:rFonts w:ascii="Palatino Linotype" w:hAnsi="Palatino Linotype" w:cs="Arial"/>
          <w:sz w:val="22"/>
          <w:szCs w:val="22"/>
        </w:rPr>
        <w:t>l</w:t>
      </w:r>
      <w:r w:rsidR="00F93D2D">
        <w:rPr>
          <w:rFonts w:ascii="Palatino Linotype" w:hAnsi="Palatino Linotype" w:cs="Arial"/>
          <w:sz w:val="22"/>
          <w:szCs w:val="22"/>
        </w:rPr>
        <w:t>a</w:t>
      </w:r>
      <w:r w:rsidR="00DA65C2" w:rsidRPr="00EA337F">
        <w:rPr>
          <w:rFonts w:ascii="Palatino Linotype" w:hAnsi="Palatino Linotype" w:cs="Arial"/>
          <w:sz w:val="22"/>
          <w:szCs w:val="22"/>
        </w:rPr>
        <w:t xml:space="preserve"> </w:t>
      </w:r>
      <w:r w:rsidR="00F93D2D">
        <w:rPr>
          <w:rFonts w:ascii="Palatino Linotype" w:hAnsi="Palatino Linotype" w:cs="Arial"/>
          <w:sz w:val="22"/>
          <w:szCs w:val="22"/>
        </w:rPr>
        <w:t>señora</w:t>
      </w:r>
      <w:r w:rsidR="00F93D2D">
        <w:rPr>
          <w:rFonts w:ascii="Palatino Linotype" w:hAnsi="Palatino Linotype"/>
          <w:sz w:val="22"/>
          <w:szCs w:val="22"/>
        </w:rPr>
        <w:t xml:space="preserve"> </w:t>
      </w:r>
      <w:r w:rsidR="00F91CD4" w:rsidRPr="00002DE9">
        <w:rPr>
          <w:rFonts w:ascii="Palatino Linotype" w:hAnsi="Palatino Linotype" w:cs="Arial"/>
          <w:sz w:val="22"/>
          <w:szCs w:val="22"/>
        </w:rPr>
        <w:t>Lomas Ayala Rosa María</w:t>
      </w:r>
      <w:r w:rsidRPr="00EA337F">
        <w:rPr>
          <w:rFonts w:ascii="Palatino Linotype" w:hAnsi="Palatino Linotype" w:cs="Arial"/>
          <w:sz w:val="22"/>
          <w:szCs w:val="22"/>
        </w:rPr>
        <w:t>, deberá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lastRenderedPageBreak/>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53" w:rsidRDefault="00040753">
      <w:r>
        <w:separator/>
      </w:r>
    </w:p>
  </w:endnote>
  <w:endnote w:type="continuationSeparator" w:id="0">
    <w:p w:rsidR="00040753" w:rsidRDefault="000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F91CD4">
              <w:rPr>
                <w:rFonts w:ascii="Palatino Linotype" w:hAnsi="Palatino Linotype"/>
                <w:b/>
                <w:bCs/>
                <w:noProof/>
                <w:sz w:val="20"/>
                <w:szCs w:val="20"/>
              </w:rPr>
              <w:t>1</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F91CD4">
              <w:rPr>
                <w:rFonts w:ascii="Palatino Linotype" w:hAnsi="Palatino Linotype"/>
                <w:b/>
                <w:bCs/>
                <w:noProof/>
                <w:sz w:val="20"/>
                <w:szCs w:val="20"/>
              </w:rPr>
              <w:t>9</w:t>
            </w:r>
            <w:r w:rsidRPr="00707DE5">
              <w:rPr>
                <w:rFonts w:ascii="Palatino Linotype" w:hAnsi="Palatino Linotype"/>
                <w:b/>
                <w:bCs/>
                <w:sz w:val="20"/>
                <w:szCs w:val="20"/>
              </w:rPr>
              <w:fldChar w:fldCharType="end"/>
            </w:r>
          </w:p>
          <w:p w:rsidR="005D2467" w:rsidRPr="008479FB" w:rsidRDefault="00040753">
            <w:pPr>
              <w:pStyle w:val="Piedepgina"/>
              <w:jc w:val="right"/>
              <w:rPr>
                <w:rFonts w:ascii="Palatino Linotype" w:hAnsi="Palatino Linotype"/>
                <w:sz w:val="20"/>
                <w:szCs w:val="20"/>
              </w:rPr>
            </w:pPr>
          </w:p>
        </w:sdtContent>
      </w:sdt>
    </w:sdtContent>
  </w:sdt>
  <w:p w:rsidR="005D2467" w:rsidRPr="008479FB" w:rsidRDefault="0004075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53" w:rsidRDefault="00040753">
      <w:r>
        <w:separator/>
      </w:r>
    </w:p>
  </w:footnote>
  <w:footnote w:type="continuationSeparator" w:id="0">
    <w:p w:rsidR="00040753" w:rsidRDefault="00040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040753"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040753"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0407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51D2"/>
    <w:rsid w:val="000077F9"/>
    <w:rsid w:val="0001098C"/>
    <w:rsid w:val="0002399A"/>
    <w:rsid w:val="000264CB"/>
    <w:rsid w:val="00027D50"/>
    <w:rsid w:val="00030386"/>
    <w:rsid w:val="00035E6C"/>
    <w:rsid w:val="00040753"/>
    <w:rsid w:val="0004203F"/>
    <w:rsid w:val="00056FAC"/>
    <w:rsid w:val="00063D30"/>
    <w:rsid w:val="00067AEE"/>
    <w:rsid w:val="0008033C"/>
    <w:rsid w:val="000859B0"/>
    <w:rsid w:val="00090E26"/>
    <w:rsid w:val="000944D7"/>
    <w:rsid w:val="000A17A7"/>
    <w:rsid w:val="000A6FF4"/>
    <w:rsid w:val="000A70A0"/>
    <w:rsid w:val="000B4CF2"/>
    <w:rsid w:val="000E121C"/>
    <w:rsid w:val="000E205E"/>
    <w:rsid w:val="00115787"/>
    <w:rsid w:val="00133578"/>
    <w:rsid w:val="0013405F"/>
    <w:rsid w:val="00144F8A"/>
    <w:rsid w:val="001533C2"/>
    <w:rsid w:val="0017481B"/>
    <w:rsid w:val="001950C6"/>
    <w:rsid w:val="001A17A7"/>
    <w:rsid w:val="001A1C17"/>
    <w:rsid w:val="001A2E60"/>
    <w:rsid w:val="001A5724"/>
    <w:rsid w:val="001A728F"/>
    <w:rsid w:val="001B2FFD"/>
    <w:rsid w:val="001C1FC7"/>
    <w:rsid w:val="001C4090"/>
    <w:rsid w:val="001C4D82"/>
    <w:rsid w:val="001C7456"/>
    <w:rsid w:val="001D0485"/>
    <w:rsid w:val="001E2F33"/>
    <w:rsid w:val="001F679D"/>
    <w:rsid w:val="001F733D"/>
    <w:rsid w:val="00224DF1"/>
    <w:rsid w:val="00236DB4"/>
    <w:rsid w:val="0024403E"/>
    <w:rsid w:val="00245D20"/>
    <w:rsid w:val="00252078"/>
    <w:rsid w:val="00253AA5"/>
    <w:rsid w:val="0026215F"/>
    <w:rsid w:val="00264155"/>
    <w:rsid w:val="002830D8"/>
    <w:rsid w:val="0029483E"/>
    <w:rsid w:val="00296140"/>
    <w:rsid w:val="00296D2E"/>
    <w:rsid w:val="002B3E6F"/>
    <w:rsid w:val="002C5477"/>
    <w:rsid w:val="002C614C"/>
    <w:rsid w:val="002D0586"/>
    <w:rsid w:val="002D4C5C"/>
    <w:rsid w:val="002E4C52"/>
    <w:rsid w:val="002F2CCA"/>
    <w:rsid w:val="002F7AF5"/>
    <w:rsid w:val="00306191"/>
    <w:rsid w:val="00306C08"/>
    <w:rsid w:val="00313677"/>
    <w:rsid w:val="00336073"/>
    <w:rsid w:val="00345885"/>
    <w:rsid w:val="00360B0F"/>
    <w:rsid w:val="003A3AD1"/>
    <w:rsid w:val="003B1A54"/>
    <w:rsid w:val="003B66C8"/>
    <w:rsid w:val="003E3BAD"/>
    <w:rsid w:val="004014CA"/>
    <w:rsid w:val="00406F51"/>
    <w:rsid w:val="0042799B"/>
    <w:rsid w:val="004336C0"/>
    <w:rsid w:val="004401B9"/>
    <w:rsid w:val="00445381"/>
    <w:rsid w:val="00470AD9"/>
    <w:rsid w:val="00481F59"/>
    <w:rsid w:val="00495B8D"/>
    <w:rsid w:val="004B008D"/>
    <w:rsid w:val="004B0B8C"/>
    <w:rsid w:val="004B2063"/>
    <w:rsid w:val="004C50EC"/>
    <w:rsid w:val="004E2C3F"/>
    <w:rsid w:val="004F5036"/>
    <w:rsid w:val="005071E3"/>
    <w:rsid w:val="00511047"/>
    <w:rsid w:val="00516B3E"/>
    <w:rsid w:val="00532857"/>
    <w:rsid w:val="00552CDD"/>
    <w:rsid w:val="00563512"/>
    <w:rsid w:val="005720AF"/>
    <w:rsid w:val="00590CC8"/>
    <w:rsid w:val="005A0BB9"/>
    <w:rsid w:val="005A6B15"/>
    <w:rsid w:val="005B5DA3"/>
    <w:rsid w:val="005B6971"/>
    <w:rsid w:val="005B7C5B"/>
    <w:rsid w:val="005C00AE"/>
    <w:rsid w:val="005C6371"/>
    <w:rsid w:val="005C733B"/>
    <w:rsid w:val="005D1661"/>
    <w:rsid w:val="005D3837"/>
    <w:rsid w:val="005D5471"/>
    <w:rsid w:val="005F36E3"/>
    <w:rsid w:val="00606C06"/>
    <w:rsid w:val="00617C1E"/>
    <w:rsid w:val="00621EA6"/>
    <w:rsid w:val="00633AF6"/>
    <w:rsid w:val="00636664"/>
    <w:rsid w:val="00667CAA"/>
    <w:rsid w:val="00673059"/>
    <w:rsid w:val="00677109"/>
    <w:rsid w:val="00687C0C"/>
    <w:rsid w:val="00694141"/>
    <w:rsid w:val="006A14C9"/>
    <w:rsid w:val="006A4027"/>
    <w:rsid w:val="006A6DA4"/>
    <w:rsid w:val="006C76D0"/>
    <w:rsid w:val="006D2D14"/>
    <w:rsid w:val="006E179D"/>
    <w:rsid w:val="006E34DC"/>
    <w:rsid w:val="006E3862"/>
    <w:rsid w:val="0071609F"/>
    <w:rsid w:val="007315B0"/>
    <w:rsid w:val="00740EE8"/>
    <w:rsid w:val="00745751"/>
    <w:rsid w:val="007500BA"/>
    <w:rsid w:val="00751D1C"/>
    <w:rsid w:val="00754340"/>
    <w:rsid w:val="00755448"/>
    <w:rsid w:val="00757091"/>
    <w:rsid w:val="00763C7E"/>
    <w:rsid w:val="007B4D6C"/>
    <w:rsid w:val="007C3147"/>
    <w:rsid w:val="007D2680"/>
    <w:rsid w:val="007D2D4F"/>
    <w:rsid w:val="007E60E9"/>
    <w:rsid w:val="008044F7"/>
    <w:rsid w:val="0081380B"/>
    <w:rsid w:val="0082482D"/>
    <w:rsid w:val="00832D35"/>
    <w:rsid w:val="00854CBC"/>
    <w:rsid w:val="00855B0B"/>
    <w:rsid w:val="00862F11"/>
    <w:rsid w:val="0087756E"/>
    <w:rsid w:val="008824CB"/>
    <w:rsid w:val="008834D1"/>
    <w:rsid w:val="00893065"/>
    <w:rsid w:val="00893F13"/>
    <w:rsid w:val="008A3F72"/>
    <w:rsid w:val="008B2FAD"/>
    <w:rsid w:val="008B4153"/>
    <w:rsid w:val="008D70EA"/>
    <w:rsid w:val="00907185"/>
    <w:rsid w:val="00917C15"/>
    <w:rsid w:val="009335BB"/>
    <w:rsid w:val="0093701E"/>
    <w:rsid w:val="00942032"/>
    <w:rsid w:val="00953717"/>
    <w:rsid w:val="0096109F"/>
    <w:rsid w:val="00962351"/>
    <w:rsid w:val="0097359A"/>
    <w:rsid w:val="00983736"/>
    <w:rsid w:val="0098647F"/>
    <w:rsid w:val="009924EB"/>
    <w:rsid w:val="00993181"/>
    <w:rsid w:val="0099372E"/>
    <w:rsid w:val="00995164"/>
    <w:rsid w:val="0099702E"/>
    <w:rsid w:val="009A0CD0"/>
    <w:rsid w:val="009C157E"/>
    <w:rsid w:val="009C1F12"/>
    <w:rsid w:val="009E1D0C"/>
    <w:rsid w:val="009F6F24"/>
    <w:rsid w:val="00A23206"/>
    <w:rsid w:val="00A3162E"/>
    <w:rsid w:val="00A336B5"/>
    <w:rsid w:val="00A35D24"/>
    <w:rsid w:val="00A42FBD"/>
    <w:rsid w:val="00A45C33"/>
    <w:rsid w:val="00A47D5C"/>
    <w:rsid w:val="00A55032"/>
    <w:rsid w:val="00A56888"/>
    <w:rsid w:val="00A60EBB"/>
    <w:rsid w:val="00A654D7"/>
    <w:rsid w:val="00A66C89"/>
    <w:rsid w:val="00A76A16"/>
    <w:rsid w:val="00A76E95"/>
    <w:rsid w:val="00A87872"/>
    <w:rsid w:val="00A91464"/>
    <w:rsid w:val="00A96ED7"/>
    <w:rsid w:val="00AA23EE"/>
    <w:rsid w:val="00AA2620"/>
    <w:rsid w:val="00AB78A2"/>
    <w:rsid w:val="00AC0982"/>
    <w:rsid w:val="00AC4B2C"/>
    <w:rsid w:val="00AD0CAC"/>
    <w:rsid w:val="00AD0F1B"/>
    <w:rsid w:val="00AD1557"/>
    <w:rsid w:val="00AD767B"/>
    <w:rsid w:val="00AE18B4"/>
    <w:rsid w:val="00AE1F80"/>
    <w:rsid w:val="00AE5F25"/>
    <w:rsid w:val="00B007F0"/>
    <w:rsid w:val="00B0169E"/>
    <w:rsid w:val="00B27543"/>
    <w:rsid w:val="00B35D39"/>
    <w:rsid w:val="00B402C2"/>
    <w:rsid w:val="00B418BF"/>
    <w:rsid w:val="00B46254"/>
    <w:rsid w:val="00B5446C"/>
    <w:rsid w:val="00B706B2"/>
    <w:rsid w:val="00B748ED"/>
    <w:rsid w:val="00B84C96"/>
    <w:rsid w:val="00B9672E"/>
    <w:rsid w:val="00BA3CE3"/>
    <w:rsid w:val="00BA63E5"/>
    <w:rsid w:val="00BD292F"/>
    <w:rsid w:val="00BF4249"/>
    <w:rsid w:val="00C2568C"/>
    <w:rsid w:val="00C31C0C"/>
    <w:rsid w:val="00C4735F"/>
    <w:rsid w:val="00C7771D"/>
    <w:rsid w:val="00C82C59"/>
    <w:rsid w:val="00C926A0"/>
    <w:rsid w:val="00CB1FAE"/>
    <w:rsid w:val="00CB5779"/>
    <w:rsid w:val="00CD4C3B"/>
    <w:rsid w:val="00CF05C8"/>
    <w:rsid w:val="00CF748D"/>
    <w:rsid w:val="00D1552F"/>
    <w:rsid w:val="00D206D2"/>
    <w:rsid w:val="00D2352F"/>
    <w:rsid w:val="00D23C29"/>
    <w:rsid w:val="00D4445E"/>
    <w:rsid w:val="00D5311D"/>
    <w:rsid w:val="00D57722"/>
    <w:rsid w:val="00D64A4C"/>
    <w:rsid w:val="00D86EE7"/>
    <w:rsid w:val="00DA4995"/>
    <w:rsid w:val="00DA65C2"/>
    <w:rsid w:val="00DB552C"/>
    <w:rsid w:val="00DC5625"/>
    <w:rsid w:val="00DD0991"/>
    <w:rsid w:val="00DD732A"/>
    <w:rsid w:val="00DF0B4F"/>
    <w:rsid w:val="00E01875"/>
    <w:rsid w:val="00E02AE3"/>
    <w:rsid w:val="00E22628"/>
    <w:rsid w:val="00E332EA"/>
    <w:rsid w:val="00E35865"/>
    <w:rsid w:val="00E41B4B"/>
    <w:rsid w:val="00E5406F"/>
    <w:rsid w:val="00E557C1"/>
    <w:rsid w:val="00E81779"/>
    <w:rsid w:val="00E84326"/>
    <w:rsid w:val="00E97A2B"/>
    <w:rsid w:val="00EA337F"/>
    <w:rsid w:val="00EA5D12"/>
    <w:rsid w:val="00EC6091"/>
    <w:rsid w:val="00EE41D0"/>
    <w:rsid w:val="00EE4C7B"/>
    <w:rsid w:val="00EE74C9"/>
    <w:rsid w:val="00EF041A"/>
    <w:rsid w:val="00EF6F62"/>
    <w:rsid w:val="00F073C7"/>
    <w:rsid w:val="00F33C5B"/>
    <w:rsid w:val="00F5205A"/>
    <w:rsid w:val="00F6236F"/>
    <w:rsid w:val="00F64624"/>
    <w:rsid w:val="00F91CD4"/>
    <w:rsid w:val="00F93D2D"/>
    <w:rsid w:val="00F950D9"/>
    <w:rsid w:val="00FA7F92"/>
    <w:rsid w:val="00FB2C86"/>
    <w:rsid w:val="00FC3E6E"/>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C721"/>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2711</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406</cp:revision>
  <dcterms:created xsi:type="dcterms:W3CDTF">2021-03-30T15:44:00Z</dcterms:created>
  <dcterms:modified xsi:type="dcterms:W3CDTF">2023-07-28T20:33:00Z</dcterms:modified>
</cp:coreProperties>
</file>