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53004" w:rsidR="00A2339C" w:rsidP="00153004" w:rsidRDefault="00A2339C" w14:paraId="0E5F05E5" wp14:textId="77777777">
      <w:pPr>
        <w:jc w:val="center"/>
        <w:rPr>
          <w:b/>
        </w:rPr>
      </w:pPr>
      <w:r w:rsidRPr="00153004">
        <w:rPr>
          <w:b/>
        </w:rPr>
        <w:t>ACUERDO No.</w:t>
      </w:r>
    </w:p>
    <w:p xmlns:wp14="http://schemas.microsoft.com/office/word/2010/wordml" w:rsidRPr="00153004" w:rsidR="00A2339C" w:rsidP="00153004" w:rsidRDefault="00A2339C" w14:paraId="672A6659" wp14:textId="77777777">
      <w:pPr>
        <w:jc w:val="center"/>
        <w:rPr>
          <w:b/>
        </w:rPr>
      </w:pPr>
    </w:p>
    <w:p xmlns:wp14="http://schemas.microsoft.com/office/word/2010/wordml" w:rsidRPr="00153004" w:rsidR="00A2339C" w:rsidP="00153004" w:rsidRDefault="00A2339C" w14:paraId="315F7FA9" wp14:textId="77777777">
      <w:pPr>
        <w:jc w:val="center"/>
        <w:rPr>
          <w:b/>
        </w:rPr>
      </w:pPr>
      <w:r w:rsidRPr="00153004">
        <w:rPr>
          <w:b/>
        </w:rPr>
        <w:t>EL CONCEJO METROPOLITANO DE QUITO</w:t>
      </w:r>
    </w:p>
    <w:p xmlns:wp14="http://schemas.microsoft.com/office/word/2010/wordml" w:rsidRPr="00153004" w:rsidR="00A2339C" w:rsidP="00153004" w:rsidRDefault="00A2339C" w14:paraId="0A37501D" wp14:textId="77777777">
      <w:pPr>
        <w:jc w:val="center"/>
        <w:rPr>
          <w:b/>
        </w:rPr>
      </w:pPr>
    </w:p>
    <w:p xmlns:wp14="http://schemas.microsoft.com/office/word/2010/wordml" w:rsidRPr="00153004" w:rsidR="00A2339C" w:rsidP="00153004" w:rsidRDefault="00A2339C" w14:paraId="01276949" wp14:textId="77777777">
      <w:pPr>
        <w:jc w:val="center"/>
        <w:rPr>
          <w:b/>
        </w:rPr>
      </w:pPr>
      <w:r w:rsidRPr="00153004">
        <w:rPr>
          <w:b/>
        </w:rPr>
        <w:t>CONSIDERANDO:</w:t>
      </w:r>
    </w:p>
    <w:p xmlns:wp14="http://schemas.microsoft.com/office/word/2010/wordml" w:rsidR="00A2339C" w:rsidP="00A2339C" w:rsidRDefault="00A2339C" w14:paraId="5DAB6C7B" wp14:textId="77777777">
      <w:pPr>
        <w:jc w:val="both"/>
      </w:pPr>
    </w:p>
    <w:p xmlns:wp14="http://schemas.microsoft.com/office/word/2010/wordml" w:rsidR="00A2339C" w:rsidP="00A2339C" w:rsidRDefault="00A2339C" w14:paraId="4EF2BA3B" wp14:textId="77777777">
      <w:pPr>
        <w:jc w:val="both"/>
      </w:pPr>
      <w:r>
        <w:t>Que,</w:t>
      </w:r>
      <w:r w:rsidRPr="00A2339C">
        <w:t xml:space="preserve"> </w:t>
      </w:r>
      <w:r>
        <w:t>la Constitución de la República en el artículo 1 define al Ecuador como un Estado Intercultural, lo que significa que en sus territorios conviven una rica diversidad de expresiones culturales;</w:t>
      </w:r>
    </w:p>
    <w:p xmlns:wp14="http://schemas.microsoft.com/office/word/2010/wordml" w:rsidR="00A2339C" w:rsidP="00A2339C" w:rsidRDefault="00A2339C" w14:paraId="02EB378F" wp14:textId="77777777">
      <w:pPr>
        <w:jc w:val="both"/>
      </w:pPr>
    </w:p>
    <w:p xmlns:wp14="http://schemas.microsoft.com/office/word/2010/wordml" w:rsidR="00A2339C" w:rsidP="00A2339C" w:rsidRDefault="00A2339C" w14:paraId="5DE57CC5" wp14:textId="77777777">
      <w:pPr>
        <w:jc w:val="both"/>
      </w:pPr>
      <w:r>
        <w:t>Que, el numeral 7 del artículo 3 de la misma Constitución menciona que es uno de los deberes primordiales del Estado “7. Proteger el patrimonio natural y cultural del país”;</w:t>
      </w:r>
    </w:p>
    <w:p xmlns:wp14="http://schemas.microsoft.com/office/word/2010/wordml" w:rsidR="00A2339C" w:rsidP="00A2339C" w:rsidRDefault="00A2339C" w14:paraId="6A05A809" wp14:textId="77777777">
      <w:pPr>
        <w:jc w:val="both"/>
      </w:pPr>
    </w:p>
    <w:p xmlns:wp14="http://schemas.microsoft.com/office/word/2010/wordml" w:rsidR="00A2339C" w:rsidP="00A2339C" w:rsidRDefault="00A2339C" w14:paraId="3924CC4A" wp14:textId="77777777">
      <w:pPr>
        <w:jc w:val="both"/>
      </w:pPr>
      <w:r>
        <w:t>Que</w:t>
      </w:r>
      <w:r w:rsidRPr="00A2339C">
        <w:t xml:space="preserve"> </w:t>
      </w:r>
      <w:r>
        <w:t>la Constitución en el artículo 21 garantiza el derecho las personas a: “Art. 21.- Las personas tienen derecho a construir y mantener su propia identidad cultural, a decidir sobre su pertenencia «una o varias comunidades culturales y a expresar dichas elecciones; a la libertad estética; a conocer la memoria histórica de sus culturas y a acceder a su patrimonio cultural; a difundir sus propias e sesiones culturales y tener acceso expresiones culturales diversas”;</w:t>
      </w:r>
    </w:p>
    <w:p xmlns:wp14="http://schemas.microsoft.com/office/word/2010/wordml" w:rsidR="00A2339C" w:rsidP="00A2339C" w:rsidRDefault="00A2339C" w14:paraId="5A39BBE3" wp14:textId="77777777">
      <w:pPr>
        <w:jc w:val="both"/>
      </w:pPr>
    </w:p>
    <w:p xmlns:wp14="http://schemas.microsoft.com/office/word/2010/wordml" w:rsidR="00A2339C" w:rsidP="00A2339C" w:rsidRDefault="00A2339C" w14:paraId="18300D69" wp14:textId="77777777">
      <w:pPr>
        <w:jc w:val="both"/>
      </w:pPr>
      <w:r>
        <w:t>Que,</w:t>
      </w:r>
      <w:r w:rsidRPr="00A2339C">
        <w:t xml:space="preserve"> </w:t>
      </w:r>
      <w:r>
        <w:t>es competencia exclusiva del nivel de gobierno municipal: “Preservar, mantener y difundir el patrimonio arquitectónico, cultural y natural del cantón y construir los espacios públicos para estos fines”, de conformidad a1 numeral 8 del artículo 264 de la Constitución de la República;</w:t>
      </w:r>
    </w:p>
    <w:p xmlns:wp14="http://schemas.microsoft.com/office/word/2010/wordml" w:rsidR="00A2339C" w:rsidP="00A2339C" w:rsidRDefault="00A2339C" w14:paraId="41C8F396" wp14:textId="77777777">
      <w:pPr>
        <w:jc w:val="both"/>
      </w:pPr>
    </w:p>
    <w:p xmlns:wp14="http://schemas.microsoft.com/office/word/2010/wordml" w:rsidR="00A2339C" w:rsidP="00A2339C" w:rsidRDefault="00A2339C" w14:paraId="6C67612E" wp14:textId="77777777">
      <w:pPr>
        <w:jc w:val="both"/>
      </w:pPr>
      <w:r>
        <w:t>Que,</w:t>
      </w:r>
      <w:r w:rsidRPr="00A2339C">
        <w:t xml:space="preserve"> </w:t>
      </w:r>
      <w:r>
        <w:t>el artículo 4 de la ley Orgánica de Cultura define a la diversidad cultural como: “Se concibe como el ejercicio de todas las personas a construir y mantener su propia identidad cultural, a decidir sobre su pertenencia n una o varias comunidades culturales y a expresar dichas elecciones; a difundir sus propios expresiones culturales ›J tener acceso a expresiones culturales diversas”;</w:t>
      </w:r>
    </w:p>
    <w:p xmlns:wp14="http://schemas.microsoft.com/office/word/2010/wordml" w:rsidR="00A2339C" w:rsidP="00A2339C" w:rsidRDefault="00A2339C" w14:paraId="72A3D3EC" wp14:textId="77777777">
      <w:pPr>
        <w:jc w:val="both"/>
      </w:pPr>
    </w:p>
    <w:p xmlns:wp14="http://schemas.microsoft.com/office/word/2010/wordml" w:rsidR="00A2339C" w:rsidP="00A2339C" w:rsidRDefault="00A2339C" w14:paraId="46EF7D36" wp14:textId="77777777">
      <w:pPr>
        <w:jc w:val="both"/>
      </w:pPr>
      <w:r>
        <w:t>Que,</w:t>
      </w:r>
      <w:r w:rsidRPr="00A2339C">
        <w:t xml:space="preserve"> </w:t>
      </w:r>
      <w:r>
        <w:t>la misma norma citada al hablar de Cultura viva comunitaria menciona:” Se promueve la cultura mira comunitaria, concebida como las expresiones artísticas y culturales que surgen de las correas, comunidades, pueblos y nacionalidades, a partir de su cotidianidad. Es una experiencia que reconoce y potencia las identidades colectivas, el diálogo, la cooperación, la constitución de redes y la construcción comunitaria a través de la expresión de la cultura popular”;</w:t>
      </w:r>
    </w:p>
    <w:p xmlns:wp14="http://schemas.microsoft.com/office/word/2010/wordml" w:rsidR="00A2339C" w:rsidP="00A2339C" w:rsidRDefault="00A2339C" w14:paraId="29D6B04F" wp14:textId="77777777">
      <w:pPr>
        <w:jc w:val="both"/>
      </w:pPr>
      <w:r>
        <w:t xml:space="preserve"> </w:t>
      </w:r>
    </w:p>
    <w:p xmlns:wp14="http://schemas.microsoft.com/office/word/2010/wordml" w:rsidR="00A2339C" w:rsidP="00A2339C" w:rsidRDefault="00A2339C" w14:paraId="4CFA33A6" wp14:textId="77777777">
      <w:pPr>
        <w:jc w:val="both"/>
      </w:pPr>
      <w:r>
        <w:t>Que, el literal b) del artículo 5 de la misma Ley, garantiza el derecho a “t) Protección de los saberes ancestrales y diálogo intercultural. Es personas, comunidades, pueblos y nacionalidades tienen derecho a la protección de sus saberes ancestrales, of reconocimiento de sus cosmovisiones como formas de percepción del mundo y las ideas; así como, a la salvaguarda de su patrimonio material e inmaterial y a la diversidad de formas de organización social y modos de vida vinculados a sus territorios”;</w:t>
      </w:r>
    </w:p>
    <w:p xmlns:wp14="http://schemas.microsoft.com/office/word/2010/wordml" w:rsidR="00A2339C" w:rsidP="00A2339C" w:rsidRDefault="00A2339C" w14:paraId="0D0B940D" wp14:textId="77777777">
      <w:pPr>
        <w:jc w:val="both"/>
      </w:pPr>
    </w:p>
    <w:p xmlns:wp14="http://schemas.microsoft.com/office/word/2010/wordml" w:rsidR="00A2339C" w:rsidP="00A2339C" w:rsidRDefault="00A2339C" w14:paraId="1B4829E2" wp14:textId="77777777">
      <w:pPr>
        <w:jc w:val="both"/>
      </w:pPr>
      <w:r>
        <w:t>Que, así mismo se garantiza en el literal d) del artículo 5 ibídem, el derecho a la memoria social: “d) Memoria social. Las personas, comunidades, comunas, pueblos y nacionalidades, colectivos y organizaciones culturales tienen derecho a construir y difundir su memoria social, así como acceder a los contenidos que sobre ella estén depositados en las entidades públicas o privadas”;</w:t>
      </w:r>
    </w:p>
    <w:p xmlns:wp14="http://schemas.microsoft.com/office/word/2010/wordml" w:rsidR="00A2339C" w:rsidP="00A2339C" w:rsidRDefault="00A2339C" w14:paraId="0E27B00A" wp14:textId="77777777">
      <w:pPr>
        <w:jc w:val="both"/>
      </w:pPr>
    </w:p>
    <w:p xmlns:wp14="http://schemas.microsoft.com/office/word/2010/wordml" w:rsidR="00A2339C" w:rsidP="00A2339C" w:rsidRDefault="00A2339C" w14:paraId="1EC55B60" wp14:textId="77777777">
      <w:pPr>
        <w:jc w:val="both"/>
      </w:pPr>
      <w:r>
        <w:t>Que, el artículo 52 de la Ley Orgánica de Cultura define el patrimonio intangible: “Art. 52.- Del patrimonio intangible o inmaterial. Son todos los valores, conocimientos, saberes, tecnologías, formas de hacer, pensar y percibir el mundo, y en general las manifestaciones que identifican culturalmente a las personas, comunes, comunidades, pueblos y nacionalidades que conforman el Estado intercultural, plurinacional y multiétnico ecuatoriano”;</w:t>
      </w:r>
    </w:p>
    <w:p xmlns:wp14="http://schemas.microsoft.com/office/word/2010/wordml" w:rsidR="00A2339C" w:rsidP="00A2339C" w:rsidRDefault="00A2339C" w14:paraId="60061E4C" wp14:textId="77777777">
      <w:pPr>
        <w:jc w:val="both"/>
      </w:pPr>
    </w:p>
    <w:p xmlns:wp14="http://schemas.microsoft.com/office/word/2010/wordml" w:rsidR="00A2339C" w:rsidP="00A2339C" w:rsidRDefault="00A2339C" w14:paraId="5EEC94DA" wp14:textId="77777777">
      <w:pPr>
        <w:jc w:val="both"/>
      </w:pPr>
      <w:r>
        <w:t>Que, el artículo 79 de la última ley citada dispone: “De las manifestaciones pertenecientes al patrimonio cultural nacional inmaterial. Pertenecen al patrimonio cultural nacional intangible o inmaterial, los usos, costumbres, creencias, representaciones, expresiones, conocimientos y técnicas con los instrumentos, objetos, artefactos y espacios culturales que les son inherentes, que la sociedad en general y cada comunidad, pueblo o nacionalidad reconocen como manifestaciones propias de su identidad cultural. Las que se trasmiten de generación en generación, dotadas de una representatividad especies, creados y recreadas colectivamente como un proceso permanente de trasmisión de saberes y cuyos significados cambian en función de los contextos sociales, económicos, políticos, culturales y naturales, otorgando a las sociedades un sentido de identidad”;</w:t>
      </w:r>
    </w:p>
    <w:p xmlns:wp14="http://schemas.microsoft.com/office/word/2010/wordml" w:rsidR="00A2339C" w:rsidP="00A2339C" w:rsidRDefault="00A2339C" w14:paraId="44EAFD9C" wp14:textId="77777777">
      <w:pPr>
        <w:jc w:val="both"/>
      </w:pPr>
    </w:p>
    <w:p xmlns:wp14="http://schemas.microsoft.com/office/word/2010/wordml" w:rsidR="00153004" w:rsidP="00A2339C" w:rsidRDefault="00A2339C" w14:paraId="4F2D8673" wp14:textId="77777777">
      <w:pPr>
        <w:jc w:val="both"/>
      </w:pPr>
      <w:r>
        <w:t>Que el Código Municipal para el Distrito Metropolitano de Quito en el artículo 733 dispone: “</w:t>
      </w:r>
      <w:r w:rsidRPr="00153004" w:rsidR="00153004">
        <w:t>Art. 733.- El Concejo Metropolitano de Quito, con la finalidad de reconocer los esfuerzos ciudadanos en la preservación del patrimonio intangible, entregará anualmente el </w:t>
      </w:r>
      <w:r w:rsidR="00153004">
        <w:t>Premio</w:t>
      </w:r>
      <w:r w:rsidRPr="00153004" w:rsidR="00153004">
        <w:t> Quitu Cara a la iniciativa, proyecto, programa o emprendimiento ejecutado en una parroquia rural del Distrito Metropolitano de Quito, que por sus características se destaque en la preservación del patrimonio intangible de la ciudad.</w:t>
      </w:r>
      <w:r w:rsidRPr="00153004" w:rsidR="00153004">
        <w:br/>
      </w:r>
      <w:r w:rsidRPr="00153004" w:rsidR="00153004">
        <w:br/>
      </w:r>
      <w:r w:rsidRPr="00153004" w:rsidR="00153004">
        <w:t>Podrán participar en este </w:t>
      </w:r>
      <w:r w:rsidR="00153004">
        <w:t>premio</w:t>
      </w:r>
      <w:r w:rsidRPr="00153004" w:rsidR="00153004">
        <w:t> las personas naturales y jurídicas que hayan desarrollado, durante el año inmediatamente anterior, un proyecto, programa o emprendimiento que busque proteger el patrimonio intangible.</w:t>
      </w:r>
    </w:p>
    <w:p xmlns:wp14="http://schemas.microsoft.com/office/word/2010/wordml" w:rsidR="00153004" w:rsidP="00A2339C" w:rsidRDefault="00153004" w14:paraId="332B3310" wp14:textId="77777777">
      <w:pPr>
        <w:jc w:val="both"/>
      </w:pPr>
      <w:r w:rsidRPr="00153004">
        <w:br/>
      </w:r>
      <w:r w:rsidRPr="00153004">
        <w:t>Las postulaciones para este </w:t>
      </w:r>
      <w:r>
        <w:t>premio</w:t>
      </w:r>
      <w:r w:rsidRPr="00153004">
        <w:t> serán hechas por cada una de los Gobiernos Parroquiales Rurales del Distrito. Cada Gobierno Parroquial podrá hacer hasta tres postulaciones por año.</w:t>
      </w:r>
    </w:p>
    <w:p xmlns:wp14="http://schemas.microsoft.com/office/word/2010/wordml" w:rsidR="00153004" w:rsidP="00A2339C" w:rsidRDefault="00153004" w14:paraId="45020FDF" wp14:textId="77777777">
      <w:pPr>
        <w:jc w:val="both"/>
      </w:pPr>
      <w:r w:rsidRPr="00153004">
        <w:br/>
      </w:r>
      <w:r w:rsidRPr="00153004">
        <w:t>En comisión conjunta, las Comisiones competentes en materia de educación y cultura; y, desarrollo parroquial, previo informe técnico del Instituto Metropolitano de Patrimonio o del ente metropolitano que se encargue de sus labores, emitirá su informe para conocimiento y resolución del Concejo Metropolitano de Quito.</w:t>
      </w:r>
    </w:p>
    <w:p xmlns:wp14="http://schemas.microsoft.com/office/word/2010/wordml" w:rsidR="00A2339C" w:rsidP="00A2339C" w:rsidRDefault="00153004" w14:paraId="1089C488" wp14:textId="77777777">
      <w:pPr>
        <w:jc w:val="both"/>
      </w:pPr>
      <w:r w:rsidRPr="00153004">
        <w:br/>
      </w:r>
      <w:r w:rsidRPr="00153004">
        <w:t>El </w:t>
      </w:r>
      <w:r>
        <w:t>premio</w:t>
      </w:r>
      <w:r w:rsidRPr="00153004">
        <w:t> consistirá en una placa de reconocimiento y un incentivo económico, cuyo monto será establecido mediante Resolución Administrativa, previo informe de disponibilidad presupuestaria. Este </w:t>
      </w:r>
      <w:r>
        <w:t>premio</w:t>
      </w:r>
      <w:r w:rsidRPr="00153004">
        <w:t> se entregará el 8 de septiembre de cada año.</w:t>
      </w:r>
      <w:r>
        <w:t>”</w:t>
      </w:r>
      <w:r w:rsidR="00A2339C">
        <w:t xml:space="preserve">      </w:t>
      </w:r>
    </w:p>
    <w:p xmlns:wp14="http://schemas.microsoft.com/office/word/2010/wordml" w:rsidR="00A2339C" w:rsidP="00A2339C" w:rsidRDefault="00A2339C" w14:paraId="4B94D5A5" wp14:textId="77777777">
      <w:pPr>
        <w:jc w:val="both"/>
      </w:pPr>
    </w:p>
    <w:p xmlns:wp14="http://schemas.microsoft.com/office/word/2010/wordml" w:rsidR="00153004" w:rsidP="00153004" w:rsidRDefault="00A2339C" w14:paraId="109DC801" wp14:textId="77777777">
      <w:pPr>
        <w:jc w:val="both"/>
      </w:pPr>
      <w:r>
        <w:t>Que</w:t>
      </w:r>
      <w:r w:rsidR="00153004">
        <w:t>, con fecha 14 de agosto 2024, el Sr. Secretario de Cultura, Antrop. Jorge Cisneros Laiquez, por medio del memorando Nro. GADDMQ-SECU- 2024-1587-O, comunica al Director Ejecutivo del Instituto Metropolitano de Patrimonio el acta de veredicto del premio Quitu Cara 2024 y solicita la elaboración del Informe Técnico;</w:t>
      </w:r>
    </w:p>
    <w:p xmlns:wp14="http://schemas.microsoft.com/office/word/2010/wordml" w:rsidR="00A2339C" w:rsidP="00A2339C" w:rsidRDefault="00A2339C" w14:paraId="3DEEC669" wp14:textId="77777777">
      <w:pPr>
        <w:jc w:val="both"/>
      </w:pPr>
    </w:p>
    <w:p xmlns:wp14="http://schemas.microsoft.com/office/word/2010/wordml" w:rsidR="00153004" w:rsidP="76269668" w:rsidRDefault="00A2339C" w14:paraId="49BE69B3" wp14:textId="53B2E88C">
      <w:pPr>
        <w:pStyle w:val="Normal"/>
        <w:jc w:val="both"/>
      </w:pPr>
      <w:r w:rsidR="00A2339C">
        <w:rPr/>
        <w:t>Que</w:t>
      </w:r>
      <w:r w:rsidR="00153004">
        <w:rPr/>
        <w:t xml:space="preserve">, mediante Informe Técnico No. GADDMQ-IMP-DPE-2024-0105-IT, de 16 de agosto de 2024, suscrito por </w:t>
      </w:r>
      <w:r w:rsidR="00153004">
        <w:rPr/>
        <w:t>Mgs</w:t>
      </w:r>
      <w:r w:rsidR="00153004">
        <w:rPr/>
        <w:t xml:space="preserve">. Erika Tamara López Saavedra, </w:t>
      </w:r>
      <w:r w:rsidR="00153004">
        <w:rPr/>
        <w:t>Directora</w:t>
      </w:r>
      <w:r w:rsidR="00153004">
        <w:rPr/>
        <w:t xml:space="preserve"> de Proyectos Especiales, el Instituto Metropolitano de Patrimonio, concluye “El proceso de selección del ganador de los premios Quitu Cara ha sido transparente y riguroso, tal como expone </w:t>
      </w:r>
      <w:r w:rsidR="00153004">
        <w:rPr/>
        <w:t xml:space="preserve">el acta de veredicto. Además, el proyecto ganador: </w:t>
      </w:r>
      <w:r w:rsidR="7F054A5A">
        <w:rPr/>
        <w:t>“C</w:t>
      </w:r>
      <w:r w:rsidRPr="76269668" w:rsidR="7F054A5A">
        <w:rPr>
          <w:rFonts w:ascii="Times New Roman" w:hAnsi="Times New Roman" w:cs="Times New Roman"/>
          <w:sz w:val="24"/>
          <w:szCs w:val="24"/>
        </w:rPr>
        <w:t xml:space="preserve">oyas, la </w:t>
      </w:r>
      <w:r w:rsidRPr="76269668" w:rsidR="7F054A5A">
        <w:rPr>
          <w:rFonts w:ascii="Times New Roman" w:hAnsi="Times New Roman" w:cs="Times New Roman"/>
          <w:sz w:val="24"/>
          <w:szCs w:val="24"/>
        </w:rPr>
        <w:t>randimpa</w:t>
      </w:r>
      <w:r w:rsidRPr="76269668" w:rsidR="7F054A5A">
        <w:rPr>
          <w:rFonts w:ascii="Times New Roman" w:hAnsi="Times New Roman" w:cs="Times New Roman"/>
          <w:sz w:val="24"/>
          <w:szCs w:val="24"/>
        </w:rPr>
        <w:t xml:space="preserve"> cultural de la mujer. Feria y encuentro de saberes y sabores ancestrales, de la parroquia de </w:t>
      </w:r>
      <w:r w:rsidRPr="76269668" w:rsidR="7F054A5A">
        <w:rPr>
          <w:rFonts w:ascii="Times New Roman" w:hAnsi="Times New Roman" w:cs="Times New Roman"/>
          <w:sz w:val="24"/>
          <w:szCs w:val="24"/>
        </w:rPr>
        <w:t>Puéllaro”</w:t>
      </w:r>
      <w:r w:rsidR="00153004">
        <w:rPr/>
        <w:t>, cumple a cabalidad con todos los criterios que definen a un patrimonio cultural inmaterial según los establecido por la normativa y los documentos metodológicos del Instituto Nacional de Patrimonio Cultural”;</w:t>
      </w:r>
    </w:p>
    <w:p xmlns:wp14="http://schemas.microsoft.com/office/word/2010/wordml" w:rsidR="00A2339C" w:rsidP="00A2339C" w:rsidRDefault="00A2339C" w14:paraId="3656B9AB" wp14:textId="77777777">
      <w:pPr>
        <w:jc w:val="both"/>
      </w:pPr>
    </w:p>
    <w:p xmlns:wp14="http://schemas.microsoft.com/office/word/2010/wordml" w:rsidR="00153004" w:rsidP="00153004" w:rsidRDefault="00A2339C" w14:paraId="4FEC8097" wp14:textId="77777777">
      <w:pPr>
        <w:jc w:val="both"/>
      </w:pPr>
      <w:r>
        <w:t>Que</w:t>
      </w:r>
      <w:r w:rsidR="00153004">
        <w:t>,</w:t>
      </w:r>
      <w:r w:rsidRPr="00153004" w:rsidR="00153004">
        <w:t xml:space="preserve"> </w:t>
      </w:r>
      <w:r w:rsidR="00153004">
        <w:t>mediante memorando No. GADDMQ-SGCM-2024-1791-M, de 20 de agosto de 2024, se realiza la Convocatoria a sesión conjunta No. 002 — Extraordinaria de las Comisiones de Educación y Cultura; y, Desarrollo Parroquial;</w:t>
      </w:r>
    </w:p>
    <w:p xmlns:wp14="http://schemas.microsoft.com/office/word/2010/wordml" w:rsidR="00A2339C" w:rsidP="00A2339C" w:rsidRDefault="00A2339C" w14:paraId="45FB0818" wp14:textId="77777777">
      <w:pPr>
        <w:jc w:val="both"/>
      </w:pPr>
    </w:p>
    <w:p xmlns:wp14="http://schemas.microsoft.com/office/word/2010/wordml" w:rsidR="00153004" w:rsidP="00153004" w:rsidRDefault="00A2339C" w14:paraId="36A91560" wp14:textId="77777777">
      <w:pPr>
        <w:jc w:val="both"/>
      </w:pPr>
      <w:r>
        <w:t>Que</w:t>
      </w:r>
      <w:r w:rsidR="00153004">
        <w:t>,</w:t>
      </w:r>
      <w:r w:rsidRPr="00153004" w:rsidR="00153004">
        <w:t xml:space="preserve"> </w:t>
      </w:r>
      <w:r w:rsidR="00153004">
        <w:t>mediante memorando No. GADDMQ-SECU-2024-1046-M, de 20 de agosto de 2024, suscrito por el Antrop. Jorge Alexander Cisneros Laiquez, Secretario de Cultura, se adjunta la Certificación POA y la Certificación Presupuestaria del Premio Quitu Cara 2024;</w:t>
      </w:r>
    </w:p>
    <w:p xmlns:wp14="http://schemas.microsoft.com/office/word/2010/wordml" w:rsidR="00A2339C" w:rsidP="00A2339C" w:rsidRDefault="00A2339C" w14:paraId="049F31CB" wp14:textId="77777777">
      <w:pPr>
        <w:jc w:val="both"/>
      </w:pPr>
    </w:p>
    <w:p xmlns:wp14="http://schemas.microsoft.com/office/word/2010/wordml" w:rsidR="00A2339C" w:rsidP="00A2339C" w:rsidRDefault="00CA23AD" w14:paraId="0ABA85DE" wp14:textId="77777777">
      <w:pPr>
        <w:jc w:val="both"/>
      </w:pPr>
      <w:r>
        <w:t xml:space="preserve">Que </w:t>
      </w:r>
      <w:r w:rsidR="00A2339C">
        <w:t xml:space="preserve">con fecha </w:t>
      </w:r>
      <w:r>
        <w:t>28</w:t>
      </w:r>
      <w:r w:rsidR="00A2339C">
        <w:t xml:space="preserve"> de agosto de 2024, se emite el Informe de la Sesión Conjunta de las Comisiones de Educación y Cultura; y, Desarrollo Parroquial que </w:t>
      </w:r>
      <w:r w:rsidRPr="00CA23AD">
        <w:t>para que el Concejo Metropolitano de Quito conozca y trate el proyecto de acuerdo que otorga el Premio “Quitu Cara a la Preserva</w:t>
      </w:r>
      <w:r>
        <w:t>ción del Patrimonio Intangible”.</w:t>
      </w:r>
    </w:p>
    <w:p xmlns:wp14="http://schemas.microsoft.com/office/word/2010/wordml" w:rsidR="00A2339C" w:rsidP="00A2339C" w:rsidRDefault="00A2339C" w14:paraId="53128261" wp14:textId="77777777">
      <w:pPr>
        <w:jc w:val="both"/>
      </w:pPr>
    </w:p>
    <w:p xmlns:wp14="http://schemas.microsoft.com/office/word/2010/wordml" w:rsidR="00A2339C" w:rsidP="00A2339C" w:rsidRDefault="00A2339C" w14:paraId="645021CE" wp14:textId="77777777">
      <w:pPr>
        <w:jc w:val="both"/>
      </w:pPr>
      <w:r>
        <w:t>En ejercicio de las atribuciones previstas en los artículos 240 de la Constitución de la República; y, 87 literales a) y d) y 323 del Código Orgánico de Organización Territorial, Autonomía y Descentralización.</w:t>
      </w:r>
    </w:p>
    <w:p xmlns:wp14="http://schemas.microsoft.com/office/word/2010/wordml" w:rsidR="00153004" w:rsidP="00A2339C" w:rsidRDefault="00153004" w14:paraId="62486C05" wp14:textId="77777777">
      <w:pPr>
        <w:jc w:val="both"/>
      </w:pPr>
    </w:p>
    <w:p xmlns:wp14="http://schemas.microsoft.com/office/word/2010/wordml" w:rsidR="00A2339C" w:rsidP="00153004" w:rsidRDefault="00153004" w14:paraId="61523C57" wp14:textId="77777777">
      <w:pPr>
        <w:jc w:val="center"/>
      </w:pPr>
      <w:r w:rsidRPr="00153004">
        <w:rPr>
          <w:b/>
        </w:rPr>
        <w:t>ACUERDA</w:t>
      </w:r>
      <w:r w:rsidR="00A2339C">
        <w:t>:</w:t>
      </w:r>
    </w:p>
    <w:p xmlns:wp14="http://schemas.microsoft.com/office/word/2010/wordml" w:rsidR="00153004" w:rsidP="00A2339C" w:rsidRDefault="00153004" w14:paraId="4101652C" wp14:textId="77777777">
      <w:pPr>
        <w:jc w:val="both"/>
      </w:pPr>
    </w:p>
    <w:p xmlns:wp14="http://schemas.microsoft.com/office/word/2010/wordml" w:rsidR="00A2339C" w:rsidP="00A2339C" w:rsidRDefault="00CA23AD" w14:paraId="5980A9F1" wp14:textId="77777777">
      <w:pPr>
        <w:jc w:val="both"/>
      </w:pPr>
      <w:r>
        <w:t>Artículo 1. Acoger e</w:t>
      </w:r>
      <w:r w:rsidR="00A2339C">
        <w:t>l informe de la Comisión Conjunta de Educación y Cultura; y, Desarrollo Parroquial; y con fundamento en lo dispuesto en el artículo 733 del Código Municipal para el Distrito Metropolitano de Quito; otorgar el Premio “Quitu Cara” correspondiente al año 2024 al proyecto “</w:t>
      </w:r>
      <w:r w:rsidRPr="006C1E1E" w:rsidR="009C2980">
        <w:rPr>
          <w:rFonts w:ascii="Times New Roman" w:hAnsi="Times New Roman" w:cs="Times New Roman"/>
          <w:sz w:val="24"/>
          <w:szCs w:val="24"/>
        </w:rPr>
        <w:t>Coyas, la randimpa cultural de la mujer. Feria y encuentro de saberes y sabores ancestrales, de la parroquia de Puéllaro</w:t>
      </w:r>
      <w:r w:rsidR="00A2339C">
        <w:t>”, que por sus características destaca en la preservación del patrimonio intangible de la ciudad.</w:t>
      </w:r>
    </w:p>
    <w:p xmlns:wp14="http://schemas.microsoft.com/office/word/2010/wordml" w:rsidR="00A2339C" w:rsidP="00A2339C" w:rsidRDefault="00A2339C" w14:paraId="4B99056E" wp14:textId="77777777">
      <w:pPr>
        <w:jc w:val="both"/>
      </w:pPr>
    </w:p>
    <w:p xmlns:wp14="http://schemas.microsoft.com/office/word/2010/wordml" w:rsidRPr="00A2339C" w:rsidR="005231C5" w:rsidP="00A2339C" w:rsidRDefault="00A2339C" w14:paraId="72721A62" wp14:textId="77777777">
      <w:pPr>
        <w:jc w:val="both"/>
      </w:pPr>
      <w:r>
        <w:t>Artículo 2. Disponer a la Administración General, Instituto Metropolitano de Patrimonio y Secretaría de Cultura realicen los procedimientos administrativos necesarios para la entrega del premio y el reconocimiento económico previsto en la normativa.</w:t>
      </w:r>
    </w:p>
    <w:p xmlns:wp14="http://schemas.microsoft.com/office/word/2010/wordml" w:rsidRPr="00A2339C" w:rsidR="005231C5" w:rsidP="00A2339C" w:rsidRDefault="005231C5" w14:paraId="1299C43A" wp14:textId="77777777">
      <w:pPr>
        <w:jc w:val="both"/>
      </w:pPr>
    </w:p>
    <w:p xmlns:wp14="http://schemas.microsoft.com/office/word/2010/wordml" w:rsidRPr="00A2339C" w:rsidR="005231C5" w:rsidP="00A2339C" w:rsidRDefault="00DC2577" w14:paraId="49E9BF7C" wp14:textId="77777777">
      <w:pPr>
        <w:jc w:val="both"/>
      </w:pPr>
      <w:r w:rsidRPr="00A2339C">
        <w:t>Artículo</w:t>
      </w:r>
      <w:r w:rsidRPr="00A2339C" w:rsidR="006E1433">
        <w:t xml:space="preserve"> 3. Disponer a la Secretaría de Cultura la edición y publicación bibliográfica del material documental levantado y que simboliza la memoria histórica de las parroquias de Quito.</w:t>
      </w:r>
    </w:p>
    <w:p xmlns:wp14="http://schemas.microsoft.com/office/word/2010/wordml" w:rsidRPr="00A2339C" w:rsidR="005231C5" w:rsidP="00A2339C" w:rsidRDefault="005231C5" w14:paraId="4DDBEF00" wp14:textId="77777777">
      <w:pPr>
        <w:jc w:val="both"/>
      </w:pPr>
    </w:p>
    <w:p xmlns:wp14="http://schemas.microsoft.com/office/word/2010/wordml" w:rsidRPr="00A2339C" w:rsidR="005231C5" w:rsidP="00A2339C" w:rsidRDefault="00E6138E" w14:paraId="71393952" wp14:textId="77777777">
      <w:pPr>
        <w:jc w:val="both"/>
      </w:pPr>
      <w:r w:rsidRPr="00A2339C">
        <w:t>Artículo 4</w:t>
      </w:r>
      <w:r w:rsidRPr="00A2339C" w:rsidR="006E1433">
        <w:t xml:space="preserve">. Disponer a la Secretaría de Comunicación la amplia difusión del evento de reconocimiento, así como de los proyectos presentados para esta edición del premio “Quitu </w:t>
      </w:r>
      <w:r w:rsidRPr="00A2339C" w:rsidR="008A75E1">
        <w:t>Cara” 2024</w:t>
      </w:r>
      <w:r w:rsidRPr="00A2339C" w:rsidR="006E1433">
        <w:t>.</w:t>
      </w:r>
    </w:p>
    <w:p xmlns:wp14="http://schemas.microsoft.com/office/word/2010/wordml" w:rsidRPr="00A2339C" w:rsidR="005231C5" w:rsidP="00A2339C" w:rsidRDefault="005231C5" w14:paraId="3461D779" wp14:textId="77777777">
      <w:pPr>
        <w:jc w:val="both"/>
      </w:pPr>
    </w:p>
    <w:p xmlns:wp14="http://schemas.microsoft.com/office/word/2010/wordml" w:rsidR="005231C5" w:rsidP="00A2339C" w:rsidRDefault="006E1433" w14:paraId="746910C0" wp14:textId="77777777">
      <w:pPr>
        <w:jc w:val="both"/>
      </w:pPr>
      <w:r w:rsidRPr="00A2339C">
        <w:t xml:space="preserve">Disposición final. - La presente resolución entrará en vigencia a partir de su aprobación sin </w:t>
      </w:r>
      <w:r w:rsidRPr="00A2339C" w:rsidR="008A75E1">
        <w:t>perjuicio</w:t>
      </w:r>
      <w:r w:rsidRPr="00A2339C">
        <w:t xml:space="preserve"> de su publicación.</w:t>
      </w:r>
    </w:p>
    <w:p xmlns:wp14="http://schemas.microsoft.com/office/word/2010/wordml" w:rsidRPr="00A2339C" w:rsidR="00153004" w:rsidP="00A2339C" w:rsidRDefault="00153004" w14:paraId="3CF2D8B6" wp14:textId="77777777">
      <w:pPr>
        <w:jc w:val="both"/>
      </w:pPr>
    </w:p>
    <w:p xmlns:wp14="http://schemas.microsoft.com/office/word/2010/wordml" w:rsidRPr="00A2339C" w:rsidR="005231C5" w:rsidP="00A2339C" w:rsidRDefault="006E1433" w14:paraId="1D9F9795" wp14:textId="77777777">
      <w:pPr>
        <w:jc w:val="both"/>
      </w:pPr>
      <w:r w:rsidRPr="00A2339C">
        <w:t xml:space="preserve">Dada en el Distrito Metropolitano de Quito, a los </w:t>
      </w:r>
      <w:r w:rsidRPr="00A2339C" w:rsidR="008A75E1">
        <w:t xml:space="preserve">XX </w:t>
      </w:r>
      <w:r w:rsidRPr="00A2339C">
        <w:t xml:space="preserve">días del mes de </w:t>
      </w:r>
      <w:r w:rsidRPr="00A2339C" w:rsidR="008A75E1">
        <w:t>XXXXX</w:t>
      </w:r>
      <w:r w:rsidRPr="00A2339C">
        <w:t xml:space="preserve"> del año dos</w:t>
      </w:r>
      <w:r w:rsidRPr="00A2339C" w:rsidR="00C0104C">
        <w:t xml:space="preserve"> mil veinticuatro.</w:t>
      </w:r>
      <w:bookmarkStart w:name="_GoBack" w:id="0"/>
      <w:bookmarkEnd w:id="0"/>
    </w:p>
    <w:sectPr w:rsidRPr="00A2339C" w:rsidR="005231C5" w:rsidSect="00CA23AD">
      <w:pgSz w:w="11960" w:h="16720" w:orient="portrait"/>
      <w:pgMar w:top="1276" w:right="1701" w:bottom="1417" w:left="1701" w:header="0" w:footer="1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F20DA" w:rsidRDefault="00BF20DA" w14:paraId="0FB78278" wp14:textId="77777777">
      <w:r>
        <w:separator/>
      </w:r>
    </w:p>
  </w:endnote>
  <w:endnote w:type="continuationSeparator" w:id="0">
    <w:p xmlns:wp14="http://schemas.microsoft.com/office/word/2010/wordml" w:rsidR="00BF20DA" w:rsidRDefault="00BF20DA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F20DA" w:rsidRDefault="00BF20DA" w14:paraId="0562CB0E" wp14:textId="77777777">
      <w:r>
        <w:separator/>
      </w:r>
    </w:p>
  </w:footnote>
  <w:footnote w:type="continuationSeparator" w:id="0">
    <w:p xmlns:wp14="http://schemas.microsoft.com/office/word/2010/wordml" w:rsidR="00BF20DA" w:rsidRDefault="00BF20DA" w14:paraId="34CE0A41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C5"/>
    <w:rsid w:val="00153004"/>
    <w:rsid w:val="00322A3B"/>
    <w:rsid w:val="00366211"/>
    <w:rsid w:val="004268FB"/>
    <w:rsid w:val="005231C5"/>
    <w:rsid w:val="0054290E"/>
    <w:rsid w:val="00614095"/>
    <w:rsid w:val="006E1433"/>
    <w:rsid w:val="00744268"/>
    <w:rsid w:val="00744571"/>
    <w:rsid w:val="00877D8F"/>
    <w:rsid w:val="008A75E1"/>
    <w:rsid w:val="008E3661"/>
    <w:rsid w:val="009C2980"/>
    <w:rsid w:val="00A2339C"/>
    <w:rsid w:val="00A2730D"/>
    <w:rsid w:val="00BF20DA"/>
    <w:rsid w:val="00C0104C"/>
    <w:rsid w:val="00CA23AD"/>
    <w:rsid w:val="00DC2577"/>
    <w:rsid w:val="00DC2D9A"/>
    <w:rsid w:val="00DF1A8D"/>
    <w:rsid w:val="00E6138E"/>
    <w:rsid w:val="2C268236"/>
    <w:rsid w:val="76269668"/>
    <w:rsid w:val="7F0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E891"/>
  <w15:docId w15:val="{D4F4EE2A-2A49-4398-97E7-02F7121E73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Book Antiqua" w:hAnsi="Book Antiqua" w:eastAsia="Book Antiqua" w:cs="Book Antiqua"/>
      <w:lang w:val="es-ES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1217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339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2339C"/>
    <w:rPr>
      <w:rFonts w:ascii="Book Antiqua" w:hAnsi="Book Antiqua" w:eastAsia="Book Antiqua" w:cs="Book Antiqu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39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2339C"/>
    <w:rPr>
      <w:rFonts w:ascii="Book Antiqua" w:hAnsi="Book Antiqua" w:eastAsia="Book Antiqua" w:cs="Book Antiqua"/>
      <w:lang w:val="es-ES"/>
    </w:rPr>
  </w:style>
  <w:style w:type="character" w:styleId="nrmar" w:customStyle="1">
    <w:name w:val="nrmar"/>
    <w:basedOn w:val="Fuentedeprrafopredeter"/>
    <w:rsid w:val="0015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2481-FAFB-4E00-896A-37EAFC93F7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SECU</dc:creator>
  <lastModifiedBy>Maria Teresa Guerrero Bermeo</lastModifiedBy>
  <revision>5</revision>
  <dcterms:created xsi:type="dcterms:W3CDTF">2024-08-23T22:23:00.0000000Z</dcterms:created>
  <dcterms:modified xsi:type="dcterms:W3CDTF">2024-08-29T13:29:06.6914799Z</dcterms:modified>
</coreProperties>
</file>