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D" w:rsidRDefault="00192DED" w:rsidP="00192DED">
      <w:pPr>
        <w:rPr>
          <w:b/>
          <w:sz w:val="24"/>
        </w:rPr>
      </w:pPr>
      <w:bookmarkStart w:id="0" w:name="_GoBack"/>
      <w:bookmarkEnd w:id="0"/>
    </w:p>
    <w:p w:rsidR="00192DED" w:rsidRPr="00BF3EC5" w:rsidRDefault="00192DED" w:rsidP="00192DED">
      <w:pPr>
        <w:adjustRightInd w:val="0"/>
        <w:jc w:val="center"/>
        <w:rPr>
          <w:rFonts w:ascii="Palatino Linotype" w:hAnsi="Palatino Linotype"/>
          <w:b/>
        </w:rPr>
      </w:pPr>
      <w:r w:rsidRPr="00BF3EC5">
        <w:rPr>
          <w:rFonts w:ascii="Palatino Linotype" w:hAnsi="Palatino Linotype"/>
          <w:b/>
        </w:rPr>
        <w:t>EL CONCEJO METROPOLITANO DE QUITO</w:t>
      </w:r>
    </w:p>
    <w:p w:rsidR="00192DED" w:rsidRPr="00BF3EC5" w:rsidRDefault="00192DED" w:rsidP="00192DED">
      <w:pPr>
        <w:jc w:val="center"/>
        <w:rPr>
          <w:rFonts w:ascii="Palatino Linotype" w:hAnsi="Palatino Linotype"/>
          <w:b/>
        </w:rPr>
      </w:pPr>
      <w:r w:rsidRPr="00BF3EC5">
        <w:rPr>
          <w:rFonts w:ascii="Palatino Linotype" w:hAnsi="Palatino Linotype"/>
          <w:b/>
        </w:rPr>
        <w:t>EXPOSICIÓN DE MOTIVOS</w:t>
      </w:r>
    </w:p>
    <w:p w:rsidR="00192DED" w:rsidRDefault="00192DED" w:rsidP="00192DED">
      <w:pPr>
        <w:adjustRightInd w:val="0"/>
        <w:jc w:val="center"/>
        <w:rPr>
          <w:rFonts w:ascii="Palatino Linotype" w:hAnsi="Palatino Linotype"/>
          <w:b/>
        </w:rPr>
      </w:pPr>
      <w:r>
        <w:rPr>
          <w:rFonts w:ascii="Palatino Linotype" w:hAnsi="Palatino Linotype"/>
          <w:b/>
        </w:rPr>
        <w:t>(Incluir sustento de propuesta de ordenanza)</w:t>
      </w:r>
    </w:p>
    <w:p w:rsidR="00192DED" w:rsidRDefault="00192DED" w:rsidP="00192DED">
      <w:pPr>
        <w:rPr>
          <w:b/>
          <w:sz w:val="24"/>
        </w:rPr>
      </w:pPr>
    </w:p>
    <w:p w:rsidR="00192DED" w:rsidRDefault="00192DED" w:rsidP="00192DED">
      <w:pPr>
        <w:rPr>
          <w:b/>
          <w:sz w:val="24"/>
        </w:rPr>
      </w:pPr>
    </w:p>
    <w:p w:rsidR="00192DED" w:rsidRDefault="00192DED" w:rsidP="00192DED">
      <w:pPr>
        <w:pStyle w:val="Textoindependiente"/>
        <w:spacing w:before="143"/>
        <w:ind w:left="3643"/>
        <w:rPr>
          <w:rFonts w:ascii="Palatino Linotype" w:hAnsi="Palatino Linotype"/>
        </w:rPr>
      </w:pPr>
      <w:r>
        <w:rPr>
          <w:rFonts w:ascii="Palatino Linotype" w:hAnsi="Palatino Linotype"/>
        </w:rPr>
        <w:t>EXPOSICIÓN</w:t>
      </w:r>
      <w:r>
        <w:rPr>
          <w:rFonts w:ascii="Palatino Linotype" w:hAnsi="Palatino Linotype"/>
          <w:spacing w:val="11"/>
        </w:rPr>
        <w:t xml:space="preserve"> </w:t>
      </w:r>
      <w:r>
        <w:rPr>
          <w:rFonts w:ascii="Palatino Linotype" w:hAnsi="Palatino Linotype"/>
        </w:rPr>
        <w:t>DE</w:t>
      </w:r>
      <w:r>
        <w:rPr>
          <w:rFonts w:ascii="Palatino Linotype" w:hAnsi="Palatino Linotype"/>
          <w:spacing w:val="-5"/>
        </w:rPr>
        <w:t xml:space="preserve"> </w:t>
      </w:r>
      <w:r>
        <w:rPr>
          <w:rFonts w:ascii="Palatino Linotype" w:hAnsi="Palatino Linotype"/>
        </w:rPr>
        <w:t>MOTIVOS</w:t>
      </w:r>
    </w:p>
    <w:p w:rsidR="00192DED" w:rsidRDefault="00192DED" w:rsidP="00192DED">
      <w:pPr>
        <w:pStyle w:val="Textoindependiente"/>
        <w:spacing w:before="5"/>
        <w:ind w:left="851"/>
        <w:jc w:val="both"/>
        <w:rPr>
          <w:rFonts w:ascii="Palatino Linotype"/>
          <w:sz w:val="20"/>
        </w:rPr>
      </w:pPr>
    </w:p>
    <w:p w:rsidR="00192DED" w:rsidRPr="00962333" w:rsidRDefault="00192DED" w:rsidP="00192DED">
      <w:pPr>
        <w:spacing w:before="2" w:line="276" w:lineRule="auto"/>
        <w:ind w:left="851"/>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En cumplimiento a la Ordenanza Metropolitana No. 001, la Dirección de Gestión del Territorio de la Administración Zonal Calderón, ha realizado el análisis técnico respectivo, para regularización vial, por lo que se emite el informe técnico avalando las propuestas, cuyo criterio técnico y legal de cumplimiento son los siguientes:</w:t>
      </w:r>
    </w:p>
    <w:p w:rsidR="00192DED" w:rsidRPr="00962333" w:rsidRDefault="00192DED" w:rsidP="00192DED">
      <w:pPr>
        <w:spacing w:before="2" w:line="360" w:lineRule="auto"/>
        <w:ind w:left="851"/>
        <w:jc w:val="both"/>
        <w:rPr>
          <w:rFonts w:ascii="Palatino Linotype" w:eastAsiaTheme="minorHAnsi" w:hAnsi="Palatino Linotype" w:cstheme="minorBidi"/>
          <w:lang w:val="es-EC"/>
        </w:rPr>
      </w:pPr>
    </w:p>
    <w:p w:rsidR="00192DED" w:rsidRPr="00962333" w:rsidRDefault="00192DED" w:rsidP="00192DED">
      <w:pPr>
        <w:spacing w:before="2" w:line="276" w:lineRule="auto"/>
        <w:ind w:left="851"/>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 xml:space="preserve">Mediante Informe Técnico Nro. AZCA-UTV-010-2023 de 06 de septiembre de 2023, el Jefe de Territorio y Vivienda de la Dirección de Gestión de Territorio de la Administración Zonal Calderón concluye: </w:t>
      </w:r>
      <w:r w:rsidRPr="00962333">
        <w:rPr>
          <w:rFonts w:ascii="Palatino Linotype" w:eastAsiaTheme="minorHAnsi" w:hAnsi="Palatino Linotype" w:cstheme="minorBidi"/>
          <w:i/>
          <w:lang w:val="es-EC"/>
        </w:rPr>
        <w:t>“(…) En razón de los todos los informes recopilados y descritos en el presente documento, respetando los criterios tanto técnicos como sociales, La Unidad de Territorio y Vivienda de la Administración Zonal Calderón emite CRITERIO TÉCNICO FAVORABLE para la aprobación de la PROPUESTA DE REGULARIZACION DEL TRAZADO VIAL DE LA CALLE N15A (PROLONGACION DE LA CALLE PIO XII) – TRAMO A: Suelo Urbano, de la abscisa 0+00 a la abscisa 0+140; TRAMO B: Suelo Rural, de la abscisa 0+140 hasta la abscisa 0+981; TRAMO C: Suelo Urbano, desde la abscisa 0+981 hasta 2+554 (…)”.</w:t>
      </w:r>
    </w:p>
    <w:p w:rsidR="00192DED" w:rsidRPr="00962333" w:rsidRDefault="00192DED" w:rsidP="00192DED">
      <w:pPr>
        <w:spacing w:before="2" w:line="360" w:lineRule="auto"/>
        <w:ind w:left="851"/>
        <w:jc w:val="both"/>
        <w:rPr>
          <w:rFonts w:ascii="Palatino Linotype" w:eastAsiaTheme="minorHAnsi" w:hAnsi="Palatino Linotype" w:cstheme="minorBidi"/>
          <w:lang w:val="es-EC"/>
        </w:rPr>
      </w:pPr>
    </w:p>
    <w:p w:rsidR="00192DED" w:rsidRPr="00962333" w:rsidRDefault="00192DED" w:rsidP="00192DED">
      <w:pPr>
        <w:spacing w:before="2" w:line="276" w:lineRule="auto"/>
        <w:ind w:left="851"/>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 xml:space="preserve">Con Informe Legal contenido en el memorando Nro. GADDMQ-AZCA-DAJ-2023-0276-M de 07 de septiembre de 2023, la Directora de Asesoría Jurídica de la Administración Zonal Calderón, menciona: “ </w:t>
      </w:r>
      <w:r w:rsidRPr="00962333">
        <w:rPr>
          <w:rFonts w:ascii="Palatino Linotype" w:eastAsiaTheme="minorHAnsi" w:hAnsi="Palatino Linotype" w:cstheme="minorBidi"/>
          <w:i/>
          <w:lang w:val="es-EC"/>
        </w:rPr>
        <w:t>(…) emite criterio legal favorable, para que se continúe con el trámite de regularización del trazado vial de conformidad a lo señalado en el INFORME TÉCNICO No. AZCA-UTV-010-2023 de 06 de septiembre de 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p>
    <w:p w:rsidR="00192DED" w:rsidRDefault="00192DED" w:rsidP="00192DED">
      <w:pPr>
        <w:ind w:left="851"/>
        <w:rPr>
          <w:sz w:val="24"/>
        </w:rPr>
      </w:pPr>
    </w:p>
    <w:p w:rsidR="00192DED" w:rsidRDefault="00192DED" w:rsidP="00192DED">
      <w:pPr>
        <w:spacing w:before="1"/>
        <w:rPr>
          <w:sz w:val="28"/>
        </w:rPr>
      </w:pPr>
    </w:p>
    <w:p w:rsidR="00192DED" w:rsidRDefault="00192DED" w:rsidP="00192DED">
      <w:pPr>
        <w:pStyle w:val="Ttulo1"/>
        <w:rPr>
          <w:rFonts w:ascii="Palatino Linotype" w:hAnsi="Palatino Linotype"/>
          <w:sz w:val="22"/>
          <w:szCs w:val="22"/>
        </w:rPr>
      </w:pPr>
      <w:r w:rsidRPr="00392270">
        <w:rPr>
          <w:rFonts w:ascii="Palatino Linotype" w:hAnsi="Palatino Linotype"/>
          <w:sz w:val="22"/>
          <w:szCs w:val="22"/>
        </w:rPr>
        <w:t>CONSIDERANDO:</w:t>
      </w:r>
    </w:p>
    <w:p w:rsidR="00192DED" w:rsidRDefault="00192DED" w:rsidP="00192DED">
      <w:pPr>
        <w:pStyle w:val="Ttulo1"/>
        <w:rPr>
          <w:rFonts w:ascii="Palatino Linotype" w:hAnsi="Palatino Linotype"/>
          <w:sz w:val="22"/>
          <w:szCs w:val="22"/>
        </w:rPr>
      </w:pPr>
    </w:p>
    <w:p w:rsidR="00192DED" w:rsidRDefault="00192DED" w:rsidP="00192DED">
      <w:pPr>
        <w:spacing w:before="2"/>
        <w:rPr>
          <w:sz w:val="19"/>
        </w:rPr>
      </w:pPr>
    </w:p>
    <w:p w:rsidR="00192DED" w:rsidRDefault="00192DED" w:rsidP="00192DED">
      <w:pPr>
        <w:rPr>
          <w:sz w:val="19"/>
        </w:rPr>
        <w:sectPr w:rsidR="00192DED" w:rsidSect="00192DED">
          <w:headerReference w:type="default" r:id="rId6"/>
          <w:pgSz w:w="11910" w:h="16840"/>
          <w:pgMar w:top="280" w:right="1160" w:bottom="280" w:left="1120" w:header="720" w:footer="720" w:gutter="0"/>
          <w:cols w:space="720"/>
        </w:sectPr>
      </w:pPr>
    </w:p>
    <w:p w:rsidR="00192DED" w:rsidRPr="00F54B24"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lastRenderedPageBreak/>
        <w:t xml:space="preserve">Que, </w:t>
      </w:r>
      <w:r w:rsidRPr="00F54B24">
        <w:rPr>
          <w:rFonts w:ascii="Palatino Linotype" w:eastAsiaTheme="minorHAnsi" w:hAnsi="Palatino Linotype" w:cstheme="minorBidi"/>
          <w:lang w:val="es-EC"/>
        </w:rPr>
        <w:tab/>
        <w:t xml:space="preserve"> el artículo 240 de la Constitución de República del Ecuador, en adelante Constitución, establece: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192DED" w:rsidRPr="00F54B24"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t xml:space="preserve">Que, </w:t>
      </w:r>
      <w:r w:rsidRPr="00F54B24">
        <w:rPr>
          <w:rFonts w:ascii="Palatino Linotype" w:eastAsiaTheme="minorHAnsi" w:hAnsi="Palatino Linotype" w:cstheme="minorBidi"/>
          <w:lang w:val="es-EC"/>
        </w:rPr>
        <w:tab/>
        <w:t xml:space="preserve">el artículo 241 de la Constitución, determina: “La planificación garantizará el ordenamiento territorial y será obligatoria en todos los gobiernos autónomos descentralizados” </w:t>
      </w:r>
    </w:p>
    <w:p w:rsidR="00192DED" w:rsidRPr="00F54B24"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t xml:space="preserve">Que, </w:t>
      </w:r>
      <w:r w:rsidRPr="00F54B24">
        <w:rPr>
          <w:rFonts w:ascii="Palatino Linotype" w:eastAsiaTheme="minorHAnsi" w:hAnsi="Palatino Linotype" w:cstheme="minorBidi"/>
          <w:lang w:val="es-EC"/>
        </w:rPr>
        <w:tab/>
        <w:t>los numerales 1,2 y 3 del artículo 264 de la Constitución, determinan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rsidR="00192DED" w:rsidRPr="00F54B24"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t xml:space="preserve">Que, </w:t>
      </w:r>
      <w:r w:rsidRPr="00F54B24">
        <w:rPr>
          <w:rFonts w:ascii="Palatino Linotype" w:eastAsiaTheme="minorHAnsi" w:hAnsi="Palatino Linotype" w:cstheme="minorBidi"/>
          <w:lang w:val="es-EC"/>
        </w:rPr>
        <w:tab/>
        <w:t>el artículo 266 de la Constitución, determina: “Los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rsidR="00192DED" w:rsidRPr="00F54B24"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t xml:space="preserve">Que, </w:t>
      </w:r>
      <w:r w:rsidRPr="00F54B24">
        <w:rPr>
          <w:rFonts w:ascii="Palatino Linotype" w:eastAsiaTheme="minorHAnsi" w:hAnsi="Palatino Linotype" w:cstheme="minorBidi"/>
          <w:lang w:val="es-EC"/>
        </w:rPr>
        <w:tab/>
        <w:t>el artículo 85 del COOTAD, estableciendo las competencias exclusivas de los distritos metropolitanos, señala: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192DED"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F54B24">
        <w:rPr>
          <w:rFonts w:ascii="Palatino Linotype" w:eastAsiaTheme="minorHAnsi" w:hAnsi="Palatino Linotype" w:cstheme="minorBidi"/>
          <w:lang w:val="es-EC"/>
        </w:rPr>
        <w:t xml:space="preserve">Que, </w:t>
      </w:r>
      <w:r w:rsidRPr="00F54B24">
        <w:rPr>
          <w:rFonts w:ascii="Palatino Linotype" w:eastAsiaTheme="minorHAnsi" w:hAnsi="Palatino Linotype" w:cstheme="minorBidi"/>
          <w:lang w:val="es-EC"/>
        </w:rPr>
        <w:tab/>
        <w:t xml:space="preserve"> los literales a), d) y v) del artículo 87 del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192DED" w:rsidRPr="00962333" w:rsidRDefault="00192DED" w:rsidP="00192DED">
      <w:pPr>
        <w:widowControl/>
        <w:adjustRightInd w:val="0"/>
        <w:spacing w:after="200" w:line="276" w:lineRule="auto"/>
        <w:ind w:left="705" w:hanging="705"/>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lastRenderedPageBreak/>
        <w:t>Que</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 xml:space="preserve"> el quinto inciso del artículo 129 del Código Orgánico de Organización Territorial,</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 xml:space="preserve">dispone: </w:t>
      </w:r>
      <w:r w:rsidRPr="00962333">
        <w:rPr>
          <w:rFonts w:ascii="Palatino Linotype" w:eastAsiaTheme="minorHAnsi" w:hAnsi="Palatino Linotype" w:cstheme="minorBidi"/>
          <w:i/>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192DED" w:rsidRPr="00962333" w:rsidRDefault="00192DED" w:rsidP="00192DED">
      <w:pPr>
        <w:widowControl/>
        <w:adjustRightInd w:val="0"/>
        <w:spacing w:after="200" w:line="276" w:lineRule="auto"/>
        <w:ind w:left="705" w:hanging="705"/>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el numeral 1 del artículo 2191 del Código Municipal pa</w:t>
      </w:r>
      <w:r>
        <w:rPr>
          <w:rFonts w:ascii="Palatino Linotype" w:eastAsiaTheme="minorHAnsi" w:hAnsi="Palatino Linotype" w:cstheme="minorBidi"/>
          <w:lang w:val="es-EC"/>
        </w:rPr>
        <w:t xml:space="preserve">ra el Distrito Metropolitano de </w:t>
      </w:r>
      <w:r w:rsidRPr="00962333">
        <w:rPr>
          <w:rFonts w:ascii="Palatino Linotype" w:eastAsiaTheme="minorHAnsi" w:hAnsi="Palatino Linotype" w:cstheme="minorBidi"/>
          <w:lang w:val="es-EC"/>
        </w:rPr>
        <w:t xml:space="preserve">Quito, vigente al momento de la solicitud, señala que: </w:t>
      </w:r>
      <w:r w:rsidRPr="00962333">
        <w:rPr>
          <w:rFonts w:ascii="Palatino Linotype" w:eastAsiaTheme="minorHAnsi" w:hAnsi="Palatino Linotype" w:cstheme="minorBidi"/>
          <w:i/>
          <w:lang w:val="es-EC"/>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 ";</w:t>
      </w:r>
    </w:p>
    <w:p w:rsidR="00192DED" w:rsidRPr="00962333" w:rsidRDefault="00192DED" w:rsidP="00192DED">
      <w:pPr>
        <w:widowControl/>
        <w:adjustRightInd w:val="0"/>
        <w:spacing w:after="200" w:line="276" w:lineRule="auto"/>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 xml:space="preserve">el numeral 5 de la norma ibídem, vigente al momento de la solicitud, señala que: </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t>"</w:t>
      </w:r>
      <w:r w:rsidRPr="00962333">
        <w:rPr>
          <w:rFonts w:ascii="Palatino Linotype" w:eastAsiaTheme="minorHAnsi" w:hAnsi="Palatino Linotype" w:cstheme="minorBidi"/>
          <w:i/>
          <w:lang w:val="es-EC"/>
        </w:rPr>
        <w:t xml:space="preserve">Las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administraciones zonales diseñarán, en su jurisdicción respectiva, todas las vías</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locales, peatonales,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escalinatas</w:t>
      </w:r>
      <w:r w:rsidRPr="00962333">
        <w:rPr>
          <w:rFonts w:ascii="Palatino Linotype" w:eastAsiaTheme="minorHAnsi" w:hAnsi="Palatino Linotype" w:cstheme="minorBidi"/>
          <w:lang w:val="es-EC"/>
        </w:rPr>
        <w:t xml:space="preserve"> </w:t>
      </w:r>
      <w:r w:rsidRPr="00962333">
        <w:rPr>
          <w:rFonts w:ascii="Palatino Linotype" w:eastAsiaTheme="minorHAnsi" w:hAnsi="Palatino Linotype" w:cstheme="minorBidi"/>
          <w:i/>
          <w:lang w:val="es-EC"/>
        </w:rPr>
        <w:t xml:space="preserve">(...) Este diseño será realizado por las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administraciones zonales, validado por la secretaría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responsable del territorio,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hábitat y vivienda y enviado para conocimiento de la Comisión competente </w:t>
      </w:r>
      <w:r>
        <w:rPr>
          <w:rFonts w:ascii="Palatino Linotype" w:eastAsiaTheme="minorHAnsi" w:hAnsi="Palatino Linotype" w:cstheme="minorBidi"/>
          <w:i/>
          <w:lang w:val="es-EC"/>
        </w:rPr>
        <w:t xml:space="preserve">en   </w:t>
      </w:r>
      <w:r w:rsidRPr="00962333">
        <w:rPr>
          <w:rFonts w:ascii="Palatino Linotype" w:eastAsiaTheme="minorHAnsi" w:hAnsi="Palatino Linotype" w:cstheme="minorBidi"/>
          <w:i/>
          <w:lang w:val="es-EC"/>
        </w:rPr>
        <w:t xml:space="preserve">materia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de uso de suelo, previa la aprobación del Concejo Metropolitano ";</w:t>
      </w:r>
    </w:p>
    <w:p w:rsidR="00192DED" w:rsidRPr="00962333" w:rsidRDefault="00192DED" w:rsidP="00192DED">
      <w:pPr>
        <w:widowControl/>
        <w:adjustRightInd w:val="0"/>
        <w:spacing w:after="200" w:line="276" w:lineRule="auto"/>
        <w:ind w:left="705" w:hanging="705"/>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el artículo 2192 del Código Municipal, vigente al mome</w:t>
      </w:r>
      <w:r>
        <w:rPr>
          <w:rFonts w:ascii="Palatino Linotype" w:eastAsiaTheme="minorHAnsi" w:hAnsi="Palatino Linotype" w:cstheme="minorBidi"/>
          <w:lang w:val="es-EC"/>
        </w:rPr>
        <w:t xml:space="preserve">nto de la solicitud, determina: </w:t>
      </w:r>
      <w:r w:rsidRPr="00962333">
        <w:rPr>
          <w:rFonts w:ascii="Palatino Linotype" w:eastAsiaTheme="minorHAnsi" w:hAnsi="Palatino Linotype" w:cstheme="minorBidi"/>
          <w:i/>
          <w:lang w:val="es-EC"/>
        </w:rPr>
        <w:t>"Las vías en función del sistema al que pertenecen y sus características, están constituidas por los</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i/>
          <w:lang w:val="es-EC"/>
        </w:rPr>
        <w:t>siguientes elementos: calzadas y carriles, aceras, parterres, vegetación y elementos adicionales,</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i/>
          <w:lang w:val="es-EC"/>
        </w:rPr>
        <w:t>curvas o elementos que faciliten el retorno, derechos de vía, áreas de protección especial,</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i/>
          <w:lang w:val="es-EC"/>
        </w:rPr>
        <w:t>facilidades de tránsito y cruces peatonales. Las especificaciones de estos elementos se encuentran</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i/>
          <w:lang w:val="es-EC"/>
        </w:rPr>
        <w:t>previstas en las Reglas Técnicas de Arquitectura y Urbanismo";</w:t>
      </w:r>
    </w:p>
    <w:p w:rsidR="00192DED" w:rsidRDefault="00192DED" w:rsidP="00192DED">
      <w:pPr>
        <w:widowControl/>
        <w:adjustRightInd w:val="0"/>
        <w:spacing w:after="200" w:line="276" w:lineRule="auto"/>
        <w:ind w:left="705" w:hanging="705"/>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la Disposición Reformatoria décima segunda de la Or</w:t>
      </w:r>
      <w:r>
        <w:rPr>
          <w:rFonts w:ascii="Palatino Linotype" w:eastAsiaTheme="minorHAnsi" w:hAnsi="Palatino Linotype" w:cstheme="minorBidi"/>
          <w:lang w:val="es-EC"/>
        </w:rPr>
        <w:t xml:space="preserve">denanza Metropolitana Nro. 044- </w:t>
      </w:r>
      <w:r w:rsidRPr="00962333">
        <w:rPr>
          <w:rFonts w:ascii="Palatino Linotype" w:eastAsiaTheme="minorHAnsi" w:hAnsi="Palatino Linotype" w:cstheme="minorBidi"/>
          <w:lang w:val="es-EC"/>
        </w:rPr>
        <w:t xml:space="preserve">2022, señala: </w:t>
      </w:r>
      <w:r w:rsidRPr="00962333">
        <w:rPr>
          <w:rFonts w:ascii="Palatino Linotype" w:eastAsiaTheme="minorHAnsi" w:hAnsi="Palatino Linotype" w:cstheme="minorBidi"/>
          <w:i/>
          <w:lang w:val="es-EC"/>
        </w:rPr>
        <w:t xml:space="preserve">"Sustitúyase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w:t>
      </w:r>
      <w:r w:rsidRPr="00962333">
        <w:rPr>
          <w:rFonts w:ascii="Palatino Linotype" w:eastAsiaTheme="minorHAnsi" w:hAnsi="Palatino Linotype" w:cstheme="minorBidi"/>
          <w:i/>
          <w:lang w:val="es-EC"/>
        </w:rPr>
        <w:lastRenderedPageBreak/>
        <w:t>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 xml:space="preserve">para intervenciones constructivas mayores a 10.000 metros cuadrados de construcción, emitidos por la Secretaría de Territorio, </w:t>
      </w:r>
      <w:proofErr w:type="spellStart"/>
      <w:r w:rsidRPr="00962333">
        <w:rPr>
          <w:rFonts w:ascii="Palatino Linotype" w:eastAsiaTheme="minorHAnsi" w:hAnsi="Palatino Linotype" w:cstheme="minorBidi"/>
          <w:i/>
          <w:lang w:val="es-EC"/>
        </w:rPr>
        <w:t>Habitat</w:t>
      </w:r>
      <w:proofErr w:type="spellEnd"/>
      <w:r w:rsidRPr="00962333">
        <w:rPr>
          <w:rFonts w:ascii="Palatino Linotype" w:eastAsiaTheme="minorHAnsi" w:hAnsi="Palatino Linotype" w:cstheme="minorBidi"/>
          <w:i/>
          <w:lang w:val="es-EC"/>
        </w:rPr>
        <w:t xml:space="preserve"> y Vivienda, informe que es conducente para el inicio de los procesos de verificación de cumplimiento de normas administrativas y reglas técnicas en una de las entidades colaboradores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Secretaria de Territorio, </w:t>
      </w:r>
      <w:proofErr w:type="spellStart"/>
      <w:r w:rsidRPr="00962333">
        <w:rPr>
          <w:rFonts w:ascii="Palatino Linotype" w:eastAsiaTheme="minorHAnsi" w:hAnsi="Palatino Linotype" w:cstheme="minorBidi"/>
          <w:i/>
          <w:lang w:val="es-EC"/>
        </w:rPr>
        <w:t>Habitat</w:t>
      </w:r>
      <w:proofErr w:type="spellEnd"/>
      <w:r w:rsidRPr="00962333">
        <w:rPr>
          <w:rFonts w:ascii="Palatino Linotype" w:eastAsiaTheme="minorHAnsi" w:hAnsi="Palatino Linotype" w:cstheme="minorBidi"/>
          <w:i/>
          <w:lang w:val="es-EC"/>
        </w:rPr>
        <w:t xml:space="preserve">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Secretaria de Movilidad, informe que es conducente para la obtención de la LMU correspondiente. Podrán acogerse quienes hayan iniciado el proceso y se les haya asignado un número de trámite y presentado todos los requisitos en la Secretaría de Territorio, </w:t>
      </w:r>
      <w:proofErr w:type="spellStart"/>
      <w:r w:rsidRPr="00962333">
        <w:rPr>
          <w:rFonts w:ascii="Palatino Linotype" w:eastAsiaTheme="minorHAnsi" w:hAnsi="Palatino Linotype" w:cstheme="minorBidi"/>
          <w:i/>
          <w:lang w:val="es-EC"/>
        </w:rPr>
        <w:t>Habitat</w:t>
      </w:r>
      <w:proofErr w:type="spellEnd"/>
      <w:r w:rsidRPr="00962333">
        <w:rPr>
          <w:rFonts w:ascii="Palatino Linotype" w:eastAsiaTheme="minorHAnsi" w:hAnsi="Palatino Linotype" w:cstheme="minorBidi"/>
          <w:i/>
          <w:lang w:val="es-EC"/>
        </w:rPr>
        <w:t xml:space="preserve"> y Vivienda, para el cálculo de número de unidad de vivienda por lote mínimo, ingresado antes de la entrada en vigencia del Plan de Uso y Gestión del Suelo, cuya resolución es conducente para la obtención de la LMLU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w:t>
      </w:r>
      <w:r w:rsidRPr="00962333">
        <w:rPr>
          <w:rFonts w:ascii="Palatino Linotype" w:eastAsiaTheme="minorHAnsi" w:hAnsi="Palatino Linotype" w:cstheme="minorBidi"/>
          <w:i/>
          <w:lang w:val="es-EC"/>
        </w:rPr>
        <w:lastRenderedPageBreak/>
        <w:t>observaciones se les otorgará el tiempo establecido por la ley para que estas sean subsanados, y en caso de que los administrados no las subsanen dentro de este tiempo, el trámite será archivado y no podrá acogerse a lo señalado en la presente disposición.”;</w:t>
      </w:r>
    </w:p>
    <w:p w:rsidR="00192DED" w:rsidRDefault="00192DED" w:rsidP="00192DED">
      <w:pPr>
        <w:widowControl/>
        <w:adjustRightInd w:val="0"/>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Que</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 xml:space="preserve">con Resolución Nro. 062-CUS-2022, de 21 de septiembre del 2022, la Comisión de </w:t>
      </w:r>
    </w:p>
    <w:p w:rsidR="00192DED" w:rsidRPr="00962333" w:rsidRDefault="00192DED" w:rsidP="00192DED">
      <w:pPr>
        <w:widowControl/>
        <w:adjustRightInd w:val="0"/>
        <w:ind w:left="705"/>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t>Us</w:t>
      </w:r>
      <w:r>
        <w:rPr>
          <w:rFonts w:ascii="Palatino Linotype" w:eastAsiaTheme="minorHAnsi" w:hAnsi="Palatino Linotype" w:cstheme="minorBidi"/>
          <w:lang w:val="es-EC"/>
        </w:rPr>
        <w:t>o d</w:t>
      </w:r>
      <w:r w:rsidRPr="00962333">
        <w:rPr>
          <w:rFonts w:ascii="Palatino Linotype" w:eastAsiaTheme="minorHAnsi" w:hAnsi="Palatino Linotype" w:cstheme="minorBidi"/>
          <w:lang w:val="es-EC"/>
        </w:rPr>
        <w:t>e</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 xml:space="preserve">Suelo en sesión extraordinaria Nro. 166, manifiesta: </w:t>
      </w:r>
      <w:r w:rsidRPr="00962333">
        <w:rPr>
          <w:rFonts w:ascii="Palatino Linotype" w:eastAsiaTheme="minorHAnsi" w:hAnsi="Palatino Linotype" w:cstheme="minorBidi"/>
          <w:i/>
          <w:lang w:val="es-EC"/>
        </w:rPr>
        <w:t xml:space="preserve">“(...) La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C</w:t>
      </w:r>
      <w:r>
        <w:rPr>
          <w:rFonts w:ascii="Palatino Linotype" w:eastAsiaTheme="minorHAnsi" w:hAnsi="Palatino Linotype" w:cstheme="minorBidi"/>
          <w:i/>
          <w:lang w:val="es-EC"/>
        </w:rPr>
        <w:t>o</w:t>
      </w:r>
      <w:r w:rsidRPr="00962333">
        <w:rPr>
          <w:rFonts w:ascii="Palatino Linotype" w:eastAsiaTheme="minorHAnsi" w:hAnsi="Palatino Linotype" w:cstheme="minorBidi"/>
          <w:i/>
          <w:lang w:val="es-EC"/>
        </w:rPr>
        <w:t>misión de Uso de Suelo en</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sesión extraordinaria Nro. 166 de 21 de sep</w:t>
      </w:r>
      <w:r>
        <w:rPr>
          <w:rFonts w:ascii="Palatino Linotype" w:eastAsiaTheme="minorHAnsi" w:hAnsi="Palatino Linotype" w:cstheme="minorBidi"/>
          <w:i/>
          <w:lang w:val="es-EC"/>
        </w:rPr>
        <w:t>tiemb</w:t>
      </w:r>
      <w:r w:rsidRPr="00962333">
        <w:rPr>
          <w:rFonts w:ascii="Palatino Linotype" w:eastAsiaTheme="minorHAnsi" w:hAnsi="Palatino Linotype" w:cstheme="minorBidi"/>
          <w:i/>
          <w:lang w:val="es-EC"/>
        </w:rPr>
        <w:t xml:space="preserve">re de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2022, durante el tratamiento del tercer punto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del orden del día sobre el “Conocimiento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del informe y criterio legal emitido por la Procuraduría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Metropolitana, respecto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de la metodología y el instrumento correspondiente, para la aprobación de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regularizaciones viales”, determinó los siguientes casos de trazados viales: Primer</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caso:</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Trazados</w:t>
      </w:r>
      <w:r>
        <w:rPr>
          <w:rFonts w:ascii="Book Antiqua" w:eastAsiaTheme="minorHAnsi" w:hAnsi="Book Antiqua" w:cs="Book Antiqua"/>
          <w:i/>
          <w:iCs/>
          <w:sz w:val="20"/>
          <w:szCs w:val="20"/>
          <w:lang w:val="es-EC"/>
        </w:rPr>
        <w:t xml:space="preserve">  </w:t>
      </w:r>
      <w:r>
        <w:rPr>
          <w:rFonts w:ascii="Book Antiqua" w:eastAsiaTheme="minorHAnsi" w:hAnsi="Book Antiqua" w:cs="Book Antiqua"/>
          <w:i/>
          <w:iCs/>
          <w:sz w:val="20"/>
          <w:szCs w:val="20"/>
          <w:lang w:val="es-EC"/>
        </w:rPr>
        <w:tab/>
      </w:r>
      <w:r w:rsidRPr="00962333">
        <w:rPr>
          <w:rFonts w:ascii="Palatino Linotype" w:eastAsiaTheme="minorHAnsi" w:hAnsi="Palatino Linotype" w:cstheme="minorBidi"/>
          <w:i/>
          <w:lang w:val="es-EC"/>
        </w:rPr>
        <w:t>viales que cumplen las Normas de Arquitectura y Urbanismo. Segundo caso:</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 xml:space="preserve">Trazados viales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modificatorios donde la modificación no entraña violación a las Norm</w:t>
      </w:r>
      <w:r>
        <w:rPr>
          <w:rFonts w:ascii="Palatino Linotype" w:eastAsiaTheme="minorHAnsi" w:hAnsi="Palatino Linotype" w:cstheme="minorBidi"/>
          <w:i/>
          <w:lang w:val="es-EC"/>
        </w:rPr>
        <w:t xml:space="preserve">as de </w:t>
      </w:r>
      <w:r w:rsidRPr="00962333">
        <w:rPr>
          <w:rFonts w:ascii="Palatino Linotype" w:eastAsiaTheme="minorHAnsi" w:hAnsi="Palatino Linotype" w:cstheme="minorBidi"/>
          <w:i/>
          <w:lang w:val="es-EC"/>
        </w:rPr>
        <w:t xml:space="preserve">Arquitectura y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Urbanismo. Tercer caso: Trazados viales que entrañan modificación a las Normas</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 xml:space="preserve">de Arquitectura y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Urbanismo; y, resolvió: que para los 3 casos espe</w:t>
      </w:r>
      <w:r>
        <w:rPr>
          <w:rFonts w:ascii="Palatino Linotype" w:eastAsiaTheme="minorHAnsi" w:hAnsi="Palatino Linotype" w:cstheme="minorBidi"/>
          <w:i/>
          <w:lang w:val="es-EC"/>
        </w:rPr>
        <w:t xml:space="preserve">cíficos de aprobaciones de vías </w:t>
      </w:r>
      <w:r w:rsidRPr="00962333">
        <w:rPr>
          <w:rFonts w:ascii="Palatino Linotype" w:eastAsiaTheme="minorHAnsi" w:hAnsi="Palatino Linotype" w:cstheme="minorBidi"/>
          <w:i/>
          <w:lang w:val="es-EC"/>
        </w:rPr>
        <w:t xml:space="preserve">se proceda de la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siguiente manera: Los dos primeros casos</w:t>
      </w:r>
      <w:r>
        <w:rPr>
          <w:rFonts w:ascii="Palatino Linotype" w:eastAsiaTheme="minorHAnsi" w:hAnsi="Palatino Linotype" w:cstheme="minorBidi"/>
          <w:i/>
          <w:lang w:val="es-EC"/>
        </w:rPr>
        <w:t xml:space="preserve">, que cumplen los parámetros </w:t>
      </w:r>
      <w:r w:rsidRPr="00962333">
        <w:rPr>
          <w:rFonts w:ascii="Palatino Linotype" w:eastAsiaTheme="minorHAnsi" w:hAnsi="Palatino Linotype" w:cstheme="minorBidi"/>
          <w:i/>
          <w:lang w:val="es-EC"/>
        </w:rPr>
        <w:t xml:space="preserve">establecidos en las Normas de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Arquitectura y Urbanismo, se aprob</w:t>
      </w:r>
      <w:r>
        <w:rPr>
          <w:rFonts w:ascii="Palatino Linotype" w:eastAsiaTheme="minorHAnsi" w:hAnsi="Palatino Linotype" w:cstheme="minorBidi"/>
          <w:i/>
          <w:lang w:val="es-EC"/>
        </w:rPr>
        <w:t xml:space="preserve">arán a través de resolución; Y, </w:t>
      </w:r>
      <w:r w:rsidRPr="00962333">
        <w:rPr>
          <w:rFonts w:ascii="Palatino Linotype" w:eastAsiaTheme="minorHAnsi" w:hAnsi="Palatino Linotype" w:cstheme="minorBidi"/>
          <w:i/>
          <w:lang w:val="es-EC"/>
        </w:rPr>
        <w:t xml:space="preserve">los casos que no se sujetan a las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Normas de Arquitectura y Urbanismo, que constituyan casos de</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reg</w:t>
      </w:r>
      <w:r>
        <w:rPr>
          <w:rFonts w:ascii="Palatino Linotype" w:eastAsiaTheme="minorHAnsi" w:hAnsi="Palatino Linotype" w:cstheme="minorBidi"/>
          <w:i/>
          <w:lang w:val="es-EC"/>
        </w:rPr>
        <w:t xml:space="preserve">ularización </w:t>
      </w:r>
      <w:r w:rsidRPr="00962333">
        <w:rPr>
          <w:rFonts w:ascii="Palatino Linotype" w:eastAsiaTheme="minorHAnsi" w:hAnsi="Palatino Linotype" w:cstheme="minorBidi"/>
          <w:i/>
          <w:lang w:val="es-EC"/>
        </w:rPr>
        <w:t xml:space="preserve"> vial, se aprobarán 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través </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de ordenanza";</w:t>
      </w:r>
    </w:p>
    <w:p w:rsidR="00192DED" w:rsidRPr="00962333" w:rsidRDefault="00192DED" w:rsidP="00192DED">
      <w:pPr>
        <w:spacing w:before="4"/>
        <w:rPr>
          <w:i/>
        </w:rPr>
      </w:pPr>
    </w:p>
    <w:p w:rsidR="00192DED" w:rsidRDefault="00192DED" w:rsidP="00192DED">
      <w:pPr>
        <w:spacing w:before="100"/>
        <w:ind w:left="705" w:hanging="705"/>
        <w:jc w:val="both"/>
        <w:rPr>
          <w:rFonts w:ascii="Palatino Linotype" w:eastAsiaTheme="minorHAnsi" w:hAnsi="Palatino Linotype" w:cstheme="minorBidi"/>
          <w:i/>
          <w:lang w:val="es-EC"/>
        </w:rPr>
      </w:pPr>
      <w:r w:rsidRPr="00962333">
        <w:rPr>
          <w:rFonts w:ascii="Palatino Linotype" w:eastAsiaTheme="minorHAnsi" w:hAnsi="Palatino Linotype" w:cstheme="minorBidi"/>
          <w:lang w:val="es-EC"/>
        </w:rPr>
        <w:t>Que</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t>me</w:t>
      </w:r>
      <w:r w:rsidRPr="00962333">
        <w:rPr>
          <w:rFonts w:ascii="Palatino Linotype" w:eastAsiaTheme="minorHAnsi" w:hAnsi="Palatino Linotype" w:cstheme="minorBidi"/>
          <w:lang w:val="es-EC"/>
        </w:rPr>
        <w:t xml:space="preserve">diante Informe Técnico Nro. AZCA-UTV-010-2023 de 06 de septiembre de </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2023, el Jefe </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de Territorio y Vivienda de la Dirección de Gestión de Territorio </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de la Administración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Zonal Calderón concluye: </w:t>
      </w:r>
      <w:r w:rsidRPr="00962333">
        <w:rPr>
          <w:rFonts w:ascii="Palatino Linotype" w:eastAsiaTheme="minorHAnsi" w:hAnsi="Palatino Linotype" w:cstheme="minorBidi"/>
          <w:i/>
          <w:lang w:val="es-EC"/>
        </w:rPr>
        <w:t xml:space="preserve">“(…) En razón de los todos los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informes recopilados y descritos en el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presente doc</w:t>
      </w:r>
      <w:r>
        <w:rPr>
          <w:rFonts w:ascii="Palatino Linotype" w:eastAsiaTheme="minorHAnsi" w:hAnsi="Palatino Linotype" w:cstheme="minorBidi"/>
          <w:i/>
          <w:lang w:val="es-EC"/>
        </w:rPr>
        <w:t xml:space="preserve">umento, respetando los criterio </w:t>
      </w:r>
      <w:r w:rsidRPr="00962333">
        <w:rPr>
          <w:rFonts w:ascii="Palatino Linotype" w:eastAsiaTheme="minorHAnsi" w:hAnsi="Palatino Linotype" w:cstheme="minorBidi"/>
          <w:i/>
          <w:lang w:val="es-EC"/>
        </w:rPr>
        <w:t xml:space="preserve">tanto técnicos como sociales, La Unidad de Territorio y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Vivienda de la Administración Zonal</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i/>
          <w:lang w:val="es-EC"/>
        </w:rPr>
        <w:t xml:space="preserve"> Calderón emite CRITERIO TÉCNICO FAVORABLE para la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aprobación de la PROPUESTA DE REGULARIZACION DEL TRAZADO VIAL DE LA CALLE</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 N15A (PROLONGACION DE LA CALLE PIO XII) – TRAMO A: Suelo Urbano, de la abscisa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0+00 a la abscisa 0+140; TRAMO B: Suelo Rural, de la abscis</w:t>
      </w:r>
      <w:r>
        <w:rPr>
          <w:rFonts w:ascii="Palatino Linotype" w:eastAsiaTheme="minorHAnsi" w:hAnsi="Palatino Linotype" w:cstheme="minorBidi"/>
          <w:i/>
          <w:lang w:val="es-EC"/>
        </w:rPr>
        <w:t xml:space="preserve">a 0+140 hasta la abscisa 0+981;  </w:t>
      </w:r>
      <w:r>
        <w:rPr>
          <w:rFonts w:ascii="Palatino Linotype" w:eastAsiaTheme="minorHAnsi" w:hAnsi="Palatino Linotype" w:cstheme="minorBidi"/>
          <w:i/>
          <w:lang w:val="es-EC"/>
        </w:rPr>
        <w:tab/>
        <w:t xml:space="preserve">TRAMO </w:t>
      </w:r>
      <w:r w:rsidRPr="00962333">
        <w:rPr>
          <w:rFonts w:ascii="Palatino Linotype" w:eastAsiaTheme="minorHAnsi" w:hAnsi="Palatino Linotype" w:cstheme="minorBidi"/>
          <w:i/>
          <w:lang w:val="es-EC"/>
        </w:rPr>
        <w:t xml:space="preserve"> C: Suelo Urbano, desde la abscisa 0+981 hasta 2+554 (…)”.</w:t>
      </w:r>
    </w:p>
    <w:p w:rsidR="00192DED" w:rsidRDefault="00192DED" w:rsidP="00192DED">
      <w:pPr>
        <w:spacing w:before="2" w:line="276" w:lineRule="auto"/>
        <w:jc w:val="both"/>
        <w:rPr>
          <w:rFonts w:ascii="Palatino Linotype" w:eastAsiaTheme="minorHAnsi" w:hAnsi="Palatino Linotype" w:cstheme="minorBidi"/>
          <w:i/>
          <w:lang w:val="es-EC"/>
        </w:rPr>
      </w:pPr>
    </w:p>
    <w:p w:rsidR="00192DED" w:rsidRPr="00962333" w:rsidRDefault="00192DED" w:rsidP="00192DED">
      <w:pPr>
        <w:spacing w:before="2" w:line="276" w:lineRule="auto"/>
        <w:jc w:val="both"/>
        <w:rPr>
          <w:rFonts w:ascii="Palatino Linotype" w:eastAsiaTheme="minorHAnsi" w:hAnsi="Palatino Linotype" w:cstheme="minorBidi"/>
          <w:lang w:val="es-EC"/>
        </w:rPr>
      </w:pPr>
      <w:r w:rsidRPr="00962333">
        <w:rPr>
          <w:rFonts w:ascii="Palatino Linotype" w:eastAsiaTheme="minorHAnsi" w:hAnsi="Palatino Linotype" w:cstheme="minorBidi"/>
          <w:lang w:val="es-EC"/>
        </w:rPr>
        <w:t>Que</w:t>
      </w:r>
      <w:r w:rsidRPr="00962333">
        <w:rPr>
          <w:rFonts w:ascii="Palatino Linotype" w:eastAsiaTheme="minorHAnsi" w:hAnsi="Palatino Linotype" w:cstheme="minorBidi"/>
          <w:b/>
          <w:i/>
          <w:lang w:val="es-EC"/>
        </w:rPr>
        <w:t xml:space="preserve"> </w:t>
      </w:r>
      <w:r>
        <w:rPr>
          <w:rFonts w:ascii="Palatino Linotype" w:eastAsiaTheme="minorHAnsi" w:hAnsi="Palatino Linotype" w:cstheme="minorBidi"/>
          <w:i/>
          <w:lang w:val="es-EC"/>
        </w:rPr>
        <w:t xml:space="preserve">    </w:t>
      </w:r>
      <w:r w:rsidRPr="00962333">
        <w:rPr>
          <w:rFonts w:ascii="Palatino Linotype" w:eastAsiaTheme="minorHAnsi" w:hAnsi="Palatino Linotype" w:cstheme="minorBidi"/>
          <w:lang w:val="es-EC"/>
        </w:rPr>
        <w:t>Con Informe Legal contenido en el memorando Nro. GADDMQ-AZCA-DAJ-</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2023-0276-M de 07 de septiembre de 2023, la Directora de Asesoría Jurídica de la </w:t>
      </w:r>
      <w:r>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t xml:space="preserve">Administración Zonal  </w:t>
      </w:r>
      <w:r w:rsidRPr="00962333">
        <w:rPr>
          <w:rFonts w:ascii="Palatino Linotype" w:eastAsiaTheme="minorHAnsi" w:hAnsi="Palatino Linotype" w:cstheme="minorBidi"/>
          <w:lang w:val="es-EC"/>
        </w:rPr>
        <w:t xml:space="preserve">Calderón, menciona: “ </w:t>
      </w:r>
      <w:r w:rsidRPr="00962333">
        <w:rPr>
          <w:rFonts w:ascii="Palatino Linotype" w:eastAsiaTheme="minorHAnsi" w:hAnsi="Palatino Linotype" w:cstheme="minorBidi"/>
          <w:i/>
          <w:lang w:val="es-EC"/>
        </w:rPr>
        <w:t xml:space="preserve">(…) emite criterio legal favorable, para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que se continúe con el trámite de regularización del trazado vial de conformidad a lo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señalado en el INFORME TÉCNICO No. AZCA-UTV</w:t>
      </w:r>
      <w:r>
        <w:rPr>
          <w:rFonts w:ascii="Palatino Linotype" w:eastAsiaTheme="minorHAnsi" w:hAnsi="Palatino Linotype" w:cstheme="minorBidi"/>
          <w:i/>
          <w:lang w:val="es-EC"/>
        </w:rPr>
        <w:t xml:space="preserve">-010-2023 de 06 de septiembre de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2023, ante el Concejo Metropolitano, siempre y cuando se ver</w:t>
      </w:r>
      <w:r>
        <w:rPr>
          <w:rFonts w:ascii="Palatino Linotype" w:eastAsiaTheme="minorHAnsi" w:hAnsi="Palatino Linotype" w:cstheme="minorBidi"/>
          <w:i/>
          <w:lang w:val="es-EC"/>
        </w:rPr>
        <w:t xml:space="preserve">ifique que, la afectación a la </w:t>
      </w:r>
      <w:r>
        <w:rPr>
          <w:rFonts w:ascii="Palatino Linotype" w:eastAsiaTheme="minorHAnsi" w:hAnsi="Palatino Linotype" w:cstheme="minorBidi"/>
          <w:i/>
          <w:lang w:val="es-EC"/>
        </w:rPr>
        <w:tab/>
        <w:t xml:space="preserve"> </w:t>
      </w:r>
      <w:r w:rsidRPr="00962333">
        <w:rPr>
          <w:rFonts w:ascii="Palatino Linotype" w:eastAsiaTheme="minorHAnsi" w:hAnsi="Palatino Linotype" w:cstheme="minorBidi"/>
          <w:i/>
          <w:lang w:val="es-EC"/>
        </w:rPr>
        <w:t>propiedad privada que se pretende realizar con es</w:t>
      </w:r>
      <w:r>
        <w:rPr>
          <w:rFonts w:ascii="Palatino Linotype" w:eastAsiaTheme="minorHAnsi" w:hAnsi="Palatino Linotype" w:cstheme="minorBidi"/>
          <w:i/>
          <w:lang w:val="es-EC"/>
        </w:rPr>
        <w:t xml:space="preserve">te trazado vial, sea garantizada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 xml:space="preserve">conforme lo determina la Constitución, tratados internacionales y la normativa nacional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r>
      <w:r w:rsidRPr="00962333">
        <w:rPr>
          <w:rFonts w:ascii="Palatino Linotype" w:eastAsiaTheme="minorHAnsi" w:hAnsi="Palatino Linotype" w:cstheme="minorBidi"/>
          <w:i/>
          <w:lang w:val="es-EC"/>
        </w:rPr>
        <w:t>y metropolitana(...)”.</w:t>
      </w:r>
    </w:p>
    <w:p w:rsidR="00192DED" w:rsidRDefault="00192DED" w:rsidP="00192DED">
      <w:pPr>
        <w:spacing w:before="100"/>
        <w:jc w:val="both"/>
        <w:rPr>
          <w:rFonts w:ascii="Palatino Linotype" w:eastAsiaTheme="minorHAnsi" w:hAnsi="Palatino Linotype" w:cstheme="minorBidi"/>
          <w:i/>
          <w:lang w:val="es-EC"/>
        </w:rPr>
      </w:pPr>
    </w:p>
    <w:p w:rsidR="00192DED" w:rsidRPr="00962333" w:rsidRDefault="00192DED" w:rsidP="00192DED">
      <w:pPr>
        <w:spacing w:before="2" w:line="276" w:lineRule="auto"/>
        <w:ind w:left="705" w:hanging="705"/>
        <w:jc w:val="both"/>
        <w:rPr>
          <w:rFonts w:ascii="Palatino Linotype" w:eastAsiaTheme="minorHAnsi" w:hAnsi="Palatino Linotype" w:cstheme="minorBidi"/>
          <w:i/>
          <w:lang w:val="es-EC"/>
        </w:rPr>
      </w:pPr>
      <w:r>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 xml:space="preserve">Con oficio Nro. STHV-DMGT-2023-2643-O, 09 de agosto de </w:t>
      </w:r>
      <w:r>
        <w:rPr>
          <w:rFonts w:ascii="Palatino Linotype" w:eastAsiaTheme="minorHAnsi" w:hAnsi="Palatino Linotype" w:cstheme="minorBidi"/>
          <w:lang w:val="es-EC"/>
        </w:rPr>
        <w:t xml:space="preserve">2023, el Director  </w:t>
      </w:r>
      <w:r>
        <w:rPr>
          <w:rFonts w:ascii="Palatino Linotype" w:eastAsiaTheme="minorHAnsi" w:hAnsi="Palatino Linotype" w:cstheme="minorBidi"/>
          <w:lang w:val="es-EC"/>
        </w:rPr>
        <w:tab/>
        <w:t xml:space="preserve">Metropolitano </w:t>
      </w:r>
      <w:r w:rsidRPr="00962333">
        <w:rPr>
          <w:rFonts w:ascii="Palatino Linotype" w:eastAsiaTheme="minorHAnsi" w:hAnsi="Palatino Linotype" w:cstheme="minorBidi"/>
          <w:lang w:val="es-EC"/>
        </w:rPr>
        <w:t>de Gestión Territorial de la Secretaría de Territorio,</w:t>
      </w:r>
      <w:r>
        <w:rPr>
          <w:rFonts w:ascii="Palatino Linotype" w:eastAsiaTheme="minorHAnsi" w:hAnsi="Palatino Linotype" w:cstheme="minorBidi"/>
          <w:lang w:val="es-EC"/>
        </w:rPr>
        <w:t xml:space="preserve"> Hábitat y  </w:t>
      </w:r>
      <w:r>
        <w:rPr>
          <w:rFonts w:ascii="Palatino Linotype" w:eastAsiaTheme="minorHAnsi" w:hAnsi="Palatino Linotype" w:cstheme="minorBidi"/>
          <w:lang w:val="es-EC"/>
        </w:rPr>
        <w:tab/>
        <w:t xml:space="preserve">Vivienda –  </w:t>
      </w:r>
      <w:r>
        <w:rPr>
          <w:rFonts w:ascii="Palatino Linotype" w:eastAsiaTheme="minorHAnsi" w:hAnsi="Palatino Linotype" w:cstheme="minorBidi"/>
          <w:lang w:val="es-EC"/>
        </w:rPr>
        <w:tab/>
        <w:t xml:space="preserve">Dirección </w:t>
      </w:r>
      <w:r w:rsidRPr="00962333">
        <w:rPr>
          <w:rFonts w:ascii="Palatino Linotype" w:eastAsiaTheme="minorHAnsi" w:hAnsi="Palatino Linotype" w:cstheme="minorBidi"/>
          <w:lang w:val="es-EC"/>
        </w:rPr>
        <w:t xml:space="preserve">Metropolitana de Gestión Territorial señala: </w:t>
      </w:r>
      <w:r w:rsidRPr="00962333">
        <w:rPr>
          <w:rFonts w:ascii="Palatino Linotype" w:eastAsiaTheme="minorHAnsi" w:hAnsi="Palatino Linotype" w:cstheme="minorBidi"/>
          <w:i/>
          <w:lang w:val="es-EC"/>
        </w:rPr>
        <w:t xml:space="preserve">“Con base a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t xml:space="preserve">los antecedentes </w:t>
      </w:r>
      <w:r w:rsidRPr="00962333">
        <w:rPr>
          <w:rFonts w:ascii="Palatino Linotype" w:eastAsiaTheme="minorHAnsi" w:hAnsi="Palatino Linotype" w:cstheme="minorBidi"/>
          <w:i/>
          <w:lang w:val="es-EC"/>
        </w:rPr>
        <w:t xml:space="preserve">expuestos y revisada la documentación anexa al expediente, la Dirección </w:t>
      </w:r>
      <w:r>
        <w:rPr>
          <w:rFonts w:ascii="Palatino Linotype" w:eastAsiaTheme="minorHAnsi" w:hAnsi="Palatino Linotype" w:cstheme="minorBidi"/>
          <w:i/>
          <w:lang w:val="es-EC"/>
        </w:rPr>
        <w:t xml:space="preserve"> </w:t>
      </w:r>
      <w:r>
        <w:rPr>
          <w:rFonts w:ascii="Palatino Linotype" w:eastAsiaTheme="minorHAnsi" w:hAnsi="Palatino Linotype" w:cstheme="minorBidi"/>
          <w:i/>
          <w:lang w:val="es-EC"/>
        </w:rPr>
        <w:tab/>
        <w:t xml:space="preserve">Metropolitana de </w:t>
      </w:r>
      <w:r w:rsidRPr="00962333">
        <w:rPr>
          <w:rFonts w:ascii="Palatino Linotype" w:eastAsiaTheme="minorHAnsi" w:hAnsi="Palatino Linotype" w:cstheme="minorBidi"/>
          <w:i/>
          <w:lang w:val="es-EC"/>
        </w:rPr>
        <w:t>Gestión Territorial, de la Secretaría de Territorio, Hábitat y Vivienda,</w:t>
      </w:r>
      <w:r>
        <w:rPr>
          <w:rFonts w:ascii="Palatino Linotype" w:eastAsiaTheme="minorHAnsi" w:hAnsi="Palatino Linotype" w:cstheme="minorBidi"/>
          <w:i/>
          <w:lang w:val="es-EC"/>
        </w:rPr>
        <w:t xml:space="preserve"> DEVUELVE la  </w:t>
      </w:r>
      <w:r w:rsidRPr="00962333">
        <w:rPr>
          <w:rFonts w:ascii="Palatino Linotype" w:eastAsiaTheme="minorHAnsi" w:hAnsi="Palatino Linotype" w:cstheme="minorBidi"/>
          <w:i/>
          <w:lang w:val="es-EC"/>
        </w:rPr>
        <w:t>propuesta de: “TRAZADO VIAL: Intervención del mejoramiento de la calle N15A (prolongación de la calle Pio XII)”, a fin de que se solvente las observaciones antes descritas”.</w:t>
      </w:r>
    </w:p>
    <w:p w:rsidR="00192DED" w:rsidRPr="00962333" w:rsidRDefault="00192DED" w:rsidP="00192DED">
      <w:pPr>
        <w:spacing w:before="2" w:line="276" w:lineRule="auto"/>
        <w:jc w:val="both"/>
        <w:rPr>
          <w:rFonts w:ascii="Palatino Linotype" w:eastAsiaTheme="minorHAnsi" w:hAnsi="Palatino Linotype" w:cstheme="minorBidi"/>
          <w:lang w:val="es-EC"/>
        </w:rPr>
      </w:pPr>
    </w:p>
    <w:p w:rsidR="00192DED" w:rsidRDefault="00192DED" w:rsidP="00192DED">
      <w:pPr>
        <w:widowControl/>
        <w:adjustRightInd w:val="0"/>
        <w:rPr>
          <w:rFonts w:ascii="Palatino Linotype" w:eastAsiaTheme="minorHAnsi" w:hAnsi="Palatino Linotype" w:cstheme="minorBidi"/>
          <w:lang w:val="es-EC"/>
        </w:rPr>
      </w:pPr>
      <w:r w:rsidRPr="00962333">
        <w:rPr>
          <w:rFonts w:ascii="Palatino Linotype" w:eastAsiaTheme="minorHAnsi" w:hAnsi="Palatino Linotype" w:cstheme="minorBidi"/>
          <w:lang w:val="es-EC"/>
        </w:rPr>
        <w:t>Que     la Comisión de Uso de Suelo e</w:t>
      </w:r>
      <w:r>
        <w:rPr>
          <w:rFonts w:ascii="Palatino Linotype" w:eastAsiaTheme="minorHAnsi" w:hAnsi="Palatino Linotype" w:cstheme="minorBidi"/>
          <w:lang w:val="es-EC"/>
        </w:rPr>
        <w:t xml:space="preserve">n sesión extraordinaria Nro. </w:t>
      </w:r>
      <w:proofErr w:type="spellStart"/>
      <w:r>
        <w:rPr>
          <w:rFonts w:ascii="Palatino Linotype" w:eastAsiaTheme="minorHAnsi" w:hAnsi="Palatino Linotype" w:cstheme="minorBidi"/>
          <w:lang w:val="es-EC"/>
        </w:rPr>
        <w:t>xxxx</w:t>
      </w:r>
      <w:proofErr w:type="spellEnd"/>
      <w:r>
        <w:rPr>
          <w:rFonts w:ascii="Palatino Linotype" w:eastAsiaTheme="minorHAnsi" w:hAnsi="Palatino Linotype" w:cstheme="minorBidi"/>
          <w:lang w:val="es-EC"/>
        </w:rPr>
        <w:t xml:space="preserve">, de xxx de </w:t>
      </w:r>
      <w:proofErr w:type="spellStart"/>
      <w:r>
        <w:rPr>
          <w:rFonts w:ascii="Palatino Linotype" w:eastAsiaTheme="minorHAnsi" w:hAnsi="Palatino Linotype" w:cstheme="minorBidi"/>
          <w:lang w:val="es-EC"/>
        </w:rPr>
        <w:t>xxxx</w:t>
      </w:r>
      <w:proofErr w:type="spellEnd"/>
      <w:r w:rsidRPr="00962333">
        <w:rPr>
          <w:rFonts w:ascii="Palatino Linotype" w:eastAsiaTheme="minorHAnsi" w:hAnsi="Palatino Linotype" w:cstheme="minorBidi"/>
          <w:lang w:val="es-EC"/>
        </w:rPr>
        <w:t xml:space="preserv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de 2023,</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analizó los informes técnicos y legales</w:t>
      </w:r>
      <w:r>
        <w:rPr>
          <w:rFonts w:ascii="Palatino Linotype" w:eastAsiaTheme="minorHAnsi" w:hAnsi="Palatino Linotype" w:cstheme="minorBidi"/>
          <w:lang w:val="es-EC"/>
        </w:rPr>
        <w:t xml:space="preserve"> que reposan en el expediente, y </w:t>
      </w:r>
    </w:p>
    <w:p w:rsidR="00192DED" w:rsidRDefault="00192DED" w:rsidP="00192DED">
      <w:pPr>
        <w:widowControl/>
        <w:adjustRightInd w:val="0"/>
        <w:rPr>
          <w:rFonts w:ascii="Palatino Linotype" w:eastAsiaTheme="minorHAnsi" w:hAnsi="Palatino Linotype" w:cstheme="minorBidi"/>
          <w:lang w:val="es-EC"/>
        </w:rPr>
      </w:pP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emitió dictamen</w:t>
      </w:r>
      <w:r>
        <w:rPr>
          <w:rFonts w:ascii="Palatino Linotype" w:eastAsiaTheme="minorHAnsi" w:hAnsi="Palatino Linotype" w:cstheme="minorBidi"/>
          <w:lang w:val="es-EC"/>
        </w:rPr>
        <w:t xml:space="preserve"> </w:t>
      </w:r>
      <w:r w:rsidRPr="00962333">
        <w:rPr>
          <w:rFonts w:ascii="Palatino Linotype" w:eastAsiaTheme="minorHAnsi" w:hAnsi="Palatino Linotype" w:cstheme="minorBidi"/>
          <w:lang w:val="es-EC"/>
        </w:rPr>
        <w:t>para conocimiento del Concejo Metropolitano de Quito;</w:t>
      </w:r>
    </w:p>
    <w:p w:rsidR="00192DED" w:rsidRPr="00962333" w:rsidRDefault="00192DED" w:rsidP="00192DED">
      <w:pPr>
        <w:widowControl/>
        <w:adjustRightInd w:val="0"/>
        <w:rPr>
          <w:rFonts w:ascii="Palatino Linotype" w:eastAsiaTheme="minorHAnsi" w:hAnsi="Palatino Linotype" w:cstheme="minorBidi"/>
          <w:lang w:val="es-EC"/>
        </w:rPr>
      </w:pPr>
    </w:p>
    <w:p w:rsidR="00192DED" w:rsidRDefault="00192DED" w:rsidP="00192DED">
      <w:pPr>
        <w:widowControl/>
        <w:adjustRightInd w:val="0"/>
        <w:ind w:left="720" w:hanging="720"/>
        <w:rPr>
          <w:rFonts w:ascii="Palatino Linotype" w:eastAsiaTheme="minorHAnsi" w:hAnsi="Palatino Linotype" w:cstheme="minorBidi"/>
          <w:lang w:val="es-EC"/>
        </w:rPr>
      </w:pPr>
      <w:r w:rsidRPr="00962333">
        <w:rPr>
          <w:rFonts w:ascii="Palatino Linotype" w:eastAsiaTheme="minorHAnsi" w:hAnsi="Palatino Linotype" w:cstheme="minorBidi"/>
          <w:lang w:val="es-EC"/>
        </w:rPr>
        <w:t xml:space="preserve">Que </w:t>
      </w:r>
      <w:r>
        <w:rPr>
          <w:rFonts w:ascii="Palatino Linotype" w:eastAsiaTheme="minorHAnsi" w:hAnsi="Palatino Linotype" w:cstheme="minorBidi"/>
          <w:lang w:val="es-EC"/>
        </w:rPr>
        <w:tab/>
      </w:r>
      <w:r w:rsidRPr="00962333">
        <w:rPr>
          <w:rFonts w:ascii="Palatino Linotype" w:eastAsiaTheme="minorHAnsi" w:hAnsi="Palatino Linotype" w:cstheme="minorBidi"/>
          <w:lang w:val="es-EC"/>
        </w:rPr>
        <w:t>el Concejo Metropolitano de Quito, en sesión públ</w:t>
      </w:r>
      <w:r>
        <w:rPr>
          <w:rFonts w:ascii="Palatino Linotype" w:eastAsiaTheme="minorHAnsi" w:hAnsi="Palatino Linotype" w:cstheme="minorBidi"/>
          <w:lang w:val="es-EC"/>
        </w:rPr>
        <w:t xml:space="preserve">ica ordinaria realizada el </w:t>
      </w:r>
      <w:proofErr w:type="spellStart"/>
      <w:r>
        <w:rPr>
          <w:rFonts w:ascii="Palatino Linotype" w:eastAsiaTheme="minorHAnsi" w:hAnsi="Palatino Linotype" w:cstheme="minorBidi"/>
          <w:lang w:val="es-EC"/>
        </w:rPr>
        <w:t>xxxx</w:t>
      </w:r>
      <w:proofErr w:type="spellEnd"/>
      <w:r>
        <w:rPr>
          <w:rFonts w:ascii="Palatino Linotype" w:eastAsiaTheme="minorHAnsi" w:hAnsi="Palatino Linotype" w:cstheme="minorBidi"/>
          <w:lang w:val="es-EC"/>
        </w:rPr>
        <w:t xml:space="preserve"> de </w:t>
      </w:r>
      <w:proofErr w:type="spellStart"/>
      <w:r>
        <w:rPr>
          <w:rFonts w:ascii="Palatino Linotype" w:eastAsiaTheme="minorHAnsi" w:hAnsi="Palatino Linotype" w:cstheme="minorBidi"/>
          <w:lang w:val="es-EC"/>
        </w:rPr>
        <w:t>xxxxx</w:t>
      </w:r>
      <w:proofErr w:type="spellEnd"/>
      <w:r>
        <w:rPr>
          <w:rFonts w:ascii="Palatino Linotype" w:eastAsiaTheme="minorHAnsi" w:hAnsi="Palatino Linotype" w:cstheme="minorBidi"/>
          <w:lang w:val="es-EC"/>
        </w:rPr>
        <w:t xml:space="preserve"> de 2023</w:t>
      </w:r>
      <w:r w:rsidRPr="00962333">
        <w:rPr>
          <w:rFonts w:ascii="Palatino Linotype" w:eastAsiaTheme="minorHAnsi" w:hAnsi="Palatino Linotype" w:cstheme="minorBidi"/>
          <w:lang w:val="es-EC"/>
        </w:rPr>
        <w:t>, analizó el info</w:t>
      </w:r>
      <w:r>
        <w:rPr>
          <w:rFonts w:ascii="Palatino Linotype" w:eastAsiaTheme="minorHAnsi" w:hAnsi="Palatino Linotype" w:cstheme="minorBidi"/>
          <w:lang w:val="es-EC"/>
        </w:rPr>
        <w:t>rme No. IC-0-CUS-2023-xxxx</w:t>
      </w:r>
      <w:r w:rsidRPr="00962333">
        <w:rPr>
          <w:rFonts w:ascii="Palatino Linotype" w:eastAsiaTheme="minorHAnsi" w:hAnsi="Palatino Linotype" w:cstheme="minorBidi"/>
          <w:lang w:val="es-EC"/>
        </w:rPr>
        <w:t>, emitido por la Comisión</w:t>
      </w:r>
      <w:r>
        <w:rPr>
          <w:rFonts w:ascii="Palatino Linotype" w:eastAsiaTheme="minorHAnsi" w:hAnsi="Palatino Linotype" w:cstheme="minorBidi"/>
          <w:lang w:val="es-EC"/>
        </w:rPr>
        <w:t xml:space="preserve"> de </w:t>
      </w:r>
      <w:r w:rsidRPr="00962333">
        <w:rPr>
          <w:rFonts w:ascii="Palatino Linotype" w:eastAsiaTheme="minorHAnsi" w:hAnsi="Palatino Linotype" w:cstheme="minorBidi"/>
          <w:lang w:val="es-EC"/>
        </w:rPr>
        <w:t>Uso de Suelo; y,</w:t>
      </w:r>
    </w:p>
    <w:p w:rsidR="00192DED" w:rsidRPr="00962333" w:rsidRDefault="00192DED" w:rsidP="00192DED">
      <w:pPr>
        <w:widowControl/>
        <w:adjustRightInd w:val="0"/>
        <w:ind w:left="720" w:hanging="720"/>
        <w:rPr>
          <w:rFonts w:ascii="Palatino Linotype" w:eastAsiaTheme="minorHAnsi" w:hAnsi="Palatino Linotype" w:cstheme="minorBidi"/>
          <w:lang w:val="es-EC"/>
        </w:rPr>
      </w:pPr>
    </w:p>
    <w:p w:rsidR="00192DED" w:rsidRPr="00962333" w:rsidRDefault="00192DED" w:rsidP="00192DED">
      <w:pPr>
        <w:widowControl/>
        <w:adjustRightInd w:val="0"/>
        <w:jc w:val="both"/>
        <w:rPr>
          <w:rFonts w:ascii="Palatino Linotype" w:eastAsiaTheme="minorHAnsi" w:hAnsi="Palatino Linotype" w:cstheme="minorBidi"/>
          <w:b/>
          <w:lang w:val="es-EC"/>
        </w:rPr>
      </w:pPr>
      <w:r w:rsidRPr="00962333">
        <w:rPr>
          <w:rFonts w:ascii="Palatino Linotype" w:eastAsiaTheme="minorHAnsi" w:hAnsi="Palatino Linotype" w:cstheme="minorBidi"/>
          <w:b/>
          <w:lang w:val="es-EC"/>
        </w:rPr>
        <w:t>En ejercicio de sus atribuciones previstas en el artícu</w:t>
      </w:r>
      <w:r>
        <w:rPr>
          <w:rFonts w:ascii="Palatino Linotype" w:eastAsiaTheme="minorHAnsi" w:hAnsi="Palatino Linotype" w:cstheme="minorBidi"/>
          <w:b/>
          <w:lang w:val="es-EC"/>
        </w:rPr>
        <w:t xml:space="preserve">lo 240 de la Constitución de la </w:t>
      </w:r>
      <w:r w:rsidRPr="00962333">
        <w:rPr>
          <w:rFonts w:ascii="Palatino Linotype" w:eastAsiaTheme="minorHAnsi" w:hAnsi="Palatino Linotype" w:cstheme="minorBidi"/>
          <w:b/>
          <w:lang w:val="es-EC"/>
        </w:rPr>
        <w:t>República y artículos 87 letra a); y, 323 del Código Orgáni</w:t>
      </w:r>
      <w:r>
        <w:rPr>
          <w:rFonts w:ascii="Palatino Linotype" w:eastAsiaTheme="minorHAnsi" w:hAnsi="Palatino Linotype" w:cstheme="minorBidi"/>
          <w:b/>
          <w:lang w:val="es-EC"/>
        </w:rPr>
        <w:t>co de Organización Territorial, A</w:t>
      </w:r>
      <w:r w:rsidRPr="00962333">
        <w:rPr>
          <w:rFonts w:ascii="Palatino Linotype" w:eastAsiaTheme="minorHAnsi" w:hAnsi="Palatino Linotype" w:cstheme="minorBidi"/>
          <w:b/>
          <w:lang w:val="es-EC"/>
        </w:rPr>
        <w:t>utonomía y Descentralización.</w:t>
      </w:r>
    </w:p>
    <w:p w:rsidR="00192DED" w:rsidRDefault="00192DED" w:rsidP="00192DED">
      <w:pPr>
        <w:spacing w:line="228" w:lineRule="auto"/>
        <w:ind w:left="113" w:right="132"/>
        <w:jc w:val="both"/>
        <w:rPr>
          <w:rFonts w:ascii="Palatino Linotype" w:hAnsi="Palatino Linotype"/>
          <w:w w:val="95"/>
          <w:sz w:val="23"/>
        </w:rPr>
      </w:pPr>
    </w:p>
    <w:p w:rsidR="00192DED" w:rsidRDefault="00192DED" w:rsidP="00192DED">
      <w:pPr>
        <w:spacing w:line="228" w:lineRule="auto"/>
        <w:ind w:left="113" w:right="132"/>
        <w:jc w:val="both"/>
        <w:rPr>
          <w:rFonts w:ascii="Palatino Linotype" w:hAnsi="Palatino Linotype"/>
          <w:w w:val="95"/>
          <w:sz w:val="23"/>
        </w:rPr>
      </w:pPr>
    </w:p>
    <w:p w:rsidR="00192DED" w:rsidRDefault="00192DED" w:rsidP="00192DED">
      <w:pPr>
        <w:pStyle w:val="Textoindependiente"/>
        <w:spacing w:before="1"/>
        <w:ind w:left="3094" w:right="3119"/>
        <w:jc w:val="center"/>
      </w:pPr>
      <w:r>
        <w:t xml:space="preserve">EXPIDE  </w:t>
      </w:r>
    </w:p>
    <w:p w:rsidR="00192DED" w:rsidRDefault="00192DED" w:rsidP="00192DED">
      <w:pPr>
        <w:spacing w:before="8"/>
        <w:rPr>
          <w:sz w:val="28"/>
        </w:rPr>
      </w:pPr>
    </w:p>
    <w:p w:rsidR="00192DED" w:rsidRDefault="00192DED" w:rsidP="00192DED">
      <w:pPr>
        <w:widowControl/>
        <w:adjustRightInd w:val="0"/>
        <w:jc w:val="both"/>
        <w:rPr>
          <w:rFonts w:eastAsiaTheme="minorHAnsi"/>
          <w:b/>
          <w:i/>
          <w:iCs/>
          <w:sz w:val="21"/>
          <w:szCs w:val="21"/>
          <w:lang w:val="es-EC"/>
        </w:rPr>
      </w:pPr>
      <w:r w:rsidRPr="00962333">
        <w:rPr>
          <w:b/>
        </w:rPr>
        <w:t>LA</w:t>
      </w:r>
      <w:r w:rsidRPr="00962333">
        <w:rPr>
          <w:b/>
          <w:spacing w:val="1"/>
        </w:rPr>
        <w:t xml:space="preserve"> </w:t>
      </w:r>
      <w:r w:rsidRPr="00962333">
        <w:rPr>
          <w:b/>
        </w:rPr>
        <w:t>ORDENANZA</w:t>
      </w:r>
      <w:r w:rsidRPr="00962333">
        <w:rPr>
          <w:b/>
          <w:spacing w:val="1"/>
        </w:rPr>
        <w:t xml:space="preserve"> </w:t>
      </w:r>
      <w:r w:rsidRPr="00962333">
        <w:rPr>
          <w:b/>
        </w:rPr>
        <w:t>PARA</w:t>
      </w:r>
      <w:r w:rsidRPr="00962333">
        <w:rPr>
          <w:b/>
          <w:spacing w:val="1"/>
        </w:rPr>
        <w:t xml:space="preserve"> </w:t>
      </w:r>
      <w:r w:rsidRPr="00962333">
        <w:rPr>
          <w:b/>
        </w:rPr>
        <w:t>LA</w:t>
      </w:r>
      <w:r w:rsidRPr="00962333">
        <w:rPr>
          <w:b/>
          <w:spacing w:val="1"/>
        </w:rPr>
        <w:t xml:space="preserve"> </w:t>
      </w:r>
      <w:r w:rsidRPr="00962333">
        <w:rPr>
          <w:rFonts w:eastAsiaTheme="minorHAnsi"/>
          <w:b/>
          <w:i/>
          <w:iCs/>
          <w:sz w:val="21"/>
          <w:szCs w:val="21"/>
          <w:lang w:val="es-EC"/>
        </w:rPr>
        <w:t xml:space="preserve">PROPUESTA DE REGULARIZACION DEL TRAZADO </w:t>
      </w:r>
      <w:r w:rsidR="00DE0C83" w:rsidRPr="00962333">
        <w:rPr>
          <w:rFonts w:eastAsiaTheme="minorHAnsi"/>
          <w:b/>
          <w:i/>
          <w:iCs/>
          <w:sz w:val="21"/>
          <w:szCs w:val="21"/>
          <w:lang w:val="es-EC"/>
        </w:rPr>
        <w:t>VIAL</w:t>
      </w:r>
      <w:r w:rsidR="00DE0C83">
        <w:rPr>
          <w:rFonts w:eastAsiaTheme="minorHAnsi"/>
          <w:b/>
          <w:i/>
          <w:iCs/>
          <w:sz w:val="21"/>
          <w:szCs w:val="21"/>
          <w:lang w:val="es-EC"/>
        </w:rPr>
        <w:t xml:space="preserve"> </w:t>
      </w:r>
    </w:p>
    <w:p w:rsidR="00D32C9E" w:rsidRDefault="00D32C9E" w:rsidP="00192DED">
      <w:pPr>
        <w:widowControl/>
        <w:adjustRightInd w:val="0"/>
        <w:jc w:val="both"/>
        <w:rPr>
          <w:rFonts w:eastAsiaTheme="minorHAnsi"/>
          <w:b/>
          <w:i/>
          <w:iCs/>
          <w:sz w:val="21"/>
          <w:szCs w:val="21"/>
          <w:lang w:val="es-EC"/>
        </w:rPr>
      </w:pPr>
    </w:p>
    <w:p w:rsidR="00D32C9E" w:rsidRDefault="00D32C9E" w:rsidP="00DE0C83">
      <w:pPr>
        <w:adjustRightInd w:val="0"/>
        <w:jc w:val="both"/>
        <w:rPr>
          <w:rFonts w:eastAsiaTheme="minorHAnsi"/>
          <w:b/>
          <w:i/>
          <w:iCs/>
          <w:sz w:val="21"/>
          <w:szCs w:val="21"/>
          <w:lang w:val="es-EC"/>
        </w:rPr>
      </w:pPr>
      <w:r>
        <w:rPr>
          <w:rFonts w:ascii="Palatino Linotype" w:hAnsi="Palatino Linotype"/>
          <w:b/>
          <w:bCs/>
        </w:rPr>
        <w:t xml:space="preserve">Artículo 1.- </w:t>
      </w:r>
      <w:r>
        <w:rPr>
          <w:rFonts w:ascii="Palatino Linotype" w:hAnsi="Palatino Linotype"/>
          <w:bCs/>
        </w:rPr>
        <w:t xml:space="preserve">Apruébese la </w:t>
      </w:r>
      <w:r>
        <w:rPr>
          <w:rFonts w:ascii="Palatino Linotype" w:hAnsi="Palatino Linotype"/>
          <w:iCs/>
          <w:color w:val="000000" w:themeColor="text1"/>
        </w:rPr>
        <w:t xml:space="preserve">regularización del trazado vial </w:t>
      </w:r>
      <w:r w:rsidR="00DE0C83">
        <w:rPr>
          <w:rFonts w:ascii="Palatino Linotype" w:hAnsi="Palatino Linotype"/>
          <w:iCs/>
          <w:color w:val="000000" w:themeColor="text1"/>
        </w:rPr>
        <w:t xml:space="preserve">de acuerdo a las siguientes especificaciones técnicas </w:t>
      </w:r>
      <w:r w:rsidR="00DE0C83" w:rsidRPr="00962333">
        <w:rPr>
          <w:rFonts w:eastAsiaTheme="minorHAnsi"/>
          <w:b/>
          <w:i/>
          <w:iCs/>
          <w:sz w:val="21"/>
          <w:szCs w:val="21"/>
          <w:lang w:val="es-EC"/>
        </w:rPr>
        <w:t>DE LA CALLE N15A (PROLONGACION DE LA CALLE PIO XII) – TRAMO A: SUELO URBANO, DE LA ABSCISA 0+00 A LA ABSCISA 0+140; TRAMO B: SUELO RURAL, DE LA ABSCISA 0+140 HASTA LA ABSCISA 0+981; TRAMO C: SUELO URBANO, DESDE LA ABSCISA 0+981 HASTA 2+554”.</w:t>
      </w:r>
    </w:p>
    <w:p w:rsidR="00DE0C83" w:rsidRDefault="00DE0C83" w:rsidP="00DE0C83">
      <w:pPr>
        <w:adjustRightInd w:val="0"/>
        <w:jc w:val="both"/>
        <w:rPr>
          <w:rFonts w:eastAsiaTheme="minorHAnsi"/>
          <w:b/>
          <w:i/>
          <w:iCs/>
          <w:sz w:val="21"/>
          <w:szCs w:val="21"/>
          <w:lang w:val="es-EC"/>
        </w:rPr>
      </w:pPr>
    </w:p>
    <w:p w:rsidR="00DE0C83" w:rsidRDefault="00DE0C83" w:rsidP="00DE0C83">
      <w:pPr>
        <w:adjustRightInd w:val="0"/>
        <w:jc w:val="both"/>
      </w:pPr>
    </w:p>
    <w:p w:rsidR="00192DED" w:rsidRDefault="00192DED" w:rsidP="00DE0C83">
      <w:pPr>
        <w:pStyle w:val="Textoindependiente"/>
        <w:spacing w:line="289" w:lineRule="exact"/>
        <w:jc w:val="both"/>
        <w:rPr>
          <w:rFonts w:ascii="Palatino Linotype"/>
        </w:rPr>
      </w:pPr>
      <w:r w:rsidRPr="00192DED">
        <w:rPr>
          <w:rFonts w:ascii="Palatino Linotype" w:hAnsi="Palatino Linotype"/>
          <w:b/>
        </w:rPr>
        <w:t>Artículo</w:t>
      </w:r>
      <w:r w:rsidRPr="00192DED">
        <w:rPr>
          <w:rFonts w:ascii="Palatino Linotype" w:hAnsi="Palatino Linotype"/>
          <w:b/>
          <w:spacing w:val="21"/>
        </w:rPr>
        <w:t xml:space="preserve"> </w:t>
      </w:r>
      <w:r w:rsidRPr="00192DED">
        <w:rPr>
          <w:rFonts w:ascii="Palatino Linotype" w:hAnsi="Palatino Linotype"/>
          <w:b/>
        </w:rPr>
        <w:t>2.-</w:t>
      </w:r>
      <w:r>
        <w:rPr>
          <w:rFonts w:ascii="Palatino Linotype" w:hAnsi="Palatino Linotype"/>
          <w:spacing w:val="12"/>
        </w:rPr>
        <w:t xml:space="preserve"> </w:t>
      </w:r>
      <w:r w:rsidR="00D32C9E">
        <w:rPr>
          <w:rFonts w:ascii="Palatino Linotype" w:hAnsi="Palatino Linotype"/>
          <w:spacing w:val="12"/>
        </w:rPr>
        <w:t xml:space="preserve">El (los) </w:t>
      </w:r>
      <w:r>
        <w:rPr>
          <w:rFonts w:ascii="Palatino Linotype" w:hAnsi="Palatino Linotype"/>
        </w:rPr>
        <w:t>Plano</w:t>
      </w:r>
      <w:r>
        <w:rPr>
          <w:rFonts w:ascii="Palatino Linotype" w:hAnsi="Palatino Linotype"/>
          <w:spacing w:val="5"/>
        </w:rPr>
        <w:t xml:space="preserve"> </w:t>
      </w:r>
      <w:r>
        <w:rPr>
          <w:rFonts w:ascii="Palatino Linotype" w:hAnsi="Palatino Linotype"/>
        </w:rPr>
        <w:t>de</w:t>
      </w:r>
      <w:r>
        <w:rPr>
          <w:rFonts w:ascii="Palatino Linotype" w:hAnsi="Palatino Linotype"/>
          <w:spacing w:val="3"/>
        </w:rPr>
        <w:t xml:space="preserve"> </w:t>
      </w:r>
      <w:r>
        <w:rPr>
          <w:rFonts w:ascii="Palatino Linotype" w:hAnsi="Palatino Linotype"/>
        </w:rPr>
        <w:t>Diseño</w:t>
      </w:r>
      <w:r>
        <w:rPr>
          <w:rFonts w:ascii="Palatino Linotype" w:hAnsi="Palatino Linotype"/>
          <w:spacing w:val="11"/>
        </w:rPr>
        <w:t xml:space="preserve"> </w:t>
      </w:r>
      <w:r>
        <w:rPr>
          <w:rFonts w:ascii="Palatino Linotype" w:hAnsi="Palatino Linotype"/>
        </w:rPr>
        <w:t>Vial</w:t>
      </w:r>
      <w:r>
        <w:rPr>
          <w:rFonts w:ascii="Palatino Linotype" w:hAnsi="Palatino Linotype"/>
          <w:spacing w:val="6"/>
        </w:rPr>
        <w:t xml:space="preserve"> </w:t>
      </w:r>
      <w:r w:rsidR="00D32C9E">
        <w:rPr>
          <w:rFonts w:ascii="Palatino Linotype" w:hAnsi="Palatino Linotype"/>
          <w:spacing w:val="6"/>
        </w:rPr>
        <w:t xml:space="preserve">adjunto al oficio N° XXX se anexa como </w:t>
      </w:r>
      <w:r>
        <w:rPr>
          <w:rFonts w:ascii="Palatino Linotype"/>
        </w:rPr>
        <w:t>parte</w:t>
      </w:r>
      <w:r>
        <w:rPr>
          <w:rFonts w:ascii="Palatino Linotype"/>
          <w:spacing w:val="15"/>
        </w:rPr>
        <w:t xml:space="preserve"> </w:t>
      </w:r>
      <w:r>
        <w:rPr>
          <w:rFonts w:ascii="Palatino Linotype"/>
        </w:rPr>
        <w:t>integrante</w:t>
      </w:r>
      <w:r>
        <w:rPr>
          <w:rFonts w:ascii="Palatino Linotype"/>
          <w:spacing w:val="26"/>
        </w:rPr>
        <w:t xml:space="preserve"> </w:t>
      </w:r>
      <w:r>
        <w:rPr>
          <w:rFonts w:ascii="Palatino Linotype"/>
        </w:rPr>
        <w:t>de</w:t>
      </w:r>
      <w:r>
        <w:rPr>
          <w:rFonts w:ascii="Palatino Linotype"/>
          <w:spacing w:val="16"/>
        </w:rPr>
        <w:t xml:space="preserve"> </w:t>
      </w:r>
      <w:r>
        <w:rPr>
          <w:rFonts w:ascii="Palatino Linotype"/>
        </w:rPr>
        <w:t>la</w:t>
      </w:r>
      <w:r w:rsidR="00D32C9E">
        <w:rPr>
          <w:rFonts w:ascii="Palatino Linotype"/>
        </w:rPr>
        <w:t xml:space="preserve"> </w:t>
      </w:r>
      <w:r>
        <w:rPr>
          <w:rFonts w:ascii="Palatino Linotype"/>
          <w:spacing w:val="-55"/>
        </w:rPr>
        <w:t xml:space="preserve"> </w:t>
      </w:r>
      <w:r w:rsidR="00D32C9E">
        <w:rPr>
          <w:rFonts w:ascii="Palatino Linotype"/>
          <w:spacing w:val="-55"/>
        </w:rPr>
        <w:t xml:space="preserve">    </w:t>
      </w:r>
      <w:r>
        <w:rPr>
          <w:rFonts w:ascii="Palatino Linotype"/>
        </w:rPr>
        <w:t>presente</w:t>
      </w:r>
      <w:r>
        <w:rPr>
          <w:rFonts w:ascii="Palatino Linotype"/>
          <w:spacing w:val="16"/>
        </w:rPr>
        <w:t xml:space="preserve"> </w:t>
      </w:r>
      <w:r>
        <w:rPr>
          <w:rFonts w:ascii="Palatino Linotype"/>
        </w:rPr>
        <w:t>ordenanza.</w:t>
      </w:r>
    </w:p>
    <w:p w:rsidR="00DE0C83" w:rsidRPr="00192DED" w:rsidRDefault="00DE0C83" w:rsidP="00D32C9E">
      <w:pPr>
        <w:pStyle w:val="Textoindependiente"/>
        <w:spacing w:line="289" w:lineRule="exact"/>
        <w:rPr>
          <w:rFonts w:ascii="Palatino Linotype" w:hAnsi="Palatino Linotype"/>
        </w:rPr>
      </w:pPr>
    </w:p>
    <w:p w:rsidR="00D32C9E" w:rsidRDefault="00D32C9E" w:rsidP="00DE0C83">
      <w:pPr>
        <w:adjustRightInd w:val="0"/>
        <w:jc w:val="both"/>
        <w:rPr>
          <w:rFonts w:ascii="Palatino Linotype" w:hAnsi="Palatino Linotype"/>
          <w:bCs/>
        </w:rPr>
      </w:pPr>
      <w:r>
        <w:rPr>
          <w:rFonts w:ascii="Palatino Linotype" w:hAnsi="Palatino Linotype"/>
          <w:b/>
          <w:bCs/>
        </w:rPr>
        <w:t xml:space="preserve">Disposición general única: </w:t>
      </w:r>
      <w:r>
        <w:rPr>
          <w:rFonts w:ascii="Palatino Linotype" w:hAnsi="Palatino Linotype"/>
          <w:bCs/>
        </w:rPr>
        <w:t>La presente Ordenanza se aprueba con base en los informes que son de exclusiva responsabilidad de los funcionarios que lo suscriben y realizan.</w:t>
      </w:r>
    </w:p>
    <w:p w:rsidR="00D32C9E" w:rsidRDefault="00D32C9E" w:rsidP="00D32C9E">
      <w:pPr>
        <w:adjustRightInd w:val="0"/>
        <w:rPr>
          <w:rFonts w:ascii="Palatino Linotype" w:hAnsi="Palatino Linotype"/>
          <w:bCs/>
          <w:lang w:val="es-EC"/>
        </w:rPr>
      </w:pPr>
    </w:p>
    <w:p w:rsidR="00D32C9E" w:rsidRDefault="00D32C9E" w:rsidP="00D32C9E">
      <w:pPr>
        <w:adjustRightInd w:val="0"/>
        <w:rPr>
          <w:rFonts w:ascii="Palatino Linotype" w:hAnsi="Palatino Linotype"/>
          <w:b/>
          <w:bCs/>
        </w:rPr>
      </w:pPr>
    </w:p>
    <w:p w:rsidR="00D32C9E" w:rsidRDefault="00D32C9E" w:rsidP="00D32C9E">
      <w:pPr>
        <w:adjustRightInd w:val="0"/>
        <w:jc w:val="center"/>
        <w:rPr>
          <w:rFonts w:ascii="Palatino Linotype" w:hAnsi="Palatino Linotype"/>
          <w:b/>
          <w:bCs/>
        </w:rPr>
      </w:pPr>
      <w:r>
        <w:rPr>
          <w:rFonts w:ascii="Palatino Linotype" w:hAnsi="Palatino Linotype"/>
          <w:b/>
          <w:bCs/>
        </w:rPr>
        <w:t>Disposiciones transitorias:</w:t>
      </w:r>
    </w:p>
    <w:p w:rsidR="00D32C9E" w:rsidRDefault="00D32C9E" w:rsidP="00D32C9E">
      <w:pPr>
        <w:adjustRightInd w:val="0"/>
        <w:rPr>
          <w:rFonts w:ascii="Palatino Linotype" w:hAnsi="Palatino Linotype"/>
          <w:b/>
          <w:bCs/>
        </w:rPr>
      </w:pPr>
    </w:p>
    <w:p w:rsidR="00D32C9E" w:rsidRDefault="00D32C9E" w:rsidP="00D32C9E">
      <w:pPr>
        <w:adjustRightInd w:val="0"/>
        <w:jc w:val="both"/>
        <w:rPr>
          <w:rFonts w:ascii="Palatino Linotype" w:hAnsi="Palatino Linotype"/>
        </w:rPr>
      </w:pPr>
      <w:r>
        <w:rPr>
          <w:rFonts w:ascii="Palatino Linotype" w:hAnsi="Palatino Linotype"/>
          <w:b/>
          <w:bCs/>
        </w:rPr>
        <w:t xml:space="preserve">Primera: </w:t>
      </w:r>
      <w:r>
        <w:rPr>
          <w:rFonts w:ascii="Palatino Linotype" w:hAnsi="Palatino Linotype"/>
        </w:rPr>
        <w:t xml:space="preserve">Comuníquese al interesado, a la Administración Zonal que corresponda, a la </w:t>
      </w:r>
      <w:r>
        <w:rPr>
          <w:rFonts w:ascii="Palatino Linotype" w:hAnsi="Palatino Linotype"/>
        </w:rPr>
        <w:lastRenderedPageBreak/>
        <w:t>Secretaría de Territorio, Hábitat y Vivienda; y, a la Empresa Pública Metropolitana de Movilidad y Obras Públicas, a fin de que se continúe con los trámites de Ley.</w:t>
      </w:r>
    </w:p>
    <w:p w:rsidR="00D32C9E" w:rsidRDefault="00D32C9E" w:rsidP="00D32C9E">
      <w:pPr>
        <w:adjustRightInd w:val="0"/>
        <w:jc w:val="both"/>
        <w:rPr>
          <w:rFonts w:ascii="Palatino Linotype" w:hAnsi="Palatino Linotype"/>
        </w:rPr>
      </w:pPr>
    </w:p>
    <w:p w:rsidR="00D32C9E" w:rsidRDefault="00D32C9E" w:rsidP="00D32C9E">
      <w:pPr>
        <w:adjustRightInd w:val="0"/>
        <w:jc w:val="both"/>
        <w:rPr>
          <w:rFonts w:ascii="Palatino Linotype" w:hAnsi="Palatino Linotype"/>
        </w:rPr>
      </w:pPr>
      <w:r>
        <w:rPr>
          <w:rFonts w:ascii="Palatino Linotype" w:hAnsi="Palatino Linotype"/>
          <w:b/>
        </w:rPr>
        <w:t xml:space="preserve">Segunda: </w:t>
      </w:r>
      <w:r>
        <w:rPr>
          <w:rFonts w:ascii="Palatino Linotype" w:hAnsi="Palatino Linotype"/>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D32C9E" w:rsidRDefault="00D32C9E" w:rsidP="00D32C9E">
      <w:pPr>
        <w:adjustRightInd w:val="0"/>
        <w:jc w:val="both"/>
        <w:rPr>
          <w:rFonts w:ascii="Palatino Linotype" w:hAnsi="Palatino Linotype"/>
        </w:rPr>
      </w:pPr>
    </w:p>
    <w:p w:rsidR="00D32C9E" w:rsidRDefault="00D32C9E" w:rsidP="00D32C9E">
      <w:pPr>
        <w:adjustRightInd w:val="0"/>
        <w:jc w:val="both"/>
        <w:rPr>
          <w:rFonts w:ascii="Palatino Linotype" w:hAnsi="Palatino Linotype"/>
        </w:rPr>
      </w:pPr>
      <w:r>
        <w:rPr>
          <w:rFonts w:ascii="Palatino Linotype" w:hAnsi="Palatino Linotype"/>
          <w:b/>
        </w:rPr>
        <w:t xml:space="preserve">Tercera: </w:t>
      </w:r>
      <w:r>
        <w:rPr>
          <w:rFonts w:ascii="Palatino Linotype" w:hAnsi="Palatino Linotype"/>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D32C9E" w:rsidRDefault="00D32C9E" w:rsidP="00D32C9E">
      <w:pPr>
        <w:adjustRightInd w:val="0"/>
        <w:jc w:val="both"/>
        <w:rPr>
          <w:rFonts w:ascii="Palatino Linotype" w:hAnsi="Palatino Linotype"/>
        </w:rPr>
      </w:pPr>
    </w:p>
    <w:p w:rsidR="00D32C9E" w:rsidRDefault="00D32C9E" w:rsidP="00D32C9E">
      <w:pPr>
        <w:adjustRightInd w:val="0"/>
        <w:rPr>
          <w:rFonts w:ascii="Palatino Linotype" w:hAnsi="Palatino Linotype"/>
        </w:rPr>
      </w:pPr>
      <w:r>
        <w:rPr>
          <w:rFonts w:ascii="Palatino Linotype" w:hAnsi="Palatino Linotype"/>
          <w:b/>
        </w:rPr>
        <w:t xml:space="preserve">Disposición Final. - </w:t>
      </w:r>
      <w:r>
        <w:rPr>
          <w:rFonts w:ascii="Palatino Linotype" w:hAnsi="Palatino Linotype"/>
        </w:rPr>
        <w:t>Esta ordenanza entrará en vigencia a partir de la fecha de su sanción, sin perjuicio de la publicación en la página web institucional de la Municipalidad.</w:t>
      </w:r>
    </w:p>
    <w:p w:rsidR="00D32C9E" w:rsidRDefault="00D32C9E" w:rsidP="00D32C9E">
      <w:pPr>
        <w:adjustRightInd w:val="0"/>
        <w:rPr>
          <w:rFonts w:ascii="Palatino Linotype" w:hAnsi="Palatino Linotype"/>
          <w:lang w:val="es-EC"/>
        </w:rPr>
      </w:pPr>
    </w:p>
    <w:p w:rsidR="00D32C9E" w:rsidRDefault="00D32C9E" w:rsidP="00D32C9E">
      <w:pPr>
        <w:adjustRightInd w:val="0"/>
        <w:rPr>
          <w:rFonts w:ascii="Palatino Linotype" w:hAnsi="Palatino Linotype"/>
          <w:b/>
        </w:rPr>
      </w:pPr>
      <w:r>
        <w:rPr>
          <w:rFonts w:ascii="Palatino Linotype" w:hAnsi="Palatino Linotype"/>
          <w:b/>
        </w:rPr>
        <w:t>Dada, en la Sala de Sesiones del Concejo Metropolitano de Quito, el … de … del 2023.</w:t>
      </w:r>
    </w:p>
    <w:p w:rsidR="00D32C9E" w:rsidRDefault="00D32C9E" w:rsidP="00D32C9E">
      <w:pPr>
        <w:adjustRightInd w:val="0"/>
        <w:jc w:val="center"/>
        <w:rPr>
          <w:rFonts w:ascii="Palatino Linotype" w:hAnsi="Palatino Linotype"/>
        </w:rPr>
      </w:pPr>
    </w:p>
    <w:p w:rsidR="00D32C9E" w:rsidRDefault="00D32C9E" w:rsidP="00D32C9E">
      <w:pPr>
        <w:adjustRightInd w:val="0"/>
        <w:jc w:val="center"/>
        <w:rPr>
          <w:rFonts w:ascii="Palatino Linotype" w:hAnsi="Palatino Linotype"/>
        </w:rPr>
      </w:pPr>
    </w:p>
    <w:p w:rsidR="00D32C9E" w:rsidRDefault="00D32C9E" w:rsidP="00D32C9E">
      <w:pPr>
        <w:adjustRightInd w:val="0"/>
        <w:jc w:val="center"/>
        <w:rPr>
          <w:rFonts w:ascii="Palatino Linotype" w:hAnsi="Palatino Linotype"/>
        </w:rPr>
      </w:pPr>
    </w:p>
    <w:p w:rsidR="00D32C9E" w:rsidRDefault="00D32C9E" w:rsidP="00D32C9E">
      <w:pPr>
        <w:adjustRightInd w:val="0"/>
        <w:jc w:val="center"/>
        <w:rPr>
          <w:rFonts w:ascii="Palatino Linotype" w:hAnsi="Palatino Linotype"/>
        </w:rPr>
      </w:pPr>
    </w:p>
    <w:p w:rsidR="00D32C9E" w:rsidRDefault="00D32C9E" w:rsidP="00D32C9E">
      <w:pPr>
        <w:adjustRightInd w:val="0"/>
        <w:jc w:val="center"/>
        <w:rPr>
          <w:rFonts w:ascii="Palatino Linotype" w:hAnsi="Palatino Linotype"/>
        </w:rPr>
      </w:pPr>
    </w:p>
    <w:p w:rsidR="00D32C9E" w:rsidRDefault="00D32C9E" w:rsidP="00D32C9E">
      <w:pPr>
        <w:adjustRightInd w:val="0"/>
        <w:jc w:val="center"/>
        <w:rPr>
          <w:rFonts w:ascii="Palatino Linotype" w:hAnsi="Palatino Linotype"/>
        </w:rPr>
      </w:pPr>
      <w:r>
        <w:rPr>
          <w:rFonts w:ascii="Palatino Linotype" w:hAnsi="Palatino Linotype"/>
        </w:rPr>
        <w:t>Dra. Libia Rivas Ordoñez</w:t>
      </w:r>
    </w:p>
    <w:p w:rsidR="00D32C9E" w:rsidRDefault="00D32C9E" w:rsidP="00D32C9E">
      <w:pPr>
        <w:adjustRightInd w:val="0"/>
        <w:jc w:val="center"/>
        <w:rPr>
          <w:rFonts w:ascii="Palatino Linotype" w:hAnsi="Palatino Linotype"/>
          <w:b/>
          <w:lang w:val="es-EC"/>
        </w:rPr>
      </w:pPr>
      <w:r>
        <w:rPr>
          <w:rFonts w:ascii="Palatino Linotype" w:hAnsi="Palatino Linotype"/>
          <w:b/>
        </w:rPr>
        <w:t>SECRETARIA GENERAL DEL CONCEJO METROPOLITANO DE QUITO</w:t>
      </w:r>
    </w:p>
    <w:p w:rsidR="00192DED" w:rsidRDefault="00192DED" w:rsidP="00D32C9E">
      <w:pPr>
        <w:jc w:val="center"/>
      </w:pPr>
    </w:p>
    <w:p w:rsidR="00D32C9E" w:rsidRDefault="00D32C9E" w:rsidP="00D32C9E">
      <w:pPr>
        <w:jc w:val="center"/>
      </w:pPr>
    </w:p>
    <w:p w:rsidR="00D32C9E" w:rsidRDefault="00D32C9E" w:rsidP="00D32C9E">
      <w:pPr>
        <w:adjustRightInd w:val="0"/>
        <w:jc w:val="center"/>
        <w:rPr>
          <w:rFonts w:ascii="Palatino Linotype" w:hAnsi="Palatino Linotype"/>
          <w:b/>
          <w:lang w:val="es-EC"/>
        </w:rPr>
      </w:pPr>
      <w:r>
        <w:rPr>
          <w:rFonts w:ascii="Palatino Linotype" w:hAnsi="Palatino Linotype"/>
          <w:b/>
        </w:rPr>
        <w:t>CERTIFICADO DE DISCUSIÓN</w:t>
      </w: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r>
        <w:rPr>
          <w:rFonts w:ascii="Palatino Linotype" w:hAnsi="Palatino Linotype"/>
          <w:b/>
        </w:rPr>
        <w:t>El infrascrito Secretario General del Concejo Metropolitano de Quito, certifica que la presente ordenanza fue discutida y aprobada en … debates, en</w:t>
      </w:r>
      <w:r w:rsidR="00DE0C83">
        <w:rPr>
          <w:rFonts w:ascii="Palatino Linotype" w:hAnsi="Palatino Linotype"/>
          <w:b/>
        </w:rPr>
        <w:t xml:space="preserve"> sesiones de</w:t>
      </w:r>
      <w:proofErr w:type="gramStart"/>
      <w:r w:rsidR="00DE0C83">
        <w:rPr>
          <w:rFonts w:ascii="Palatino Linotype" w:hAnsi="Palatino Linotype"/>
          <w:b/>
        </w:rPr>
        <w:t xml:space="preserve"> ..</w:t>
      </w:r>
      <w:proofErr w:type="gramEnd"/>
      <w:r w:rsidR="00DE0C83">
        <w:rPr>
          <w:rFonts w:ascii="Palatino Linotype" w:hAnsi="Palatino Linotype"/>
          <w:b/>
        </w:rPr>
        <w:t xml:space="preserve"> y … de … de 2023</w:t>
      </w:r>
      <w:r>
        <w:rPr>
          <w:rFonts w:ascii="Palatino Linotype" w:hAnsi="Palatino Linotype"/>
          <w:b/>
        </w:rPr>
        <w:t>.</w:t>
      </w: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p>
    <w:p w:rsidR="00D32C9E" w:rsidRDefault="00D32C9E" w:rsidP="00D32C9E">
      <w:pPr>
        <w:adjustRightInd w:val="0"/>
        <w:jc w:val="center"/>
        <w:rPr>
          <w:rFonts w:ascii="Palatino Linotype" w:hAnsi="Palatino Linotype"/>
        </w:rPr>
      </w:pPr>
      <w:r>
        <w:rPr>
          <w:rFonts w:ascii="Palatino Linotype" w:hAnsi="Palatino Linotype"/>
          <w:b/>
        </w:rPr>
        <w:tab/>
      </w:r>
      <w:r>
        <w:rPr>
          <w:rFonts w:ascii="Palatino Linotype" w:hAnsi="Palatino Linotype"/>
        </w:rPr>
        <w:t xml:space="preserve">Abg. Pablo Antonio Santillán Paredes </w:t>
      </w:r>
    </w:p>
    <w:p w:rsidR="00D32C9E" w:rsidRDefault="00D32C9E" w:rsidP="00D32C9E">
      <w:pPr>
        <w:adjustRightInd w:val="0"/>
        <w:jc w:val="center"/>
        <w:rPr>
          <w:rFonts w:ascii="Palatino Linotype" w:hAnsi="Palatino Linotype"/>
          <w:b/>
        </w:rPr>
      </w:pPr>
      <w:r>
        <w:rPr>
          <w:rFonts w:ascii="Palatino Linotype" w:hAnsi="Palatino Linotype"/>
          <w:b/>
        </w:rPr>
        <w:t xml:space="preserve">SECRETARIA GENERAL DEL CONCEJO METROPOLITANO DE QUITO </w:t>
      </w:r>
    </w:p>
    <w:p w:rsidR="00D32C9E" w:rsidRDefault="00D32C9E" w:rsidP="00D32C9E">
      <w:pPr>
        <w:adjustRightInd w:val="0"/>
        <w:jc w:val="center"/>
        <w:rPr>
          <w:rFonts w:ascii="Palatino Linotype" w:hAnsi="Palatino Linotype"/>
          <w:b/>
        </w:rPr>
      </w:pPr>
    </w:p>
    <w:p w:rsidR="00D32C9E" w:rsidRDefault="00D32C9E" w:rsidP="00D32C9E">
      <w:pPr>
        <w:adjustRightInd w:val="0"/>
        <w:jc w:val="center"/>
        <w:rPr>
          <w:rFonts w:ascii="Palatino Linotype" w:hAnsi="Palatino Linotype"/>
          <w:b/>
        </w:rPr>
      </w:pP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r>
        <w:rPr>
          <w:rFonts w:ascii="Palatino Linotype" w:hAnsi="Palatino Linotype"/>
          <w:b/>
        </w:rPr>
        <w:t>ALCALDIA DEL DISTRITO METROPOLITANO DE QUITO, ... de… del 2023.</w:t>
      </w: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r>
        <w:rPr>
          <w:rFonts w:ascii="Palatino Linotype" w:hAnsi="Palatino Linotype"/>
          <w:b/>
        </w:rPr>
        <w:lastRenderedPageBreak/>
        <w:tab/>
      </w:r>
      <w:r>
        <w:rPr>
          <w:rFonts w:ascii="Palatino Linotype" w:hAnsi="Palatino Linotype"/>
          <w:b/>
        </w:rPr>
        <w:tab/>
      </w:r>
      <w:r>
        <w:rPr>
          <w:rFonts w:ascii="Palatino Linotype" w:hAnsi="Palatino Linotype"/>
          <w:b/>
        </w:rPr>
        <w:tab/>
      </w:r>
      <w:r>
        <w:rPr>
          <w:rFonts w:ascii="Palatino Linotype" w:hAnsi="Palatino Linotype"/>
          <w:b/>
        </w:rPr>
        <w:tab/>
        <w:t xml:space="preserve">      EJECÚTESE</w:t>
      </w: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t xml:space="preserve">            </w:t>
      </w:r>
      <w:proofErr w:type="spellStart"/>
      <w:r>
        <w:rPr>
          <w:rFonts w:ascii="Palatino Linotype" w:hAnsi="Palatino Linotype"/>
          <w:b/>
        </w:rPr>
        <w:t>Mgs</w:t>
      </w:r>
      <w:proofErr w:type="spellEnd"/>
      <w:r>
        <w:rPr>
          <w:rFonts w:ascii="Palatino Linotype" w:hAnsi="Palatino Linotype"/>
          <w:b/>
        </w:rPr>
        <w:t>. Pavel Muñoz López</w:t>
      </w:r>
    </w:p>
    <w:p w:rsidR="00D32C9E" w:rsidRDefault="00D32C9E" w:rsidP="00D32C9E">
      <w:pPr>
        <w:adjustRightInd w:val="0"/>
        <w:rPr>
          <w:rFonts w:ascii="Palatino Linotype" w:hAnsi="Palatino Linotype"/>
          <w:b/>
        </w:rPr>
      </w:pPr>
      <w:r>
        <w:rPr>
          <w:rFonts w:ascii="Palatino Linotype" w:hAnsi="Palatino Linotype"/>
          <w:b/>
        </w:rPr>
        <w:tab/>
      </w:r>
      <w:r>
        <w:rPr>
          <w:rFonts w:ascii="Palatino Linotype" w:hAnsi="Palatino Linotype"/>
          <w:b/>
        </w:rPr>
        <w:tab/>
        <w:t>ALCALDE DEL DISTRITO EMTROPOLITANO DE QUITO</w:t>
      </w:r>
    </w:p>
    <w:p w:rsidR="00D32C9E" w:rsidRDefault="00D32C9E" w:rsidP="00D32C9E">
      <w:pPr>
        <w:adjustRightInd w:val="0"/>
        <w:rPr>
          <w:rFonts w:ascii="Palatino Linotype" w:hAnsi="Palatino Linotype"/>
          <w:b/>
        </w:rPr>
      </w:pPr>
    </w:p>
    <w:p w:rsidR="00D32C9E" w:rsidRDefault="00D32C9E" w:rsidP="00D32C9E">
      <w:pPr>
        <w:adjustRightInd w:val="0"/>
        <w:rPr>
          <w:rFonts w:ascii="Palatino Linotype" w:hAnsi="Palatino Linotype"/>
          <w:b/>
        </w:rPr>
      </w:pPr>
      <w:r>
        <w:rPr>
          <w:rFonts w:ascii="Palatino Linotype" w:hAnsi="Palatino Linotype"/>
          <w:b/>
        </w:rPr>
        <w:t xml:space="preserve">CERTIFICO, que la presente ordenanza fue sancionada por el </w:t>
      </w:r>
      <w:proofErr w:type="spellStart"/>
      <w:r>
        <w:rPr>
          <w:rFonts w:ascii="Palatino Linotype" w:hAnsi="Palatino Linotype"/>
          <w:b/>
        </w:rPr>
        <w:t>Mgs</w:t>
      </w:r>
      <w:proofErr w:type="spellEnd"/>
      <w:r>
        <w:rPr>
          <w:rFonts w:ascii="Palatino Linotype" w:hAnsi="Palatino Linotype"/>
          <w:b/>
        </w:rPr>
        <w:t>. Pavel Muñoz López, Alcalde del Distrito Metropolitano de Quito, el … de … de …2023.</w:t>
      </w:r>
    </w:p>
    <w:p w:rsidR="00D32C9E" w:rsidRDefault="00D32C9E" w:rsidP="00D32C9E">
      <w:pPr>
        <w:adjustRightInd w:val="0"/>
        <w:jc w:val="center"/>
        <w:rPr>
          <w:rFonts w:ascii="Palatino Linotype" w:hAnsi="Palatino Linotype"/>
          <w:b/>
        </w:rPr>
      </w:pPr>
    </w:p>
    <w:p w:rsidR="00D32C9E" w:rsidRDefault="00D32C9E" w:rsidP="00D32C9E">
      <w:pPr>
        <w:adjustRightInd w:val="0"/>
        <w:jc w:val="center"/>
        <w:rPr>
          <w:rFonts w:ascii="Palatino Linotype" w:hAnsi="Palatino Linotype"/>
          <w:b/>
        </w:rPr>
      </w:pPr>
    </w:p>
    <w:p w:rsidR="00D32C9E" w:rsidRDefault="00D32C9E" w:rsidP="00D32C9E">
      <w:pPr>
        <w:adjustRightInd w:val="0"/>
        <w:jc w:val="center"/>
        <w:rPr>
          <w:rFonts w:ascii="Palatino Linotype" w:hAnsi="Palatino Linotype"/>
          <w:b/>
        </w:rPr>
      </w:pPr>
    </w:p>
    <w:p w:rsidR="00D32C9E" w:rsidRDefault="00D32C9E" w:rsidP="00D32C9E">
      <w:pPr>
        <w:adjustRightInd w:val="0"/>
        <w:jc w:val="center"/>
        <w:rPr>
          <w:rFonts w:ascii="Palatino Linotype" w:hAnsi="Palatino Linotype"/>
          <w:b/>
        </w:rPr>
      </w:pPr>
    </w:p>
    <w:p w:rsidR="00D32C9E" w:rsidRDefault="00D32C9E" w:rsidP="00D32C9E">
      <w:pPr>
        <w:adjustRightInd w:val="0"/>
        <w:jc w:val="center"/>
        <w:rPr>
          <w:rFonts w:ascii="Palatino Linotype" w:hAnsi="Palatino Linotype"/>
        </w:rPr>
      </w:pPr>
      <w:r>
        <w:rPr>
          <w:rFonts w:ascii="Palatino Linotype" w:hAnsi="Palatino Linotype"/>
        </w:rPr>
        <w:t>Dra. Libia Rivas Ordoñez</w:t>
      </w:r>
    </w:p>
    <w:p w:rsidR="00D32C9E" w:rsidRDefault="00D32C9E" w:rsidP="00D32C9E">
      <w:pPr>
        <w:adjustRightInd w:val="0"/>
        <w:jc w:val="center"/>
        <w:rPr>
          <w:rFonts w:ascii="Palatino Linotype" w:hAnsi="Palatino Linotype" w:cstheme="minorBidi"/>
          <w:b/>
        </w:rPr>
      </w:pPr>
      <w:r>
        <w:rPr>
          <w:rFonts w:ascii="Palatino Linotype" w:hAnsi="Palatino Linotype"/>
          <w:b/>
        </w:rPr>
        <w:t xml:space="preserve">SECRETARIA GENERAL DEL CONCEJO METROPOLITANO DE QUITO </w:t>
      </w:r>
    </w:p>
    <w:p w:rsidR="00D32C9E" w:rsidRDefault="00D32C9E" w:rsidP="00D32C9E">
      <w:pPr>
        <w:jc w:val="center"/>
      </w:pPr>
    </w:p>
    <w:sectPr w:rsidR="00D32C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FF" w:rsidRDefault="007F43FF">
      <w:r>
        <w:separator/>
      </w:r>
    </w:p>
  </w:endnote>
  <w:endnote w:type="continuationSeparator" w:id="0">
    <w:p w:rsidR="007F43FF" w:rsidRDefault="007F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FF" w:rsidRDefault="007F43FF">
      <w:r>
        <w:separator/>
      </w:r>
    </w:p>
  </w:footnote>
  <w:footnote w:type="continuationSeparator" w:id="0">
    <w:p w:rsidR="007F43FF" w:rsidRDefault="007F4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33" w:rsidRDefault="00DE0C83">
    <w:pPr>
      <w:pStyle w:val="Encabezado"/>
    </w:pPr>
    <w:r>
      <w:rPr>
        <w:noProof/>
        <w:lang w:val="es-EC" w:eastAsia="es-EC"/>
      </w:rPr>
      <w:drawing>
        <wp:anchor distT="0" distB="0" distL="0" distR="0" simplePos="0" relativeHeight="251659264" behindDoc="0" locked="0" layoutInCell="1" allowOverlap="1" wp14:anchorId="06086EC3" wp14:editId="0C8DDC2D">
          <wp:simplePos x="0" y="0"/>
          <wp:positionH relativeFrom="page">
            <wp:posOffset>3619500</wp:posOffset>
          </wp:positionH>
          <wp:positionV relativeFrom="paragraph">
            <wp:posOffset>-390525</wp:posOffset>
          </wp:positionV>
          <wp:extent cx="487688" cy="701056"/>
          <wp:effectExtent l="0" t="0" r="0" b="0"/>
          <wp:wrapNone/>
          <wp:docPr id="16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7688" cy="701056"/>
                  </a:xfrm>
                  <a:prstGeom prst="rect">
                    <a:avLst/>
                  </a:prstGeom>
                </pic:spPr>
              </pic:pic>
            </a:graphicData>
          </a:graphic>
        </wp:anchor>
      </w:drawing>
    </w:r>
  </w:p>
  <w:p w:rsidR="00962333" w:rsidRDefault="007F43FF">
    <w:pPr>
      <w:pStyle w:val="Encabezado"/>
    </w:pPr>
  </w:p>
  <w:p w:rsidR="00962333" w:rsidRDefault="007F43FF">
    <w:pPr>
      <w:pStyle w:val="Encabezado"/>
    </w:pPr>
  </w:p>
  <w:p w:rsidR="00962333" w:rsidRDefault="007F43FF" w:rsidP="00F54B24">
    <w:pPr>
      <w:ind w:left="709" w:hanging="709"/>
      <w:rPr>
        <w:sz w:val="20"/>
      </w:rPr>
    </w:pPr>
  </w:p>
  <w:p w:rsidR="00962333" w:rsidRDefault="00DE0C83" w:rsidP="00962333">
    <w:pPr>
      <w:pStyle w:val="Ttulo1"/>
      <w:spacing w:before="8"/>
      <w:ind w:right="140"/>
      <w:jc w:val="left"/>
    </w:pPr>
    <w:r>
      <w:t xml:space="preserve">                                                               ORDENANZA</w:t>
    </w:r>
    <w:r>
      <w:rPr>
        <w:spacing w:val="9"/>
      </w:rPr>
      <w:t xml:space="preserve"> </w:t>
    </w:r>
    <w:r>
      <w:t>N°xxxxx-2023</w:t>
    </w:r>
  </w:p>
  <w:p w:rsidR="00962333" w:rsidRDefault="007F43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192DED"/>
    <w:rsid w:val="002E455E"/>
    <w:rsid w:val="007F43FF"/>
    <w:rsid w:val="00D32C9E"/>
    <w:rsid w:val="00DE0C83"/>
    <w:rsid w:val="00DF33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0B63-AA95-43A5-9634-57C559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DE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192DED"/>
    <w:pPr>
      <w:jc w:val="center"/>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92DED"/>
    <w:rPr>
      <w:rFonts w:ascii="Times New Roman" w:eastAsia="Times New Roman" w:hAnsi="Times New Roman" w:cs="Times New Roman"/>
      <w:b/>
      <w:bCs/>
      <w:sz w:val="23"/>
      <w:szCs w:val="23"/>
      <w:lang w:val="es-ES"/>
    </w:rPr>
  </w:style>
  <w:style w:type="paragraph" w:styleId="Textoindependiente">
    <w:name w:val="Body Text"/>
    <w:basedOn w:val="Normal"/>
    <w:link w:val="TextoindependienteCar"/>
    <w:uiPriority w:val="1"/>
    <w:qFormat/>
    <w:rsid w:val="00192DED"/>
    <w:rPr>
      <w:sz w:val="23"/>
      <w:szCs w:val="23"/>
    </w:rPr>
  </w:style>
  <w:style w:type="character" w:customStyle="1" w:styleId="TextoindependienteCar">
    <w:name w:val="Texto independiente Car"/>
    <w:basedOn w:val="Fuentedeprrafopredeter"/>
    <w:link w:val="Textoindependiente"/>
    <w:uiPriority w:val="1"/>
    <w:rsid w:val="00192DED"/>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192DED"/>
    <w:pPr>
      <w:tabs>
        <w:tab w:val="center" w:pos="4252"/>
        <w:tab w:val="right" w:pos="8504"/>
      </w:tabs>
    </w:pPr>
  </w:style>
  <w:style w:type="character" w:customStyle="1" w:styleId="EncabezadoCar">
    <w:name w:val="Encabezado Car"/>
    <w:basedOn w:val="Fuentedeprrafopredeter"/>
    <w:link w:val="Encabezado"/>
    <w:uiPriority w:val="99"/>
    <w:rsid w:val="00192DE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553">
      <w:bodyDiv w:val="1"/>
      <w:marLeft w:val="0"/>
      <w:marRight w:val="0"/>
      <w:marTop w:val="0"/>
      <w:marBottom w:val="0"/>
      <w:divBdr>
        <w:top w:val="none" w:sz="0" w:space="0" w:color="auto"/>
        <w:left w:val="none" w:sz="0" w:space="0" w:color="auto"/>
        <w:bottom w:val="none" w:sz="0" w:space="0" w:color="auto"/>
        <w:right w:val="none" w:sz="0" w:space="0" w:color="auto"/>
      </w:divBdr>
    </w:div>
    <w:div w:id="553078418">
      <w:bodyDiv w:val="1"/>
      <w:marLeft w:val="0"/>
      <w:marRight w:val="0"/>
      <w:marTop w:val="0"/>
      <w:marBottom w:val="0"/>
      <w:divBdr>
        <w:top w:val="none" w:sz="0" w:space="0" w:color="auto"/>
        <w:left w:val="none" w:sz="0" w:space="0" w:color="auto"/>
        <w:bottom w:val="none" w:sz="0" w:space="0" w:color="auto"/>
        <w:right w:val="none" w:sz="0" w:space="0" w:color="auto"/>
      </w:divBdr>
    </w:div>
    <w:div w:id="1409768799">
      <w:bodyDiv w:val="1"/>
      <w:marLeft w:val="0"/>
      <w:marRight w:val="0"/>
      <w:marTop w:val="0"/>
      <w:marBottom w:val="0"/>
      <w:divBdr>
        <w:top w:val="none" w:sz="0" w:space="0" w:color="auto"/>
        <w:left w:val="none" w:sz="0" w:space="0" w:color="auto"/>
        <w:bottom w:val="none" w:sz="0" w:space="0" w:color="auto"/>
        <w:right w:val="none" w:sz="0" w:space="0" w:color="auto"/>
      </w:divBdr>
    </w:div>
    <w:div w:id="1579369046">
      <w:bodyDiv w:val="1"/>
      <w:marLeft w:val="0"/>
      <w:marRight w:val="0"/>
      <w:marTop w:val="0"/>
      <w:marBottom w:val="0"/>
      <w:divBdr>
        <w:top w:val="none" w:sz="0" w:space="0" w:color="auto"/>
        <w:left w:val="none" w:sz="0" w:space="0" w:color="auto"/>
        <w:bottom w:val="none" w:sz="0" w:space="0" w:color="auto"/>
        <w:right w:val="none" w:sz="0" w:space="0" w:color="auto"/>
      </w:divBdr>
    </w:div>
    <w:div w:id="1912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Mena Paez</dc:creator>
  <cp:keywords/>
  <dc:description/>
  <cp:lastModifiedBy>Monica Elizabeth Mena Paez</cp:lastModifiedBy>
  <cp:revision>2</cp:revision>
  <dcterms:created xsi:type="dcterms:W3CDTF">2023-09-21T15:17:00Z</dcterms:created>
  <dcterms:modified xsi:type="dcterms:W3CDTF">2023-09-21T15:17:00Z</dcterms:modified>
</cp:coreProperties>
</file>