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bookmarkStart w:id="0" w:name="_GoBack"/>
      <w:bookmarkEnd w:id="0"/>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813AFC" w:rsidRPr="002D02CA">
        <w:rPr>
          <w:rFonts w:ascii="Arial" w:hAnsi="Arial" w:cs="Arial"/>
          <w:sz w:val="24"/>
          <w:szCs w:val="24"/>
        </w:rPr>
        <w:t>,y;</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 .</w:t>
      </w:r>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6386A6E2" w14:textId="4222B597"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w:t>
      </w:r>
      <w:commentRangeStart w:id="1"/>
      <w:r w:rsidR="00F31C7A" w:rsidRPr="002D02CA">
        <w:rPr>
          <w:rFonts w:ascii="Arial" w:hAnsi="Arial" w:cs="Arial"/>
          <w:i/>
          <w:iCs/>
          <w:color w:val="000000"/>
          <w:sz w:val="24"/>
          <w:szCs w:val="24"/>
          <w:shd w:val="clear" w:color="auto" w:fill="FFFFFF"/>
        </w:rPr>
        <w:t>correspondiente</w:t>
      </w:r>
      <w:commentRangeEnd w:id="1"/>
      <w:r w:rsidR="00C114BC">
        <w:rPr>
          <w:rStyle w:val="Refdecomentario"/>
        </w:rPr>
        <w:commentReference w:id="1"/>
      </w:r>
      <w:r w:rsidRPr="002D02CA">
        <w:rPr>
          <w:rFonts w:ascii="Arial" w:hAnsi="Arial" w:cs="Arial"/>
          <w:i/>
          <w:iCs/>
          <w:color w:val="000000"/>
          <w:sz w:val="24"/>
          <w:szCs w:val="24"/>
          <w:shd w:val="clear" w:color="auto" w:fill="FFFFFF"/>
        </w:rPr>
        <w:t xml:space="preserve">, mismo que se elaborará en coordinación con la Dirección Metropolitana de Gestión de </w:t>
      </w:r>
      <w:commentRangeStart w:id="2"/>
      <w:r w:rsidRPr="002D02CA">
        <w:rPr>
          <w:rFonts w:ascii="Arial" w:hAnsi="Arial" w:cs="Arial"/>
          <w:i/>
          <w:iCs/>
          <w:color w:val="000000"/>
          <w:sz w:val="24"/>
          <w:szCs w:val="24"/>
          <w:shd w:val="clear" w:color="auto" w:fill="FFFFFF"/>
        </w:rPr>
        <w:t>Bienes Inmuebles</w:t>
      </w:r>
      <w:commentRangeEnd w:id="2"/>
      <w:r w:rsidR="009410FD">
        <w:rPr>
          <w:rStyle w:val="Refdecomentario"/>
        </w:rPr>
        <w:commentReference w:id="2"/>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Pr="002D02CA">
        <w:rPr>
          <w:rFonts w:ascii="Arial" w:hAnsi="Arial" w:cs="Arial"/>
          <w:i/>
          <w:iCs/>
          <w:color w:val="000000"/>
          <w:sz w:val="24"/>
          <w:szCs w:val="24"/>
          <w:shd w:val="clear" w:color="auto" w:fill="FFFFFF"/>
        </w:rPr>
        <w:t xml:space="preserve">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 xml:space="preserve">La Comisión competente en materia de propiedad municipal y espacio público, </w:t>
      </w:r>
      <w:r w:rsidRPr="002D02CA">
        <w:rPr>
          <w:rFonts w:ascii="Arial" w:hAnsi="Arial" w:cs="Arial"/>
          <w:i/>
          <w:iCs/>
          <w:color w:val="000000"/>
          <w:sz w:val="24"/>
          <w:szCs w:val="24"/>
          <w:shd w:val="clear" w:color="auto" w:fill="FFFFFF"/>
        </w:rPr>
        <w:lastRenderedPageBreak/>
        <w:t>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 xml:space="preserve">Comités Pro Mejoras, Juntas Parroquiales y Organizaciones de la Comunidad, podrán solicitar y suscribir Convenios para la </w:t>
      </w:r>
      <w:commentRangeStart w:id="3"/>
      <w:r w:rsidRPr="002D02CA">
        <w:rPr>
          <w:rFonts w:ascii="Arial" w:hAnsi="Arial" w:cs="Arial"/>
          <w:i/>
          <w:iCs/>
          <w:color w:val="000000"/>
          <w:sz w:val="24"/>
          <w:szCs w:val="24"/>
          <w:shd w:val="clear" w:color="auto" w:fill="FFFFFF"/>
        </w:rPr>
        <w:t xml:space="preserve">Administración y Uso </w:t>
      </w:r>
      <w:commentRangeEnd w:id="3"/>
      <w:r w:rsidR="00C114BC">
        <w:rPr>
          <w:rStyle w:val="Refdecomentario"/>
        </w:rPr>
        <w:commentReference w:id="3"/>
      </w:r>
      <w:r w:rsidRPr="002D02CA">
        <w:rPr>
          <w:rFonts w:ascii="Arial" w:hAnsi="Arial" w:cs="Arial"/>
          <w:i/>
          <w:iCs/>
          <w:color w:val="000000"/>
          <w:sz w:val="24"/>
          <w:szCs w:val="24"/>
          <w:shd w:val="clear" w:color="auto" w:fill="FFFFFF"/>
        </w:rPr>
        <w:t xml:space="preserve">de las </w:t>
      </w:r>
      <w:commentRangeStart w:id="4"/>
      <w:r w:rsidRPr="002D02CA">
        <w:rPr>
          <w:rFonts w:ascii="Arial" w:hAnsi="Arial" w:cs="Arial"/>
          <w:i/>
          <w:iCs/>
          <w:color w:val="000000"/>
          <w:sz w:val="24"/>
          <w:szCs w:val="24"/>
          <w:shd w:val="clear" w:color="auto" w:fill="FFFFFF"/>
        </w:rPr>
        <w:t>instalaciones</w:t>
      </w:r>
      <w:commentRangeEnd w:id="4"/>
      <w:r w:rsidR="009410FD">
        <w:rPr>
          <w:rStyle w:val="Refdecomentario"/>
        </w:rPr>
        <w:commentReference w:id="4"/>
      </w:r>
      <w:r w:rsidRPr="002D02CA">
        <w:rPr>
          <w:rFonts w:ascii="Arial" w:hAnsi="Arial" w:cs="Arial"/>
          <w:i/>
          <w:iCs/>
          <w:color w:val="000000"/>
          <w:sz w:val="24"/>
          <w:szCs w:val="24"/>
          <w:shd w:val="clear" w:color="auto" w:fill="FFFFFF"/>
        </w:rPr>
        <w:t xml:space="preserve"> y escenarios deportivos de propiedad municipal del Distrito Metropolitano de Quito siempre y cuando sean organizaciones legalmente </w:t>
      </w:r>
      <w:commentRangeStart w:id="5"/>
      <w:r w:rsidRPr="002D02CA">
        <w:rPr>
          <w:rFonts w:ascii="Arial" w:hAnsi="Arial" w:cs="Arial"/>
          <w:i/>
          <w:iCs/>
          <w:color w:val="000000"/>
          <w:sz w:val="24"/>
          <w:szCs w:val="24"/>
          <w:shd w:val="clear" w:color="auto" w:fill="FFFFFF"/>
        </w:rPr>
        <w:t>constituidas</w:t>
      </w:r>
      <w:commentRangeEnd w:id="5"/>
      <w:r w:rsidR="00CE78D3">
        <w:rPr>
          <w:rStyle w:val="Refdecomentario"/>
        </w:rPr>
        <w:commentReference w:id="5"/>
      </w:r>
      <w:r w:rsidRPr="002D02CA">
        <w:rPr>
          <w:rFonts w:ascii="Arial" w:hAnsi="Arial" w:cs="Arial"/>
          <w:i/>
          <w:iCs/>
          <w:color w:val="000000"/>
          <w:sz w:val="24"/>
          <w:szCs w:val="24"/>
          <w:shd w:val="clear" w:color="auto" w:fill="FFFFFF"/>
        </w:rPr>
        <w:t>.”.</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blo Andrés Aizaga Perez" w:date="2023-09-29T14:55:00Z" w:initials="PAAP">
    <w:p w14:paraId="0A1DA074" w14:textId="409EB212" w:rsidR="00C114BC" w:rsidRDefault="00C114BC">
      <w:pPr>
        <w:pStyle w:val="Textocomentario"/>
      </w:pPr>
      <w:r>
        <w:rPr>
          <w:rStyle w:val="Refdecomentario"/>
        </w:rPr>
        <w:annotationRef/>
      </w:r>
      <w:r>
        <w:t xml:space="preserve">Por parte del área técnica se adjunta el levantamiento georeferenciado del predio (ya que se debe incluir el área actual), proceso que puede demorar conforme al área solicitada. </w:t>
      </w:r>
    </w:p>
  </w:comment>
  <w:comment w:id="2" w:author="Pablo Andrés Aizaga Perez" w:date="2023-09-29T15:13:00Z" w:initials="PAAP">
    <w:p w14:paraId="5A0DFF26" w14:textId="530D6748" w:rsidR="009410FD" w:rsidRDefault="009410FD">
      <w:pPr>
        <w:pStyle w:val="Textocomentario"/>
      </w:pPr>
      <w:r>
        <w:rPr>
          <w:rStyle w:val="Refdecomentario"/>
        </w:rPr>
        <w:annotationRef/>
      </w:r>
      <w:r w:rsidR="00CE78D3">
        <w:t>Se debe llevar un registro de archivo de los Convenios de Administración y Uso suscritos, conjuntamente la DGMBI, con la dirección Jurídica y Dirección Administrativa Financiera de cada Administración Zonal.</w:t>
      </w:r>
      <w:r>
        <w:t xml:space="preserve"> </w:t>
      </w:r>
    </w:p>
  </w:comment>
  <w:comment w:id="3" w:author="Pablo Andrés Aizaga Perez" w:date="2023-09-29T15:02:00Z" w:initials="PAAP">
    <w:p w14:paraId="23222705" w14:textId="041CD3D3" w:rsidR="00C114BC" w:rsidRDefault="00C114BC">
      <w:pPr>
        <w:pStyle w:val="Textocomentario"/>
      </w:pPr>
      <w:r>
        <w:rPr>
          <w:rStyle w:val="Refdecomentario"/>
        </w:rPr>
        <w:annotationRef/>
      </w:r>
      <w:r>
        <w:t>Las solicitudes por parte de las organizaciones deben tener claro si solicitan el área “total o parcial” del predio.</w:t>
      </w:r>
    </w:p>
  </w:comment>
  <w:comment w:id="4" w:author="Pablo Andrés Aizaga Perez" w:date="2023-09-29T15:09:00Z" w:initials="PAAP">
    <w:p w14:paraId="7F0E3406" w14:textId="63449B7D" w:rsidR="009410FD" w:rsidRDefault="009410FD">
      <w:pPr>
        <w:pStyle w:val="Textocomentario"/>
      </w:pPr>
      <w:r>
        <w:rPr>
          <w:rStyle w:val="Refdecomentario"/>
        </w:rPr>
        <w:annotationRef/>
      </w:r>
      <w:r>
        <w:t>Los predios que se soliciten para Convenios de Administración y Uso deben tener Historia de Dominio (escrituras), que las áreas verdes estén debidamente entregadas al municipio y catastradas.</w:t>
      </w:r>
    </w:p>
  </w:comment>
  <w:comment w:id="5" w:author="Pablo Andrés Aizaga Perez" w:date="2023-09-29T15:21:00Z" w:initials="PAAP">
    <w:p w14:paraId="44401CC8" w14:textId="0435AA55" w:rsidR="00CE78D3" w:rsidRDefault="00CE78D3">
      <w:pPr>
        <w:pStyle w:val="Textocomentario"/>
      </w:pPr>
      <w:r>
        <w:rPr>
          <w:rStyle w:val="Refdecomentario"/>
        </w:rPr>
        <w:annotationRef/>
      </w:r>
      <w:r>
        <w:t xml:space="preserve">se debe definir si: construcciones existentes dentro de predios municipales como: baterías sanitarias, </w:t>
      </w:r>
      <w:r w:rsidR="00CD66FA">
        <w:t>se pueden otorgar como convenio de uso.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DA074" w15:done="0"/>
  <w15:commentEx w15:paraId="5A0DFF26" w15:done="0"/>
  <w15:commentEx w15:paraId="23222705" w15:done="0"/>
  <w15:commentEx w15:paraId="7F0E3406" w15:done="0"/>
  <w15:commentEx w15:paraId="44401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DA074" w16cid:durableId="3AF6A324"/>
  <w16cid:commentId w16cid:paraId="5A0DFF26" w16cid:durableId="7035CB8C"/>
  <w16cid:commentId w16cid:paraId="23222705" w16cid:durableId="1220ADA4"/>
  <w16cid:commentId w16cid:paraId="7F0E3406" w16cid:durableId="3EC5B306"/>
  <w16cid:commentId w16cid:paraId="44401CC8" w16cid:durableId="20386B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Andrés Aizaga Perez">
    <w15:presenceInfo w15:providerId="AD" w15:userId="S-1-5-21-273869320-1094921958-1243824655-139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2D02CA"/>
    <w:rsid w:val="004631BF"/>
    <w:rsid w:val="004E3393"/>
    <w:rsid w:val="004E3661"/>
    <w:rsid w:val="004F5FD0"/>
    <w:rsid w:val="00676961"/>
    <w:rsid w:val="00813AFC"/>
    <w:rsid w:val="008F7B56"/>
    <w:rsid w:val="009410FD"/>
    <w:rsid w:val="0098581B"/>
    <w:rsid w:val="009B289E"/>
    <w:rsid w:val="00B50557"/>
    <w:rsid w:val="00BB5D4E"/>
    <w:rsid w:val="00BB60A0"/>
    <w:rsid w:val="00C114BC"/>
    <w:rsid w:val="00C2334C"/>
    <w:rsid w:val="00C63B04"/>
    <w:rsid w:val="00CD66FA"/>
    <w:rsid w:val="00CE78D3"/>
    <w:rsid w:val="00D2359B"/>
    <w:rsid w:val="00E42E0F"/>
    <w:rsid w:val="00EE5C3D"/>
    <w:rsid w:val="00F10F9E"/>
    <w:rsid w:val="00F31C7A"/>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character" w:styleId="Refdecomentario">
    <w:name w:val="annotation reference"/>
    <w:basedOn w:val="Fuentedeprrafopredeter"/>
    <w:uiPriority w:val="99"/>
    <w:semiHidden/>
    <w:unhideWhenUsed/>
    <w:rsid w:val="00C114BC"/>
    <w:rPr>
      <w:sz w:val="16"/>
      <w:szCs w:val="16"/>
    </w:rPr>
  </w:style>
  <w:style w:type="paragraph" w:styleId="Textocomentario">
    <w:name w:val="annotation text"/>
    <w:basedOn w:val="Normal"/>
    <w:link w:val="TextocomentarioCar"/>
    <w:uiPriority w:val="99"/>
    <w:semiHidden/>
    <w:unhideWhenUsed/>
    <w:rsid w:val="00C11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14BC"/>
    <w:rPr>
      <w:sz w:val="20"/>
      <w:szCs w:val="20"/>
    </w:rPr>
  </w:style>
  <w:style w:type="paragraph" w:styleId="Asuntodelcomentario">
    <w:name w:val="annotation subject"/>
    <w:basedOn w:val="Textocomentario"/>
    <w:next w:val="Textocomentario"/>
    <w:link w:val="AsuntodelcomentarioCar"/>
    <w:uiPriority w:val="99"/>
    <w:semiHidden/>
    <w:unhideWhenUsed/>
    <w:rsid w:val="00C114BC"/>
    <w:rPr>
      <w:b/>
      <w:bCs/>
    </w:rPr>
  </w:style>
  <w:style w:type="character" w:customStyle="1" w:styleId="AsuntodelcomentarioCar">
    <w:name w:val="Asunto del comentario Car"/>
    <w:basedOn w:val="TextocomentarioCar"/>
    <w:link w:val="Asuntodelcomentario"/>
    <w:uiPriority w:val="99"/>
    <w:semiHidden/>
    <w:rsid w:val="00C114BC"/>
    <w:rPr>
      <w:b/>
      <w:bCs/>
      <w:sz w:val="20"/>
      <w:szCs w:val="20"/>
    </w:rPr>
  </w:style>
  <w:style w:type="paragraph" w:styleId="Textodeglobo">
    <w:name w:val="Balloon Text"/>
    <w:basedOn w:val="Normal"/>
    <w:link w:val="TextodegloboCar"/>
    <w:uiPriority w:val="99"/>
    <w:semiHidden/>
    <w:unhideWhenUsed/>
    <w:rsid w:val="00C11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cp:lastPrinted>2023-09-29T20:26:00Z</cp:lastPrinted>
  <dcterms:created xsi:type="dcterms:W3CDTF">2023-10-12T14:43:00Z</dcterms:created>
  <dcterms:modified xsi:type="dcterms:W3CDTF">2023-10-12T14:43:00Z</dcterms:modified>
</cp:coreProperties>
</file>