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8D" w:rsidRPr="004B5626" w:rsidRDefault="00600D8D" w:rsidP="00600D8D">
      <w:pPr>
        <w:autoSpaceDE w:val="0"/>
        <w:autoSpaceDN w:val="0"/>
        <w:adjustRightInd w:val="0"/>
        <w:ind w:left="709" w:hanging="709"/>
        <w:jc w:val="both"/>
        <w:rPr>
          <w:rFonts w:asciiTheme="minorHAnsi" w:eastAsiaTheme="minorHAnsi" w:hAnsiTheme="minorHAnsi" w:cstheme="minorHAnsi"/>
          <w:i/>
          <w:sz w:val="22"/>
          <w:szCs w:val="22"/>
          <w:lang w:val="es-EC" w:eastAsia="en-US"/>
        </w:rPr>
      </w:pPr>
      <w:bookmarkStart w:id="0" w:name="_GoBack"/>
      <w:bookmarkEnd w:id="0"/>
    </w:p>
    <w:p w:rsidR="00854F7C" w:rsidRPr="00921E14" w:rsidRDefault="002F3FDE" w:rsidP="00854F7C">
      <w:pPr>
        <w:jc w:val="center"/>
        <w:rPr>
          <w:b/>
        </w:rPr>
      </w:pPr>
      <w:proofErr w:type="spellStart"/>
      <w:r>
        <w:rPr>
          <w:b/>
        </w:rPr>
        <w:t>Mgs</w:t>
      </w:r>
      <w:proofErr w:type="spellEnd"/>
      <w:r>
        <w:rPr>
          <w:b/>
        </w:rPr>
        <w:t>. PAB</w:t>
      </w:r>
      <w:r w:rsidR="0007297E">
        <w:rPr>
          <w:b/>
        </w:rPr>
        <w:t>EL MUÑOZ LÓPEZ</w:t>
      </w:r>
    </w:p>
    <w:p w:rsidR="00DF5041" w:rsidRPr="00921E14" w:rsidRDefault="00DF5041" w:rsidP="00854F7C">
      <w:pPr>
        <w:jc w:val="center"/>
        <w:rPr>
          <w:b/>
        </w:rPr>
      </w:pPr>
    </w:p>
    <w:p w:rsidR="00854F7C" w:rsidRPr="00921E14" w:rsidRDefault="00854F7C" w:rsidP="00854F7C">
      <w:pPr>
        <w:jc w:val="center"/>
      </w:pPr>
      <w:r w:rsidRPr="00921E14">
        <w:rPr>
          <w:b/>
        </w:rPr>
        <w:t>ALCALDE DEL DISTRITO METROPOLITANO DE QUITO</w:t>
      </w:r>
    </w:p>
    <w:p w:rsidR="00854F7C" w:rsidRPr="00921E14" w:rsidRDefault="00854F7C" w:rsidP="00854F7C">
      <w:pPr>
        <w:jc w:val="center"/>
        <w:rPr>
          <w:b/>
        </w:rPr>
      </w:pPr>
    </w:p>
    <w:p w:rsidR="00854F7C" w:rsidRPr="00921E14" w:rsidRDefault="00854F7C" w:rsidP="00854F7C">
      <w:pPr>
        <w:jc w:val="center"/>
        <w:rPr>
          <w:b/>
        </w:rPr>
      </w:pPr>
      <w:r w:rsidRPr="00921E14">
        <w:rPr>
          <w:b/>
        </w:rPr>
        <w:t>RESOLUCIÓN   No. ……………………</w:t>
      </w:r>
    </w:p>
    <w:p w:rsidR="00854F7C" w:rsidRPr="00921E14" w:rsidRDefault="00854F7C" w:rsidP="00854F7C">
      <w:pPr>
        <w:tabs>
          <w:tab w:val="left" w:pos="5375"/>
        </w:tabs>
        <w:jc w:val="both"/>
      </w:pPr>
      <w:r w:rsidRPr="00921E14">
        <w:tab/>
      </w:r>
    </w:p>
    <w:p w:rsidR="00854F7C" w:rsidRPr="00921E14" w:rsidRDefault="00854F7C" w:rsidP="00854F7C">
      <w:pPr>
        <w:jc w:val="center"/>
        <w:rPr>
          <w:b/>
        </w:rPr>
      </w:pPr>
      <w:r w:rsidRPr="00921E14">
        <w:rPr>
          <w:b/>
        </w:rPr>
        <w:t>CONSIDERACIONES:</w:t>
      </w:r>
    </w:p>
    <w:p w:rsidR="00600D8D" w:rsidRPr="00921E14" w:rsidRDefault="00600D8D" w:rsidP="00600D8D">
      <w:pPr>
        <w:autoSpaceDE w:val="0"/>
        <w:autoSpaceDN w:val="0"/>
        <w:adjustRightInd w:val="0"/>
        <w:jc w:val="center"/>
        <w:rPr>
          <w:rFonts w:eastAsiaTheme="minorHAnsi"/>
          <w:b/>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5" w:hanging="705"/>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2 del artículo 264 de la Constitución, disponen: </w:t>
      </w:r>
      <w:r w:rsidRPr="00921E1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266 de la Constitución, determina: </w:t>
      </w:r>
      <w:r w:rsidRPr="00921E1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r>
      <w:bookmarkStart w:id="1" w:name="_Hlk51943612"/>
      <w:r w:rsidRPr="00921E14">
        <w:rPr>
          <w:rFonts w:eastAsiaTheme="minorHAnsi"/>
          <w:lang w:val="es-EC" w:eastAsia="en-US"/>
        </w:rPr>
        <w:t xml:space="preserve">los literales a), d) y v) del artículo 87 del </w:t>
      </w:r>
      <w:r w:rsidR="00131EC9" w:rsidRPr="00921E14">
        <w:rPr>
          <w:rFonts w:eastAsiaTheme="minorHAnsi"/>
          <w:lang w:val="es-EC" w:eastAsia="en-US"/>
        </w:rPr>
        <w:t xml:space="preserve">Código Orgánico de Ordenamiento Territorial, Autonomía y Descentralización </w:t>
      </w:r>
      <w:r w:rsidRPr="00921E14">
        <w:rPr>
          <w:rFonts w:eastAsiaTheme="minorHAnsi"/>
          <w:lang w:val="es-EC" w:eastAsia="en-US"/>
        </w:rPr>
        <w:t>COOTAD, señala:</w:t>
      </w:r>
      <w:r w:rsidRPr="00921E1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921E14">
        <w:rPr>
          <w:rFonts w:eastAsiaTheme="minorHAnsi"/>
          <w:lang w:val="es-EC" w:eastAsia="en-US"/>
        </w:rPr>
        <w:t xml:space="preserve"> </w:t>
      </w:r>
      <w:r w:rsidRPr="00921E1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1"/>
      <w:r w:rsidRPr="00921E14">
        <w:rPr>
          <w:rFonts w:eastAsiaTheme="minorHAnsi"/>
          <w:i/>
          <w:lang w:val="es-EC" w:eastAsia="en-US"/>
        </w:rPr>
        <w:t>”;</w:t>
      </w:r>
      <w:r w:rsidRPr="00921E14">
        <w:rPr>
          <w:rFonts w:eastAsiaTheme="minorHAnsi"/>
          <w:lang w:val="es-EC" w:eastAsia="en-US"/>
        </w:rPr>
        <w:t xml:space="preserve">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i/>
          <w:iCs/>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323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w:t>
      </w:r>
      <w:r w:rsidRPr="00921E1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pStyle w:val="Default"/>
        <w:ind w:left="705" w:hanging="705"/>
        <w:jc w:val="both"/>
        <w:rPr>
          <w:rFonts w:ascii="Times New Roman" w:hAnsi="Times New Roman" w:cs="Times New Roman"/>
        </w:rPr>
      </w:pPr>
      <w:r w:rsidRPr="00921E14">
        <w:rPr>
          <w:rFonts w:ascii="Times New Roman" w:hAnsi="Times New Roman" w:cs="Times New Roman"/>
          <w:b/>
        </w:rPr>
        <w:t>Que</w:t>
      </w:r>
      <w:r w:rsidRPr="00921E14">
        <w:rPr>
          <w:rFonts w:ascii="Times New Roman" w:hAnsi="Times New Roman" w:cs="Times New Roman"/>
        </w:rPr>
        <w:t>,</w:t>
      </w:r>
      <w:r w:rsidRPr="00921E14">
        <w:rPr>
          <w:rFonts w:ascii="Times New Roman" w:hAnsi="Times New Roman" w:cs="Times New Roman"/>
        </w:rPr>
        <w:tab/>
        <w:t xml:space="preserve">el artículo 472 </w:t>
      </w:r>
      <w:r w:rsidR="00131EC9" w:rsidRPr="00921E14">
        <w:rPr>
          <w:rFonts w:ascii="Times New Roman" w:hAnsi="Times New Roman" w:cs="Times New Roman"/>
        </w:rPr>
        <w:t>del Código Orgánico de Ordenamiento Territorial, Autonomía y Descentralización COOTAD</w:t>
      </w:r>
      <w:r w:rsidRPr="00921E14">
        <w:rPr>
          <w:rFonts w:ascii="Times New Roman" w:hAnsi="Times New Roman" w:cs="Times New Roman"/>
        </w:rPr>
        <w:t xml:space="preserve"> señala que: “</w:t>
      </w:r>
      <w:r w:rsidRPr="00921E1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el artículo 473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que: </w:t>
      </w:r>
      <w:r w:rsidRPr="00921E14">
        <w:rPr>
          <w:rFonts w:eastAsiaTheme="minorHAnsi"/>
          <w:i/>
          <w:lang w:val="es-EC" w:eastAsia="en-US"/>
        </w:rPr>
        <w:t>“</w:t>
      </w:r>
      <w:r w:rsidRPr="00921E14">
        <w:rPr>
          <w:rFonts w:eastAsiaTheme="minorHAnsi"/>
          <w:i/>
          <w:lang w:eastAsia="en-US"/>
        </w:rPr>
        <w:t xml:space="preserve">En el caso de partición judicial de </w:t>
      </w:r>
      <w:r w:rsidRPr="00921E14">
        <w:rPr>
          <w:rFonts w:eastAsiaTheme="minorHAnsi"/>
          <w:i/>
          <w:lang w:eastAsia="en-US"/>
        </w:rPr>
        <w:lastRenderedPageBreak/>
        <w:t>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921E14">
        <w:rPr>
          <w:rFonts w:eastAsiaTheme="minorHAnsi"/>
          <w:i/>
          <w:lang w:val="es-EC" w:eastAsia="en-US"/>
        </w:rPr>
        <w:t>”</w:t>
      </w:r>
      <w:r w:rsidRPr="00921E14">
        <w:rPr>
          <w:rFonts w:eastAsiaTheme="minorHAnsi"/>
          <w:lang w:val="es-EC" w:eastAsia="en-US"/>
        </w:rPr>
        <w:t>;</w:t>
      </w:r>
    </w:p>
    <w:p w:rsidR="00600D8D" w:rsidRPr="00921E14" w:rsidRDefault="00600D8D" w:rsidP="00600D8D">
      <w:pPr>
        <w:autoSpaceDE w:val="0"/>
        <w:autoSpaceDN w:val="0"/>
        <w:adjustRightInd w:val="0"/>
        <w:jc w:val="both"/>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el numeral 1, del artículo 2 de la Ley de Régimen para el Distrito Metropolitano de Quito, determina, como finalidad, que el Municipio del Distrito Metropolitano de Quito: “</w:t>
      </w:r>
      <w:r w:rsidRPr="00921E1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21E14">
        <w:rPr>
          <w:rFonts w:eastAsiaTheme="minorHAnsi"/>
          <w:lang w:val="es-EC" w:eastAsia="en-US"/>
        </w:rPr>
        <w:t>;</w:t>
      </w:r>
    </w:p>
    <w:p w:rsidR="00264D5A" w:rsidRPr="00264D5A" w:rsidRDefault="00264D5A" w:rsidP="00264D5A">
      <w:pPr>
        <w:pStyle w:val="Ttulo5"/>
        <w:spacing w:before="200"/>
        <w:ind w:left="705" w:hanging="705"/>
        <w:jc w:val="both"/>
        <w:rPr>
          <w:rFonts w:eastAsiaTheme="minorHAnsi"/>
          <w:b w:val="0"/>
          <w:bCs w:val="0"/>
          <w:i/>
          <w:color w:val="auto"/>
          <w:sz w:val="24"/>
          <w:szCs w:val="24"/>
          <w:lang w:eastAsia="en-US"/>
        </w:rPr>
      </w:pPr>
      <w:r w:rsidRPr="00264D5A">
        <w:rPr>
          <w:rStyle w:val="fontstyle01"/>
          <w:sz w:val="24"/>
          <w:szCs w:val="24"/>
        </w:rPr>
        <w:t>Que</w:t>
      </w:r>
      <w:r>
        <w:rPr>
          <w:rStyle w:val="fontstyle01"/>
          <w:b w:val="0"/>
          <w:sz w:val="24"/>
          <w:szCs w:val="24"/>
        </w:rPr>
        <w:t xml:space="preserve"> , </w:t>
      </w:r>
      <w:r>
        <w:rPr>
          <w:rStyle w:val="fontstyle01"/>
          <w:b w:val="0"/>
          <w:sz w:val="24"/>
          <w:szCs w:val="24"/>
        </w:rPr>
        <w:tab/>
      </w:r>
      <w:r w:rsidRPr="00264D5A">
        <w:rPr>
          <w:rFonts w:eastAsiaTheme="minorHAnsi"/>
          <w:bCs w:val="0"/>
          <w:color w:val="auto"/>
          <w:lang w:eastAsia="en-US"/>
        </w:rPr>
        <w:t>el artículo</w:t>
      </w:r>
      <w:r w:rsidRPr="00264D5A">
        <w:rPr>
          <w:rFonts w:eastAsiaTheme="minorHAnsi"/>
          <w:b w:val="0"/>
          <w:bCs w:val="0"/>
          <w:color w:val="auto"/>
          <w:sz w:val="24"/>
          <w:szCs w:val="24"/>
          <w:lang w:eastAsia="en-US"/>
        </w:rPr>
        <w:t xml:space="preserve"> 2567 de la Ordenanza 001 (actualizado al 27 de diciembre de 2023), señala: </w:t>
      </w:r>
      <w:r w:rsidRPr="00264D5A">
        <w:rPr>
          <w:rFonts w:eastAsiaTheme="minorHAnsi"/>
          <w:b w:val="0"/>
          <w:bCs w:val="0"/>
          <w:i/>
          <w:color w:val="auto"/>
          <w:sz w:val="24"/>
          <w:szCs w:val="24"/>
          <w:lang w:eastAsia="en-US"/>
        </w:rPr>
        <w:t>“Compensación para áreas verdes, áreas comunitarias en particiones judiciales.- En Particiones judiciales de inmuebles con áreas inferiores a 3000.00 m2, si la contribución del 15% del área verde y área comunitaria en forma de cesión gratuita y obligatoria es menor al lote mínimo asignado en la edificabilidad vigente, el administrado compensará el equivalente al 15% en valor monetario según el avalúo catastral actualizado.</w:t>
      </w:r>
    </w:p>
    <w:p w:rsidR="00264D5A" w:rsidRPr="00264D5A" w:rsidRDefault="00264D5A" w:rsidP="00264D5A">
      <w:pPr>
        <w:spacing w:before="200" w:after="200"/>
        <w:ind w:left="705"/>
        <w:jc w:val="both"/>
        <w:rPr>
          <w:rFonts w:eastAsiaTheme="minorHAnsi"/>
          <w:i/>
          <w:lang w:val="es-EC" w:eastAsia="en-US"/>
        </w:rPr>
      </w:pPr>
      <w:r w:rsidRPr="00264D5A">
        <w:rPr>
          <w:rFonts w:eastAsiaTheme="minorHAnsi"/>
          <w:i/>
          <w:lang w:val="es-EC" w:eastAsia="en-US"/>
        </w:rPr>
        <w:t xml:space="preserve">En el caso de la sentencia ejecutoriada dictada dentro del juicio de prescripción extraordinaria adquisitiva de dominio, de una </w:t>
      </w:r>
      <w:r w:rsidR="00F91E21" w:rsidRPr="00264D5A">
        <w:rPr>
          <w:rFonts w:eastAsiaTheme="minorHAnsi"/>
          <w:i/>
          <w:lang w:val="es-EC" w:eastAsia="en-US"/>
        </w:rPr>
        <w:t>parte,</w:t>
      </w:r>
      <w:r w:rsidRPr="00264D5A">
        <w:rPr>
          <w:rFonts w:eastAsiaTheme="minorHAnsi"/>
          <w:i/>
          <w:lang w:val="es-EC" w:eastAsia="en-US"/>
        </w:rPr>
        <w:t xml:space="preserve"> de un lote que obliga a un fraccionamiento, se deberá calcular el aporte del 15% del área útil adquirida mediante sentencia.</w:t>
      </w:r>
    </w:p>
    <w:p w:rsidR="00600D8D" w:rsidRPr="00264D5A" w:rsidRDefault="00264D5A" w:rsidP="00264D5A">
      <w:pPr>
        <w:spacing w:before="200" w:after="200"/>
        <w:ind w:left="705"/>
        <w:jc w:val="both"/>
        <w:rPr>
          <w:rFonts w:eastAsiaTheme="minorHAnsi"/>
          <w:lang w:val="es-EC" w:eastAsia="en-US"/>
        </w:rPr>
      </w:pPr>
      <w:r w:rsidRPr="00264D5A">
        <w:rPr>
          <w:rFonts w:eastAsiaTheme="minorHAnsi"/>
          <w:i/>
          <w:lang w:val="es-EC" w:eastAsia="en-US"/>
        </w:rPr>
        <w:t>Si el área de la sentencia es inferior a 3000.00 m2, la contribución del 15% del área útil urbanizable adjudicada se compensará en valor monetario según el avalúo catastral actualiz</w:t>
      </w:r>
      <w:r w:rsidRPr="00264D5A">
        <w:rPr>
          <w:rFonts w:eastAsiaTheme="minorHAnsi"/>
          <w:lang w:val="es-EC" w:eastAsia="en-US"/>
        </w:rPr>
        <w:t>ado, cuando sea menor al lote mínimo asignado en la edificabilidad vigente”.</w:t>
      </w:r>
    </w:p>
    <w:p w:rsidR="00600D8D" w:rsidRPr="00921E14" w:rsidRDefault="00600D8D" w:rsidP="00CC083B">
      <w:pPr>
        <w:jc w:val="both"/>
      </w:pPr>
    </w:p>
    <w:p w:rsidR="004E0D99" w:rsidRPr="00921E14" w:rsidRDefault="004E0D99" w:rsidP="004E0D99">
      <w:pPr>
        <w:ind w:left="705" w:hanging="705"/>
        <w:jc w:val="both"/>
        <w:rPr>
          <w:i/>
          <w:lang w:eastAsia="es-EC"/>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Pr="00921E1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921E14">
        <w:rPr>
          <w:lang w:eastAsia="es-EC"/>
        </w:rPr>
        <w:t xml:space="preserve">B.2.1, el cual, textualmente señala: </w:t>
      </w:r>
      <w:r w:rsidRPr="00921E1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4E0D99" w:rsidRPr="00921E14" w:rsidRDefault="004E0D99" w:rsidP="00D27AB2">
      <w:pPr>
        <w:jc w:val="both"/>
        <w:rPr>
          <w:rFonts w:eastAsiaTheme="minorHAnsi"/>
          <w:b/>
          <w:lang w:val="es-EC" w:eastAsia="en-US"/>
        </w:rPr>
      </w:pPr>
    </w:p>
    <w:p w:rsidR="00921E14" w:rsidRPr="00921E14" w:rsidRDefault="00921E14" w:rsidP="00D27AB2">
      <w:pPr>
        <w:jc w:val="both"/>
        <w:rPr>
          <w:rFonts w:eastAsiaTheme="minorHAnsi"/>
          <w:b/>
          <w:lang w:val="es-EC" w:eastAsia="en-US"/>
        </w:rPr>
      </w:pPr>
    </w:p>
    <w:p w:rsidR="00921E14" w:rsidRPr="00921E14" w:rsidRDefault="00921E14" w:rsidP="00921E14">
      <w:pPr>
        <w:ind w:left="705" w:hanging="705"/>
        <w:jc w:val="both"/>
        <w:rPr>
          <w:rFonts w:eastAsiaTheme="minorHAnsi"/>
          <w:b/>
          <w:i/>
          <w:lang w:val="es-EC" w:eastAsia="en-US"/>
        </w:rPr>
      </w:pPr>
      <w:r w:rsidRPr="00921E14">
        <w:rPr>
          <w:b/>
        </w:rPr>
        <w:lastRenderedPageBreak/>
        <w:t>Que,</w:t>
      </w:r>
      <w:r w:rsidRPr="00921E14">
        <w:t xml:space="preserve"> </w:t>
      </w:r>
      <w:r w:rsidRPr="00921E14">
        <w:tab/>
      </w:r>
      <w:r w:rsidRPr="00921E14">
        <w:rPr>
          <w:rFonts w:eastAsiaTheme="minorHAnsi"/>
          <w:lang w:val="es-EC" w:eastAsia="en-US"/>
        </w:rPr>
        <w:t xml:space="preserve">con la sentencia emitida dentro del </w:t>
      </w:r>
      <w:r w:rsidRPr="00921E14">
        <w:rPr>
          <w:lang w:val="es-EC" w:eastAsia="es-EC"/>
        </w:rPr>
        <w:t xml:space="preserve">proceso judicial No. 17230-2019-19805, mediante el cual el Juez de la Unidad Judicial Civil con sede en la parroquia de Iñaquito del Distrito Metropolitano de Quito,  resolvió “(…) </w:t>
      </w:r>
      <w:r w:rsidRPr="00921E14">
        <w:rPr>
          <w:i/>
        </w:rPr>
        <w:t>En virtud de las argumentaciones precedentes, con fundamento en los Arts. 169 y 172 de la Constitución de la República, Art. 129 del Código Orgánico de la Función Judicial y Arts. 88 y 95 del Código Orgánico General de Procesos, ADMINISTRANDO JUSTICIA EN NOMBRE DEL PUEBLO SOBERANO DEL ECUADOR Y POR AUTORIDAD DE LA CONSTITUCIÓN Y LAS LEYES DE LA REPÚBLICA, se acepta la demanda; en consecuencia se declara que el señor ROBERTO MIGUEL RENTERIA SALAZAR, ha adquirido por prescripción extraordinaria adquisitiva de dominio, de la casa No. 145 del Conjunto Paseos de Calderón, Etapa II de la parroquia Calderón del Distrito Metropolitano de Quito, el mismo que se encuentra demarcado por l</w:t>
      </w:r>
      <w:r w:rsidR="009912F7">
        <w:rPr>
          <w:i/>
        </w:rPr>
        <w:t>os siguientes linderos: NORTE: col</w:t>
      </w:r>
      <w:r w:rsidRPr="00921E14">
        <w:rPr>
          <w:i/>
        </w:rPr>
        <w:t xml:space="preserve">inda con la casa 123 adjudicada a </w:t>
      </w:r>
      <w:r w:rsidR="009912F7">
        <w:rPr>
          <w:i/>
        </w:rPr>
        <w:t xml:space="preserve">la señora Silvia </w:t>
      </w:r>
      <w:proofErr w:type="spellStart"/>
      <w:r w:rsidR="009912F7">
        <w:rPr>
          <w:i/>
        </w:rPr>
        <w:t>Sornoza</w:t>
      </w:r>
      <w:proofErr w:type="spellEnd"/>
      <w:r w:rsidR="009912F7">
        <w:rPr>
          <w:i/>
        </w:rPr>
        <w:t>; SUR: col</w:t>
      </w:r>
      <w:r w:rsidRPr="00921E14">
        <w:rPr>
          <w:i/>
        </w:rPr>
        <w:t>inda en 6,07 metros con la calle UNO del Conjunto Habitacional denominado Pase</w:t>
      </w:r>
      <w:r w:rsidR="009912F7">
        <w:rPr>
          <w:i/>
        </w:rPr>
        <w:t>os de Calderón II Etapa; ESTE: col</w:t>
      </w:r>
      <w:r w:rsidRPr="00921E14">
        <w:rPr>
          <w:i/>
        </w:rPr>
        <w:t xml:space="preserve">inda en 13,82 metros con la casa número 146 adjudicada </w:t>
      </w:r>
      <w:r w:rsidR="009912F7">
        <w:rPr>
          <w:i/>
        </w:rPr>
        <w:t xml:space="preserve">al señor Segundo </w:t>
      </w:r>
      <w:proofErr w:type="spellStart"/>
      <w:r w:rsidR="009912F7">
        <w:rPr>
          <w:i/>
        </w:rPr>
        <w:t>Tipán</w:t>
      </w:r>
      <w:proofErr w:type="spellEnd"/>
      <w:r w:rsidR="009912F7">
        <w:rPr>
          <w:i/>
        </w:rPr>
        <w:t>; OESTE: col</w:t>
      </w:r>
      <w:r w:rsidRPr="00921E14">
        <w:rPr>
          <w:i/>
        </w:rPr>
        <w:t xml:space="preserve">inda en 13,82 con la casa número 144 con propiedad del señor </w:t>
      </w:r>
      <w:r w:rsidR="0007297E" w:rsidRPr="00921E14">
        <w:rPr>
          <w:i/>
        </w:rPr>
        <w:t>Víctor</w:t>
      </w:r>
      <w:r w:rsidRPr="00921E14">
        <w:rPr>
          <w:i/>
        </w:rPr>
        <w:t xml:space="preserve"> Molina. Con área de construcción total del inmueble de 89,09 metros cuadrados, constituidos en dos plantas. Datos tomados del informe pericial constante en autos (…)”.</w:t>
      </w:r>
    </w:p>
    <w:p w:rsidR="00921E14" w:rsidRPr="00921E14" w:rsidRDefault="00921E14" w:rsidP="00D27AB2">
      <w:pPr>
        <w:jc w:val="both"/>
        <w:rPr>
          <w:rFonts w:eastAsiaTheme="minorHAnsi"/>
          <w:b/>
          <w:lang w:val="es-EC" w:eastAsia="en-US"/>
        </w:rPr>
      </w:pPr>
    </w:p>
    <w:p w:rsidR="00D27AB2" w:rsidRPr="00921E14" w:rsidRDefault="00600D8D" w:rsidP="0007297E">
      <w:pPr>
        <w:ind w:left="705" w:hanging="705"/>
        <w:jc w:val="both"/>
        <w:rPr>
          <w:bCs/>
          <w:color w:val="000000"/>
        </w:rPr>
      </w:pPr>
      <w:r w:rsidRPr="00921E14">
        <w:rPr>
          <w:rFonts w:eastAsiaTheme="minorHAnsi"/>
          <w:b/>
          <w:lang w:val="es-EC" w:eastAsia="en-US"/>
        </w:rPr>
        <w:t>Que</w:t>
      </w:r>
      <w:r w:rsidR="00854F7C" w:rsidRPr="00921E14">
        <w:rPr>
          <w:rFonts w:eastAsiaTheme="minorHAnsi"/>
          <w:lang w:val="es-EC" w:eastAsia="en-US"/>
        </w:rPr>
        <w:t xml:space="preserve">, </w:t>
      </w:r>
      <w:r w:rsidR="00D27AB2" w:rsidRPr="00921E14">
        <w:rPr>
          <w:rFonts w:eastAsiaTheme="minorHAnsi"/>
          <w:lang w:val="es-EC" w:eastAsia="en-US"/>
        </w:rPr>
        <w:tab/>
      </w:r>
      <w:r w:rsidR="004E0D99" w:rsidRPr="00921E14">
        <w:rPr>
          <w:bCs/>
          <w:color w:val="000000"/>
        </w:rPr>
        <w:t>m</w:t>
      </w:r>
      <w:r w:rsidR="00D27AB2" w:rsidRPr="00921E14">
        <w:rPr>
          <w:bCs/>
          <w:color w:val="000000"/>
        </w:rPr>
        <w:t>ediante oficio sin número, ingresado por ventanilla de Gestión Urbana</w:t>
      </w:r>
      <w:r w:rsidR="0007297E">
        <w:rPr>
          <w:bCs/>
          <w:color w:val="000000"/>
        </w:rPr>
        <w:t xml:space="preserve"> en </w:t>
      </w:r>
      <w:r w:rsidR="00D27AB2" w:rsidRPr="00921E14">
        <w:rPr>
          <w:bCs/>
          <w:color w:val="000000"/>
        </w:rPr>
        <w:t xml:space="preserve">febrero de 2022; en el que Dr. Vicente Patricio </w:t>
      </w:r>
      <w:proofErr w:type="spellStart"/>
      <w:r w:rsidR="00D27AB2" w:rsidRPr="00921E14">
        <w:rPr>
          <w:bCs/>
          <w:color w:val="000000"/>
        </w:rPr>
        <w:t>Egas</w:t>
      </w:r>
      <w:proofErr w:type="spellEnd"/>
      <w:r w:rsidR="00D27AB2" w:rsidRPr="00921E14">
        <w:rPr>
          <w:bCs/>
          <w:color w:val="000000"/>
        </w:rPr>
        <w:t xml:space="preserve"> Muño</w:t>
      </w:r>
      <w:r w:rsidR="0007297E">
        <w:rPr>
          <w:bCs/>
          <w:color w:val="000000"/>
        </w:rPr>
        <w:t xml:space="preserve">s, en calidad de abogado del señor </w:t>
      </w:r>
      <w:r w:rsidR="00D27AB2" w:rsidRPr="00921E14">
        <w:rPr>
          <w:bCs/>
          <w:color w:val="000000"/>
        </w:rPr>
        <w:t xml:space="preserve">Rentería Salazar Roberto, ingresa oficio físico a la Administración Zonal Calderón, en el cual expone “(...)  </w:t>
      </w:r>
      <w:r w:rsidR="00D27AB2" w:rsidRPr="0007297E">
        <w:rPr>
          <w:bCs/>
          <w:i/>
          <w:color w:val="000000"/>
        </w:rPr>
        <w:t xml:space="preserve">en libre ejercicio profesional y dando contestación a los oficios números GADDMQ-AZCA-2021-2496-O Y GADDMQ-AZCA-2021-2775-O de fechas 17 de agosto de 2021 y 02 de septiembre de 2021 respectivamente, y con fin de cumplir lo requerido por su autoridad a usted digo: Adjunto sírvase encontrar al presente, cinco (5) </w:t>
      </w:r>
      <w:proofErr w:type="spellStart"/>
      <w:r w:rsidR="00D27AB2" w:rsidRPr="0007297E">
        <w:rPr>
          <w:bCs/>
          <w:i/>
          <w:color w:val="000000"/>
        </w:rPr>
        <w:t>CDs</w:t>
      </w:r>
      <w:proofErr w:type="spellEnd"/>
      <w:r w:rsidR="00D27AB2" w:rsidRPr="0007297E">
        <w:rPr>
          <w:bCs/>
          <w:i/>
          <w:color w:val="000000"/>
        </w:rPr>
        <w:t xml:space="preserve"> correspondientes a los inmuebles que en posesión están cinco personas que obtuvieron las sentencias adquisitivas de dominio, las mismas que se encuentran ejecutoriadas, datos necesarios para el cálculo del pago del 15% de las áreas verdes </w:t>
      </w:r>
      <w:r w:rsidR="00D27AB2" w:rsidRPr="0007297E">
        <w:rPr>
          <w:i/>
          <w:lang w:val="es-EC" w:eastAsia="es-EC"/>
        </w:rPr>
        <w:t>(...)”</w:t>
      </w:r>
      <w:r w:rsidR="00D27AB2" w:rsidRPr="00921E14">
        <w:rPr>
          <w:lang w:val="es-EC" w:eastAsia="es-EC"/>
        </w:rPr>
        <w:t xml:space="preserve"> </w:t>
      </w:r>
    </w:p>
    <w:p w:rsidR="00F22B58" w:rsidRPr="00921E14" w:rsidRDefault="00F22B58" w:rsidP="00D27AB2">
      <w:pPr>
        <w:ind w:left="709" w:hanging="709"/>
        <w:jc w:val="both"/>
      </w:pPr>
    </w:p>
    <w:p w:rsidR="00852D76" w:rsidRPr="00921E14" w:rsidRDefault="00600D8D" w:rsidP="00852D76">
      <w:pPr>
        <w:ind w:left="705" w:hanging="705"/>
        <w:jc w:val="both"/>
        <w:rPr>
          <w:i/>
          <w:color w:val="000000"/>
          <w:lang w:eastAsia="es-EC"/>
        </w:rPr>
      </w:pPr>
      <w:bookmarkStart w:id="2" w:name="_Hlk51947053"/>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00FE75E5" w:rsidRPr="00921E14">
        <w:rPr>
          <w:rFonts w:eastAsiaTheme="minorHAnsi"/>
          <w:lang w:val="es-EC" w:eastAsia="en-US"/>
        </w:rPr>
        <w:t>c</w:t>
      </w:r>
      <w:proofErr w:type="spellStart"/>
      <w:r w:rsidR="00F22B58" w:rsidRPr="00921E14">
        <w:t>on</w:t>
      </w:r>
      <w:proofErr w:type="spellEnd"/>
      <w:r w:rsidR="00F22B58" w:rsidRPr="00921E14">
        <w:t xml:space="preserve"> I</w:t>
      </w:r>
      <w:r w:rsidR="00264D5A">
        <w:t>nforme Técnico AZCA-DGT-2024-002 de 26</w:t>
      </w:r>
      <w:r w:rsidR="00F22B58" w:rsidRPr="00921E14">
        <w:t xml:space="preserve"> de </w:t>
      </w:r>
      <w:r w:rsidR="00264D5A">
        <w:t>enero</w:t>
      </w:r>
      <w:r w:rsidR="00F22B58" w:rsidRPr="00921E14">
        <w:t xml:space="preserve"> de 202</w:t>
      </w:r>
      <w:r w:rsidR="00264D5A">
        <w:t>4</w:t>
      </w:r>
      <w:r w:rsidR="00F22B58" w:rsidRPr="00921E14">
        <w:t xml:space="preserve">, </w:t>
      </w:r>
      <w:r w:rsidR="00264D5A">
        <w:t xml:space="preserve">el Jefe de  </w:t>
      </w:r>
      <w:r w:rsidR="00F22B58" w:rsidRPr="00921E14">
        <w:t>Gestión</w:t>
      </w:r>
      <w:r w:rsidR="00CC083B" w:rsidRPr="00921E14">
        <w:t xml:space="preserve"> </w:t>
      </w:r>
      <w:r w:rsidR="00F22B58" w:rsidRPr="00921E14">
        <w:t xml:space="preserve">Urbana, </w:t>
      </w:r>
      <w:r w:rsidR="00264D5A">
        <w:t xml:space="preserve">indica que </w:t>
      </w:r>
      <w:r w:rsidR="00852D76" w:rsidRPr="00921E14">
        <w:t xml:space="preserve">de la Prescripción Parcial del predio 1296691  en el cual concluye: </w:t>
      </w:r>
      <w:r w:rsidR="00852D76" w:rsidRPr="00921E14">
        <w:rPr>
          <w:i/>
        </w:rPr>
        <w:t xml:space="preserve">“Del análisis técnico se desprende que, la Prescripción Adquisitiva de Dominio de una parte del inmueble del predio No. 1296691, No Cumple con los datos establecidos en la zonificación vigente, tales como,  “lote mínimo” y “frente mínimo”, el área prescrita corresponde a 83.35 m2 menor a 600 m2 zonificación vigente; además no tiene frente hacia una vía aprobada razón por la que se </w:t>
      </w:r>
      <w:r w:rsidR="00852D76" w:rsidRPr="009912F7">
        <w:rPr>
          <w:i/>
        </w:rPr>
        <w:t>emite  Informe Técnico  Desfavorable</w:t>
      </w:r>
      <w:r w:rsidR="00852D76" w:rsidRPr="00921E14">
        <w:rPr>
          <w:i/>
        </w:rPr>
        <w:t>”</w:t>
      </w:r>
      <w:r w:rsidR="00852D76" w:rsidRPr="00921E14">
        <w:t>.</w:t>
      </w:r>
    </w:p>
    <w:p w:rsidR="00F22B58" w:rsidRPr="00921E14" w:rsidRDefault="00F22B58" w:rsidP="00852D76">
      <w:pPr>
        <w:autoSpaceDE w:val="0"/>
        <w:autoSpaceDN w:val="0"/>
        <w:adjustRightInd w:val="0"/>
        <w:jc w:val="both"/>
        <w:rPr>
          <w:rFonts w:eastAsiaTheme="minorHAnsi"/>
          <w:lang w:val="es-EC" w:eastAsia="en-US"/>
        </w:rPr>
      </w:pPr>
    </w:p>
    <w:p w:rsidR="00F22B58" w:rsidRPr="00F91E21" w:rsidRDefault="0007297E" w:rsidP="00F91E21">
      <w:pPr>
        <w:ind w:left="705" w:hanging="705"/>
        <w:jc w:val="both"/>
        <w:rPr>
          <w:lang w:eastAsia="es-EC"/>
        </w:rPr>
      </w:pPr>
      <w:r w:rsidRPr="00921E14">
        <w:rPr>
          <w:b/>
        </w:rPr>
        <w:t>Que</w:t>
      </w:r>
      <w:r w:rsidRPr="00921E14">
        <w:t xml:space="preserve">, </w:t>
      </w:r>
      <w:r w:rsidRPr="00921E14">
        <w:tab/>
      </w:r>
      <w:r w:rsidR="00D768BF" w:rsidRPr="00921E14">
        <w:t>Con mem</w:t>
      </w:r>
      <w:r w:rsidR="00264D5A">
        <w:t>orando Nro. GADDMQ-AZC-DZHOP-2024-0073</w:t>
      </w:r>
      <w:r w:rsidR="00D768BF" w:rsidRPr="00921E14">
        <w:t>-M de</w:t>
      </w:r>
      <w:r w:rsidR="00852D76" w:rsidRPr="00921E14">
        <w:t xml:space="preserve"> </w:t>
      </w:r>
      <w:r w:rsidR="00264D5A">
        <w:t>26</w:t>
      </w:r>
      <w:r w:rsidR="00D768BF" w:rsidRPr="00921E14">
        <w:t xml:space="preserve"> de </w:t>
      </w:r>
      <w:r w:rsidR="00834E1A">
        <w:t>enero de 2024</w:t>
      </w:r>
      <w:r w:rsidRPr="00921E14">
        <w:t>, mediante</w:t>
      </w:r>
      <w:r w:rsidR="00D768BF" w:rsidRPr="00921E14">
        <w:t xml:space="preserve"> el cual la </w:t>
      </w:r>
      <w:r w:rsidR="009912F7" w:rsidRPr="00FE67BF">
        <w:rPr>
          <w:rStyle w:val="fontstyle01"/>
        </w:rPr>
        <w:t>Directora Z</w:t>
      </w:r>
      <w:r w:rsidR="009912F7" w:rsidRPr="00FE67BF">
        <w:t>onal de Hábitat y Obras Públicas</w:t>
      </w:r>
      <w:r w:rsidR="009912F7" w:rsidRPr="00FE67BF">
        <w:rPr>
          <w:rStyle w:val="fontstyle01"/>
        </w:rPr>
        <w:t xml:space="preserve"> indica q</w:t>
      </w:r>
      <w:r w:rsidR="009912F7" w:rsidRPr="00BF1F5A">
        <w:rPr>
          <w:rStyle w:val="fontstyle01"/>
        </w:rPr>
        <w:t xml:space="preserve">ue </w:t>
      </w:r>
      <w:r w:rsidR="009912F7" w:rsidRPr="00BF1F5A">
        <w:rPr>
          <w:rStyle w:val="fontstyle01"/>
          <w:i/>
        </w:rPr>
        <w:t>“(…)</w:t>
      </w:r>
      <w:r w:rsidR="009912F7">
        <w:rPr>
          <w:i/>
        </w:rPr>
        <w:t xml:space="preserve"> se emite el informe actualizado”</w:t>
      </w:r>
      <w:r w:rsidR="00834E1A" w:rsidRPr="00B60ECC">
        <w:rPr>
          <w:lang w:eastAsia="es-EC"/>
        </w:rPr>
        <w:t xml:space="preserve">. </w:t>
      </w:r>
    </w:p>
    <w:p w:rsidR="00F22B58" w:rsidRPr="00921E14" w:rsidRDefault="00F22B58" w:rsidP="00F22B58"/>
    <w:p w:rsidR="00F91E21" w:rsidRPr="00921E14" w:rsidRDefault="00DE6C80" w:rsidP="00F91E21">
      <w:pPr>
        <w:ind w:left="709" w:hanging="709"/>
        <w:jc w:val="both"/>
        <w:rPr>
          <w:i/>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00033B69" w:rsidRPr="00921E14">
        <w:rPr>
          <w:rFonts w:eastAsiaTheme="minorHAnsi"/>
          <w:lang w:val="es-EC" w:eastAsia="en-US"/>
        </w:rPr>
        <w:t xml:space="preserve">la </w:t>
      </w:r>
      <w:r w:rsidRPr="00921E14">
        <w:rPr>
          <w:color w:val="000000"/>
          <w:shd w:val="clear" w:color="auto" w:fill="FFFFFF"/>
          <w:lang w:val="es-ES_tradnl" w:bidi="en-US"/>
        </w:rPr>
        <w:t>Director</w:t>
      </w:r>
      <w:r w:rsidR="00033B69" w:rsidRPr="00921E14">
        <w:rPr>
          <w:color w:val="000000"/>
          <w:shd w:val="clear" w:color="auto" w:fill="FFFFFF"/>
          <w:lang w:val="es-ES_tradnl" w:bidi="en-US"/>
        </w:rPr>
        <w:t>a</w:t>
      </w:r>
      <w:r w:rsidRPr="00921E14">
        <w:rPr>
          <w:color w:val="000000"/>
          <w:shd w:val="clear" w:color="auto" w:fill="FFFFFF"/>
          <w:lang w:val="es-ES_tradnl" w:bidi="en-US"/>
        </w:rPr>
        <w:t xml:space="preserve"> </w:t>
      </w:r>
      <w:r w:rsidR="00834E1A">
        <w:rPr>
          <w:color w:val="000000"/>
          <w:shd w:val="clear" w:color="auto" w:fill="FFFFFF"/>
          <w:lang w:val="es-ES_tradnl" w:bidi="en-US"/>
        </w:rPr>
        <w:t>de Asesoría Jurídica d</w:t>
      </w:r>
      <w:r w:rsidRPr="00921E14">
        <w:rPr>
          <w:color w:val="000000"/>
          <w:shd w:val="clear" w:color="auto" w:fill="FFFFFF"/>
          <w:lang w:val="es-ES_tradnl" w:bidi="en-US"/>
        </w:rPr>
        <w:t>e la Administración  Zona</w:t>
      </w:r>
      <w:r w:rsidR="00033B69" w:rsidRPr="00921E14">
        <w:rPr>
          <w:color w:val="000000"/>
          <w:shd w:val="clear" w:color="auto" w:fill="FFFFFF"/>
          <w:lang w:val="es-ES_tradnl" w:bidi="en-US"/>
        </w:rPr>
        <w:t>l</w:t>
      </w:r>
      <w:r w:rsidRPr="00921E14">
        <w:rPr>
          <w:color w:val="000000"/>
          <w:shd w:val="clear" w:color="auto" w:fill="FFFFFF"/>
          <w:lang w:val="es-ES_tradnl" w:bidi="en-US"/>
        </w:rPr>
        <w:t xml:space="preserve"> </w:t>
      </w:r>
      <w:r w:rsidR="00033B69" w:rsidRPr="00921E14">
        <w:rPr>
          <w:color w:val="000000"/>
          <w:shd w:val="clear" w:color="auto" w:fill="FFFFFF"/>
          <w:lang w:val="es-ES_tradnl" w:bidi="en-US"/>
        </w:rPr>
        <w:t>Calderón</w:t>
      </w:r>
      <w:r w:rsidR="009912F7">
        <w:rPr>
          <w:color w:val="000000"/>
          <w:shd w:val="clear" w:color="auto" w:fill="FFFFFF"/>
          <w:lang w:val="es-ES_tradnl" w:bidi="en-US"/>
        </w:rPr>
        <w:t>, emite el criterio l</w:t>
      </w:r>
      <w:r w:rsidRPr="00921E14">
        <w:rPr>
          <w:color w:val="000000"/>
          <w:shd w:val="clear" w:color="auto" w:fill="FFFFFF"/>
          <w:lang w:val="es-ES_tradnl" w:bidi="en-US"/>
        </w:rPr>
        <w:t xml:space="preserve">egal </w:t>
      </w:r>
      <w:r w:rsidR="00852D76" w:rsidRPr="00921E14">
        <w:rPr>
          <w:color w:val="000000"/>
          <w:shd w:val="clear" w:color="auto" w:fill="FFFFFF"/>
          <w:lang w:val="es-ES_tradnl" w:bidi="en-US"/>
        </w:rPr>
        <w:t xml:space="preserve">contenido en el memorando Nro. </w:t>
      </w:r>
      <w:r w:rsidR="00834E1A">
        <w:rPr>
          <w:color w:val="000000"/>
          <w:shd w:val="clear" w:color="auto" w:fill="FFFFFF"/>
          <w:lang w:val="es-ES_tradnl" w:bidi="en-US"/>
        </w:rPr>
        <w:t>GADDMQ-AZC</w:t>
      </w:r>
      <w:r w:rsidR="00A83A8D" w:rsidRPr="00921E14">
        <w:rPr>
          <w:color w:val="000000"/>
          <w:shd w:val="clear" w:color="auto" w:fill="FFFFFF"/>
          <w:lang w:val="es-ES_tradnl" w:bidi="en-US"/>
        </w:rPr>
        <w:t>-D</w:t>
      </w:r>
      <w:r w:rsidR="00834E1A">
        <w:rPr>
          <w:color w:val="000000"/>
          <w:shd w:val="clear" w:color="auto" w:fill="FFFFFF"/>
          <w:lang w:val="es-ES_tradnl" w:bidi="en-US"/>
        </w:rPr>
        <w:t>ZAJ-2024-0031-M de 29</w:t>
      </w:r>
      <w:r w:rsidR="00A83A8D" w:rsidRPr="00921E14">
        <w:rPr>
          <w:color w:val="000000"/>
          <w:shd w:val="clear" w:color="auto" w:fill="FFFFFF"/>
          <w:lang w:val="es-ES_tradnl" w:bidi="en-US"/>
        </w:rPr>
        <w:t xml:space="preserve"> de </w:t>
      </w:r>
      <w:r w:rsidR="00834E1A">
        <w:rPr>
          <w:color w:val="000000"/>
          <w:shd w:val="clear" w:color="auto" w:fill="FFFFFF"/>
          <w:lang w:val="es-ES_tradnl" w:bidi="en-US"/>
        </w:rPr>
        <w:t xml:space="preserve">enero </w:t>
      </w:r>
      <w:r w:rsidR="00A83A8D" w:rsidRPr="00921E14">
        <w:rPr>
          <w:color w:val="000000"/>
          <w:shd w:val="clear" w:color="auto" w:fill="FFFFFF"/>
          <w:lang w:val="es-ES_tradnl" w:bidi="en-US"/>
        </w:rPr>
        <w:t>de 202</w:t>
      </w:r>
      <w:r w:rsidR="00834E1A">
        <w:rPr>
          <w:color w:val="000000"/>
          <w:shd w:val="clear" w:color="auto" w:fill="FFFFFF"/>
          <w:lang w:val="es-ES_tradnl" w:bidi="en-US"/>
        </w:rPr>
        <w:t>4</w:t>
      </w:r>
      <w:r w:rsidR="00A83A8D" w:rsidRPr="00921E14">
        <w:rPr>
          <w:color w:val="000000"/>
          <w:shd w:val="clear" w:color="auto" w:fill="FFFFFF"/>
          <w:lang w:val="es-ES_tradnl" w:bidi="en-US"/>
        </w:rPr>
        <w:t xml:space="preserve">, </w:t>
      </w:r>
      <w:r w:rsidRPr="00921E14">
        <w:rPr>
          <w:color w:val="000000"/>
          <w:shd w:val="clear" w:color="auto" w:fill="FFFFFF"/>
          <w:lang w:val="es-ES_tradnl" w:bidi="en-US"/>
        </w:rPr>
        <w:t>en</w:t>
      </w:r>
      <w:r w:rsidRPr="00921E14">
        <w:t xml:space="preserve"> </w:t>
      </w:r>
      <w:r w:rsidR="008C1C80" w:rsidRPr="00921E14">
        <w:t xml:space="preserve">el </w:t>
      </w:r>
      <w:r w:rsidRPr="00921E14">
        <w:t xml:space="preserve">que </w:t>
      </w:r>
      <w:r w:rsidR="00A83A8D" w:rsidRPr="00921E14">
        <w:t>concluyó:</w:t>
      </w:r>
      <w:r w:rsidRPr="00921E14">
        <w:t xml:space="preserve"> </w:t>
      </w:r>
      <w:r w:rsidR="00CC083B" w:rsidRPr="00921E14">
        <w:rPr>
          <w:i/>
        </w:rPr>
        <w:t>“</w:t>
      </w:r>
      <w:r w:rsidR="00834E1A">
        <w:rPr>
          <w:i/>
        </w:rPr>
        <w:t xml:space="preserve">Por lo </w:t>
      </w:r>
      <w:r w:rsidR="00033B69" w:rsidRPr="00921E14">
        <w:rPr>
          <w:i/>
        </w:rPr>
        <w:t xml:space="preserve">expuesto, esta </w:t>
      </w:r>
      <w:r w:rsidR="00033B69" w:rsidRPr="00921E14">
        <w:rPr>
          <w:i/>
        </w:rPr>
        <w:lastRenderedPageBreak/>
        <w:t>Dirección Jurídica acogiendo el informe técnico</w:t>
      </w:r>
      <w:r w:rsidR="00CC083B" w:rsidRPr="00921E14">
        <w:rPr>
          <w:i/>
        </w:rPr>
        <w:t xml:space="preserve"> </w:t>
      </w:r>
      <w:r w:rsidR="00882DCB" w:rsidRPr="00921E14">
        <w:rPr>
          <w:i/>
        </w:rPr>
        <w:t>AZCA-DGT-202</w:t>
      </w:r>
      <w:r w:rsidR="00834E1A">
        <w:rPr>
          <w:i/>
        </w:rPr>
        <w:t>4-002</w:t>
      </w:r>
      <w:r w:rsidR="00882DCB" w:rsidRPr="00921E14">
        <w:rPr>
          <w:i/>
        </w:rPr>
        <w:t xml:space="preserve"> de </w:t>
      </w:r>
      <w:r w:rsidR="00834E1A">
        <w:rPr>
          <w:i/>
        </w:rPr>
        <w:t>26</w:t>
      </w:r>
      <w:r w:rsidR="00033B69" w:rsidRPr="00921E14">
        <w:rPr>
          <w:i/>
        </w:rPr>
        <w:t xml:space="preserve"> de </w:t>
      </w:r>
      <w:r w:rsidR="00834E1A">
        <w:rPr>
          <w:i/>
        </w:rPr>
        <w:t>enero</w:t>
      </w:r>
      <w:r w:rsidR="00033B69" w:rsidRPr="00921E14">
        <w:rPr>
          <w:i/>
        </w:rPr>
        <w:t xml:space="preserve"> de 202</w:t>
      </w:r>
      <w:r w:rsidR="00834E1A">
        <w:rPr>
          <w:i/>
        </w:rPr>
        <w:t xml:space="preserve">4 del </w:t>
      </w:r>
      <w:r w:rsidR="00033B69" w:rsidRPr="00921E14">
        <w:rPr>
          <w:i/>
        </w:rPr>
        <w:t>Jefe de Gestión Urbana y aprobado por</w:t>
      </w:r>
      <w:r w:rsidR="00CC083B" w:rsidRPr="00921E14">
        <w:rPr>
          <w:i/>
        </w:rPr>
        <w:t xml:space="preserve"> </w:t>
      </w:r>
      <w:r w:rsidR="00834E1A">
        <w:rPr>
          <w:i/>
        </w:rPr>
        <w:t xml:space="preserve">la Directora Zonal de </w:t>
      </w:r>
      <w:proofErr w:type="spellStart"/>
      <w:r w:rsidR="00834E1A">
        <w:rPr>
          <w:i/>
        </w:rPr>
        <w:t>Habitat</w:t>
      </w:r>
      <w:proofErr w:type="spellEnd"/>
      <w:r w:rsidR="00834E1A">
        <w:rPr>
          <w:i/>
        </w:rPr>
        <w:t xml:space="preserve"> y Obras Públicas con memorando </w:t>
      </w:r>
      <w:r w:rsidR="00F91E21">
        <w:rPr>
          <w:i/>
        </w:rPr>
        <w:t>Nro.</w:t>
      </w:r>
      <w:r w:rsidR="00834E1A" w:rsidRPr="00834E1A">
        <w:rPr>
          <w:sz w:val="18"/>
          <w:szCs w:val="18"/>
        </w:rPr>
        <w:t xml:space="preserve"> </w:t>
      </w:r>
      <w:r w:rsidR="00834E1A" w:rsidRPr="00834E1A">
        <w:rPr>
          <w:i/>
        </w:rPr>
        <w:t>GADDMQ-AZC-DZHOP-2024-0073-M</w:t>
      </w:r>
      <w:r w:rsidR="00834E1A" w:rsidRPr="00834E1A">
        <w:rPr>
          <w:sz w:val="18"/>
          <w:szCs w:val="18"/>
          <w:lang w:val="es-EC" w:eastAsia="es-EC"/>
        </w:rPr>
        <w:t xml:space="preserve"> </w:t>
      </w:r>
      <w:r w:rsidR="00834E1A">
        <w:rPr>
          <w:sz w:val="18"/>
          <w:szCs w:val="18"/>
          <w:lang w:val="es-EC" w:eastAsia="es-EC"/>
        </w:rPr>
        <w:t xml:space="preserve"> </w:t>
      </w:r>
      <w:r w:rsidR="00834E1A" w:rsidRPr="00834E1A">
        <w:rPr>
          <w:i/>
        </w:rPr>
        <w:t>de 26 de enero de 2024 en el que indica que  la Prescripción Adquisitiva de Dominio de una parte del inmueble del predio No.</w:t>
      </w:r>
      <w:r w:rsidR="00834E1A">
        <w:rPr>
          <w:i/>
        </w:rPr>
        <w:t xml:space="preserve"> </w:t>
      </w:r>
      <w:r w:rsidR="00834E1A" w:rsidRPr="00834E1A">
        <w:rPr>
          <w:i/>
        </w:rPr>
        <w:t xml:space="preserve">1296691, No Cumple con los datos establecidos en la zonificación vigente, tales como, “lote mínimo” y “frente mínimo”, el área prescrita corresponde a 83.35m2 menor a 600m2 zonificación vigente, </w:t>
      </w:r>
      <w:r w:rsidR="00834E1A">
        <w:rPr>
          <w:i/>
        </w:rPr>
        <w:t xml:space="preserve"> </w:t>
      </w:r>
      <w:r w:rsidR="00834E1A" w:rsidRPr="00834E1A">
        <w:rPr>
          <w:i/>
        </w:rPr>
        <w:t>en este sentido, se deberá proceder conforme lo establece en el COOTA</w:t>
      </w:r>
      <w:r w:rsidR="00834E1A" w:rsidRPr="00F91E21">
        <w:rPr>
          <w:i/>
        </w:rPr>
        <w:t xml:space="preserve">D y la </w:t>
      </w:r>
      <w:r w:rsidR="00834E1A" w:rsidRPr="00834E1A">
        <w:rPr>
          <w:i/>
        </w:rPr>
        <w:t>Ordenanz</w:t>
      </w:r>
      <w:r w:rsidR="00F91E21" w:rsidRPr="00F91E21">
        <w:rPr>
          <w:i/>
        </w:rPr>
        <w:t xml:space="preserve">a </w:t>
      </w:r>
      <w:r w:rsidR="00F91E21" w:rsidRPr="00921E14">
        <w:rPr>
          <w:i/>
        </w:rPr>
        <w:t>001”.</w:t>
      </w:r>
    </w:p>
    <w:p w:rsidR="00F91E21" w:rsidRPr="00921E14" w:rsidRDefault="00F91E21" w:rsidP="00F91E21">
      <w:pPr>
        <w:ind w:left="709" w:hanging="709"/>
        <w:jc w:val="both"/>
      </w:pPr>
    </w:p>
    <w:p w:rsidR="008C1C80" w:rsidRPr="00921E14" w:rsidRDefault="008C1C80" w:rsidP="00F91E21">
      <w:pPr>
        <w:jc w:val="both"/>
      </w:pPr>
    </w:p>
    <w:bookmarkEnd w:id="2"/>
    <w:p w:rsidR="00C84761" w:rsidRPr="00921E14" w:rsidRDefault="008C1C80" w:rsidP="00C84761">
      <w:pPr>
        <w:autoSpaceDE w:val="0"/>
        <w:autoSpaceDN w:val="0"/>
        <w:adjustRightInd w:val="0"/>
        <w:jc w:val="both"/>
      </w:pPr>
      <w:r w:rsidRPr="00921E14">
        <w:t xml:space="preserve">Que, </w:t>
      </w:r>
      <w:r w:rsidRPr="00921E14">
        <w:tab/>
        <w:t>c</w:t>
      </w:r>
      <w:r w:rsidR="00C84761" w:rsidRPr="00921E14">
        <w:t>on</w:t>
      </w:r>
      <w:r w:rsidR="00A83A8D" w:rsidRPr="00921E14">
        <w:t xml:space="preserve"> informe de la Comisión de Uso de Suelo</w:t>
      </w:r>
      <w:r w:rsidR="00C84761" w:rsidRPr="00921E14">
        <w:t xml:space="preserve">, </w:t>
      </w:r>
      <w:proofErr w:type="spellStart"/>
      <w:r w:rsidR="00F91E21">
        <w:t>xxxxxxxxxxxxxxxxxxxxxx</w:t>
      </w:r>
      <w:proofErr w:type="spellEnd"/>
    </w:p>
    <w:p w:rsidR="00C84761" w:rsidRPr="00921E14" w:rsidRDefault="00C84761" w:rsidP="00021DED">
      <w:pPr>
        <w:autoSpaceDE w:val="0"/>
        <w:autoSpaceDN w:val="0"/>
        <w:adjustRightInd w:val="0"/>
        <w:jc w:val="center"/>
      </w:pPr>
    </w:p>
    <w:p w:rsidR="00C84761" w:rsidRPr="00921E14" w:rsidRDefault="00C84761" w:rsidP="00021DED">
      <w:pPr>
        <w:autoSpaceDE w:val="0"/>
        <w:autoSpaceDN w:val="0"/>
        <w:adjustRightInd w:val="0"/>
        <w:jc w:val="center"/>
      </w:pPr>
    </w:p>
    <w:p w:rsidR="00600D8D" w:rsidRPr="00921E14" w:rsidRDefault="00842105" w:rsidP="00921E14">
      <w:pPr>
        <w:autoSpaceDE w:val="0"/>
        <w:autoSpaceDN w:val="0"/>
        <w:adjustRightInd w:val="0"/>
        <w:rPr>
          <w:rFonts w:eastAsiaTheme="minorHAnsi"/>
          <w:b/>
          <w:bCs/>
          <w:lang w:val="es-EC" w:eastAsia="en-US"/>
        </w:rPr>
      </w:pPr>
      <w:r w:rsidRPr="00921E14">
        <w:t>En el ejercicio de sus atribuciones legales,</w:t>
      </w:r>
    </w:p>
    <w:p w:rsidR="004D3600" w:rsidRPr="00921E14" w:rsidRDefault="004D3600" w:rsidP="00021DED">
      <w:pPr>
        <w:autoSpaceDE w:val="0"/>
        <w:autoSpaceDN w:val="0"/>
        <w:adjustRightInd w:val="0"/>
        <w:jc w:val="center"/>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600D8D" w:rsidRPr="00921E14" w:rsidRDefault="00AD1A2A" w:rsidP="00600D8D">
      <w:pPr>
        <w:autoSpaceDE w:val="0"/>
        <w:autoSpaceDN w:val="0"/>
        <w:adjustRightInd w:val="0"/>
        <w:jc w:val="center"/>
        <w:rPr>
          <w:rFonts w:eastAsiaTheme="minorHAnsi"/>
          <w:b/>
          <w:bCs/>
          <w:lang w:val="es-EC" w:eastAsia="en-US"/>
        </w:rPr>
      </w:pPr>
      <w:r w:rsidRPr="00921E14">
        <w:rPr>
          <w:rFonts w:eastAsiaTheme="minorHAnsi"/>
          <w:b/>
          <w:bCs/>
          <w:lang w:val="es-EC" w:eastAsia="en-US"/>
        </w:rPr>
        <w:t>RESUELVO</w:t>
      </w:r>
    </w:p>
    <w:p w:rsidR="00600D8D" w:rsidRPr="00921E14" w:rsidRDefault="00600D8D" w:rsidP="00600D8D">
      <w:pPr>
        <w:autoSpaceDE w:val="0"/>
        <w:autoSpaceDN w:val="0"/>
        <w:adjustRightInd w:val="0"/>
        <w:jc w:val="center"/>
      </w:pPr>
    </w:p>
    <w:p w:rsidR="00854F7C" w:rsidRPr="00921E14" w:rsidRDefault="00600D8D" w:rsidP="001E45AE">
      <w:pPr>
        <w:jc w:val="both"/>
        <w:rPr>
          <w:lang w:val="es-EC" w:eastAsia="es-EC"/>
        </w:rPr>
      </w:pPr>
      <w:r w:rsidRPr="00921E14">
        <w:rPr>
          <w:rFonts w:eastAsiaTheme="minorHAnsi"/>
          <w:b/>
          <w:lang w:val="es-EC" w:eastAsia="en-US"/>
        </w:rPr>
        <w:t>Artículo 1.-</w:t>
      </w:r>
      <w:r w:rsidRPr="00921E14">
        <w:rPr>
          <w:rFonts w:eastAsiaTheme="minorHAnsi"/>
          <w:lang w:val="es-EC" w:eastAsia="en-US"/>
        </w:rPr>
        <w:t xml:space="preserve"> </w:t>
      </w:r>
      <w:r w:rsidR="00921E14" w:rsidRPr="00921E14">
        <w:rPr>
          <w:rFonts w:eastAsiaTheme="minorHAnsi"/>
          <w:lang w:val="es-EC" w:eastAsia="en-US"/>
        </w:rPr>
        <w:t xml:space="preserve">De conformidad con la sentencia emitida dentro del </w:t>
      </w:r>
      <w:r w:rsidR="001E45AE" w:rsidRPr="00921E14">
        <w:rPr>
          <w:lang w:val="es-EC" w:eastAsia="es-EC"/>
        </w:rPr>
        <w:t>proceso judicial No. 17230-2019-19805</w:t>
      </w:r>
      <w:r w:rsidR="00854F7C" w:rsidRPr="00921E14">
        <w:rPr>
          <w:lang w:val="es-EC" w:eastAsia="es-EC"/>
        </w:rPr>
        <w:t xml:space="preserve">, mediante el cual el Juez de la Unidad Judicial Civil con sede en la parroquia de Iñaquito del Distrito </w:t>
      </w:r>
      <w:r w:rsidR="00921E14" w:rsidRPr="00921E14">
        <w:rPr>
          <w:lang w:val="es-EC" w:eastAsia="es-EC"/>
        </w:rPr>
        <w:t>Metropolitano de Quito,</w:t>
      </w:r>
      <w:r w:rsidR="001E45AE" w:rsidRPr="00921E14">
        <w:rPr>
          <w:lang w:val="es-EC" w:eastAsia="es-EC"/>
        </w:rPr>
        <w:t xml:space="preserve"> acepta la demanda favor del señor Roberto Miguel Rentería Salazar adquirida por prescripción extraordinaria de dominio, del lote de terreno y casa signados con el No. 145, ubicado en el Conjunto Habitacional Paseos de Calderón, segunda etapa, de la parroquia Calderón del D</w:t>
      </w:r>
      <w:r w:rsidR="008E61FC" w:rsidRPr="00921E14">
        <w:rPr>
          <w:lang w:val="es-EC" w:eastAsia="es-EC"/>
        </w:rPr>
        <w:t>istrito Metropolitano de Quito</w:t>
      </w:r>
      <w:r w:rsidR="00854F7C" w:rsidRPr="00921E14">
        <w:rPr>
          <w:lang w:val="es-EC" w:eastAsia="es-EC"/>
        </w:rPr>
        <w:t xml:space="preserve">; </w:t>
      </w:r>
      <w:r w:rsidR="00AD1A2A" w:rsidRPr="00921E14">
        <w:rPr>
          <w:lang w:val="es-EC" w:eastAsia="es-EC"/>
        </w:rPr>
        <w:t>Resuelvo……….</w:t>
      </w:r>
      <w:r w:rsidR="00854F7C" w:rsidRPr="00921E14">
        <w:rPr>
          <w:lang w:val="es-EC" w:eastAsia="es-EC"/>
        </w:rPr>
        <w:t xml:space="preserve"> </w:t>
      </w:r>
    </w:p>
    <w:p w:rsidR="00854F7C" w:rsidRPr="00921E14" w:rsidRDefault="00854F7C" w:rsidP="00854F7C">
      <w:pPr>
        <w:jc w:val="both"/>
        <w:rPr>
          <w:lang w:val="es-EC" w:eastAsia="es-EC"/>
        </w:rPr>
      </w:pPr>
    </w:p>
    <w:p w:rsidR="00600D8D" w:rsidRPr="00921E14" w:rsidRDefault="00600D8D" w:rsidP="00C924E2">
      <w:pPr>
        <w:autoSpaceDE w:val="0"/>
        <w:autoSpaceDN w:val="0"/>
        <w:adjustRightInd w:val="0"/>
        <w:jc w:val="both"/>
        <w:rPr>
          <w:rFonts w:eastAsiaTheme="minorHAnsi"/>
          <w:lang w:val="es-EC" w:eastAsia="en-US"/>
        </w:rPr>
      </w:pPr>
      <w:r w:rsidRPr="00921E14">
        <w:rPr>
          <w:rFonts w:eastAsiaTheme="minorHAnsi"/>
          <w:b/>
          <w:lang w:val="es-EC" w:eastAsia="en-US"/>
        </w:rPr>
        <w:t>Artículo 2.-</w:t>
      </w:r>
      <w:r w:rsidRPr="00921E14">
        <w:rPr>
          <w:rFonts w:eastAsiaTheme="minorHAnsi"/>
          <w:lang w:val="es-EC" w:eastAsia="en-US"/>
        </w:rPr>
        <w:t xml:space="preserve"> Comuníquese al interesado, a fin de que se continúe con los trámites de ley. </w:t>
      </w:r>
    </w:p>
    <w:p w:rsidR="00600D8D" w:rsidRPr="00921E14" w:rsidRDefault="00600D8D" w:rsidP="00C924E2">
      <w:pPr>
        <w:autoSpaceDE w:val="0"/>
        <w:autoSpaceDN w:val="0"/>
        <w:adjustRightInd w:val="0"/>
        <w:jc w:val="both"/>
        <w:rPr>
          <w:rFonts w:eastAsiaTheme="minorHAnsi"/>
          <w:lang w:val="es-EC" w:eastAsia="en-US"/>
        </w:rPr>
      </w:pPr>
    </w:p>
    <w:p w:rsidR="00600D8D" w:rsidRPr="00921E14" w:rsidRDefault="00600D8D" w:rsidP="00C924E2">
      <w:pPr>
        <w:autoSpaceDE w:val="0"/>
        <w:autoSpaceDN w:val="0"/>
        <w:adjustRightInd w:val="0"/>
        <w:jc w:val="both"/>
        <w:rPr>
          <w:rFonts w:eastAsiaTheme="minorHAnsi"/>
          <w:bCs/>
          <w:lang w:val="es-EC" w:eastAsia="en-US"/>
        </w:rPr>
      </w:pPr>
      <w:bookmarkStart w:id="3" w:name="_Hlk40866429"/>
      <w:r w:rsidRPr="00921E14">
        <w:rPr>
          <w:rFonts w:eastAsiaTheme="minorHAnsi"/>
          <w:b/>
          <w:lang w:val="es-EC" w:eastAsia="en-US"/>
        </w:rPr>
        <w:t xml:space="preserve">Disposición General Única. - </w:t>
      </w:r>
      <w:r w:rsidRPr="00921E14">
        <w:rPr>
          <w:rFonts w:eastAsiaTheme="minorHAnsi"/>
          <w:bCs/>
          <w:lang w:val="es-EC" w:eastAsia="en-US"/>
        </w:rPr>
        <w:t>La presente resolución se aprueba en base a los informes que son de exclusiva responsabilidad de los funcionarios que lo suscriben y realizan.</w:t>
      </w:r>
    </w:p>
    <w:bookmarkEnd w:id="3"/>
    <w:p w:rsidR="00600D8D" w:rsidRPr="00921E14" w:rsidRDefault="00600D8D" w:rsidP="00600D8D">
      <w:pPr>
        <w:autoSpaceDE w:val="0"/>
        <w:autoSpaceDN w:val="0"/>
        <w:adjustRightInd w:val="0"/>
        <w:jc w:val="both"/>
        <w:rPr>
          <w:rFonts w:eastAsiaTheme="minorHAnsi"/>
          <w:bCs/>
          <w:lang w:val="es-EC" w:eastAsia="en-US"/>
        </w:rPr>
      </w:pPr>
    </w:p>
    <w:p w:rsidR="00854F7C" w:rsidRPr="00F91E21" w:rsidRDefault="00600D8D" w:rsidP="00F91E21">
      <w:pPr>
        <w:autoSpaceDE w:val="0"/>
        <w:autoSpaceDN w:val="0"/>
        <w:adjustRightInd w:val="0"/>
        <w:jc w:val="both"/>
        <w:rPr>
          <w:rFonts w:eastAsiaTheme="minorHAnsi"/>
          <w:lang w:val="es-EC" w:eastAsia="en-US"/>
        </w:rPr>
      </w:pPr>
      <w:r w:rsidRPr="00921E14">
        <w:rPr>
          <w:rFonts w:eastAsiaTheme="minorHAnsi"/>
          <w:b/>
          <w:lang w:val="es-EC" w:eastAsia="en-US"/>
        </w:rPr>
        <w:t>Disposición Final. -</w:t>
      </w:r>
      <w:r w:rsidRPr="00921E14">
        <w:rPr>
          <w:rFonts w:eastAsiaTheme="minorHAnsi"/>
          <w:lang w:val="es-EC" w:eastAsia="en-US"/>
        </w:rPr>
        <w:t xml:space="preserve"> La presente resolución entrará en vigencia a partir </w:t>
      </w:r>
      <w:r w:rsidR="00F91E21">
        <w:t>de la fecha de su expedición</w:t>
      </w:r>
    </w:p>
    <w:p w:rsidR="00854F7C" w:rsidRDefault="00854F7C" w:rsidP="00854F7C">
      <w:pPr>
        <w:jc w:val="center"/>
      </w:pPr>
    </w:p>
    <w:p w:rsidR="00F91E21" w:rsidRDefault="00F91E21" w:rsidP="00854F7C">
      <w:pPr>
        <w:jc w:val="center"/>
      </w:pPr>
    </w:p>
    <w:p w:rsidR="00F91E21" w:rsidRPr="00921E14" w:rsidRDefault="00F91E21" w:rsidP="00854F7C">
      <w:pPr>
        <w:jc w:val="center"/>
      </w:pPr>
    </w:p>
    <w:p w:rsidR="00854F7C" w:rsidRPr="00921E14" w:rsidRDefault="002F3FDE" w:rsidP="00854F7C">
      <w:pPr>
        <w:jc w:val="center"/>
      </w:pPr>
      <w:proofErr w:type="spellStart"/>
      <w:r>
        <w:t>Mgs</w:t>
      </w:r>
      <w:proofErr w:type="spellEnd"/>
      <w:r>
        <w:t xml:space="preserve">. </w:t>
      </w:r>
      <w:proofErr w:type="spellStart"/>
      <w:r>
        <w:t>Pab</w:t>
      </w:r>
      <w:r w:rsidR="0007297E">
        <w:t>el</w:t>
      </w:r>
      <w:proofErr w:type="spellEnd"/>
      <w:r w:rsidR="0007297E">
        <w:t xml:space="preserve"> Muñoz López</w:t>
      </w:r>
    </w:p>
    <w:p w:rsidR="00854F7C" w:rsidRPr="00921E14" w:rsidRDefault="00854F7C" w:rsidP="00854F7C">
      <w:pPr>
        <w:jc w:val="center"/>
        <w:rPr>
          <w:b/>
        </w:rPr>
      </w:pPr>
      <w:r w:rsidRPr="00921E14">
        <w:rPr>
          <w:b/>
        </w:rPr>
        <w:t>ALCALDE DEL DISTRITO METROPOLITANO DE QUITO</w:t>
      </w:r>
    </w:p>
    <w:p w:rsidR="00854F7C" w:rsidRPr="00921E1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155"/>
        <w:gridCol w:w="1347"/>
        <w:gridCol w:w="1926"/>
        <w:gridCol w:w="774"/>
      </w:tblGrid>
      <w:tr w:rsidR="00DF5041" w:rsidRPr="0007297E" w:rsidTr="0007297E">
        <w:trPr>
          <w:trHeight w:val="172"/>
        </w:trPr>
        <w:tc>
          <w:tcPr>
            <w:tcW w:w="1533"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b/>
                <w:sz w:val="14"/>
              </w:rPr>
            </w:pPr>
          </w:p>
        </w:tc>
        <w:tc>
          <w:tcPr>
            <w:tcW w:w="1155"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b/>
                <w:sz w:val="14"/>
              </w:rPr>
            </w:pPr>
          </w:p>
        </w:tc>
        <w:tc>
          <w:tcPr>
            <w:tcW w:w="1347"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jc w:val="center"/>
              <w:rPr>
                <w:b/>
                <w:sz w:val="14"/>
              </w:rPr>
            </w:pPr>
          </w:p>
        </w:tc>
        <w:tc>
          <w:tcPr>
            <w:tcW w:w="1926" w:type="dxa"/>
            <w:shd w:val="clear" w:color="auto" w:fill="auto"/>
            <w:vAlign w:val="center"/>
          </w:tcPr>
          <w:p w:rsidR="00854F7C" w:rsidRPr="0007297E" w:rsidRDefault="00854F7C" w:rsidP="001E45AE">
            <w:pPr>
              <w:jc w:val="center"/>
              <w:rPr>
                <w:b/>
                <w:sz w:val="14"/>
              </w:rPr>
            </w:pPr>
          </w:p>
        </w:tc>
        <w:tc>
          <w:tcPr>
            <w:tcW w:w="774" w:type="dxa"/>
            <w:shd w:val="clear" w:color="auto" w:fill="auto"/>
            <w:vAlign w:val="center"/>
          </w:tcPr>
          <w:p w:rsidR="00854F7C" w:rsidRPr="0007297E" w:rsidRDefault="00854F7C" w:rsidP="001E45AE">
            <w:pPr>
              <w:rPr>
                <w:b/>
                <w:sz w:val="14"/>
              </w:rPr>
            </w:pPr>
          </w:p>
        </w:tc>
      </w:tr>
      <w:tr w:rsidR="00854F7C" w:rsidRPr="0007297E" w:rsidTr="0007297E">
        <w:trPr>
          <w:trHeight w:val="206"/>
        </w:trPr>
        <w:tc>
          <w:tcPr>
            <w:tcW w:w="1533"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sz w:val="14"/>
              </w:rPr>
            </w:pPr>
          </w:p>
        </w:tc>
        <w:tc>
          <w:tcPr>
            <w:tcW w:w="1155"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sz w:val="14"/>
              </w:rPr>
            </w:pPr>
          </w:p>
        </w:tc>
        <w:tc>
          <w:tcPr>
            <w:tcW w:w="1347"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jc w:val="center"/>
              <w:rPr>
                <w:sz w:val="14"/>
              </w:rPr>
            </w:pPr>
          </w:p>
        </w:tc>
        <w:tc>
          <w:tcPr>
            <w:tcW w:w="1926" w:type="dxa"/>
            <w:shd w:val="clear" w:color="auto" w:fill="auto"/>
            <w:vAlign w:val="center"/>
          </w:tcPr>
          <w:p w:rsidR="00854F7C" w:rsidRPr="0007297E" w:rsidRDefault="00854F7C" w:rsidP="001E45AE">
            <w:pPr>
              <w:jc w:val="center"/>
              <w:rPr>
                <w:sz w:val="14"/>
              </w:rPr>
            </w:pPr>
          </w:p>
        </w:tc>
        <w:tc>
          <w:tcPr>
            <w:tcW w:w="774" w:type="dxa"/>
            <w:shd w:val="clear" w:color="auto" w:fill="auto"/>
            <w:vAlign w:val="center"/>
          </w:tcPr>
          <w:p w:rsidR="00854F7C" w:rsidRPr="0007297E" w:rsidRDefault="00854F7C" w:rsidP="001E45AE">
            <w:pPr>
              <w:rPr>
                <w:sz w:val="14"/>
              </w:rPr>
            </w:pPr>
          </w:p>
        </w:tc>
      </w:tr>
      <w:tr w:rsidR="00854F7C" w:rsidRPr="0007297E" w:rsidTr="0007297E">
        <w:tblPrEx>
          <w:tblLook w:val="0000" w:firstRow="0" w:lastRow="0" w:firstColumn="0" w:lastColumn="0" w:noHBand="0" w:noVBand="0"/>
        </w:tblPrEx>
        <w:trPr>
          <w:trHeight w:val="179"/>
        </w:trPr>
        <w:tc>
          <w:tcPr>
            <w:tcW w:w="1533" w:type="dxa"/>
            <w:vAlign w:val="center"/>
          </w:tcPr>
          <w:p w:rsidR="00854F7C" w:rsidRPr="0007297E" w:rsidRDefault="00854F7C" w:rsidP="001E45AE">
            <w:pPr>
              <w:rPr>
                <w:sz w:val="14"/>
              </w:rPr>
            </w:pPr>
          </w:p>
        </w:tc>
        <w:tc>
          <w:tcPr>
            <w:tcW w:w="1155" w:type="dxa"/>
            <w:shd w:val="clear" w:color="auto" w:fill="auto"/>
            <w:vAlign w:val="center"/>
          </w:tcPr>
          <w:p w:rsidR="00854F7C" w:rsidRPr="0007297E" w:rsidRDefault="00854F7C" w:rsidP="001E45AE">
            <w:pPr>
              <w:rPr>
                <w:sz w:val="14"/>
              </w:rPr>
            </w:pPr>
          </w:p>
        </w:tc>
        <w:tc>
          <w:tcPr>
            <w:tcW w:w="1347" w:type="dxa"/>
            <w:shd w:val="clear" w:color="auto" w:fill="auto"/>
            <w:vAlign w:val="center"/>
          </w:tcPr>
          <w:p w:rsidR="00854F7C" w:rsidRPr="0007297E" w:rsidRDefault="00854F7C" w:rsidP="001E45AE">
            <w:pPr>
              <w:jc w:val="center"/>
              <w:rPr>
                <w:sz w:val="14"/>
              </w:rPr>
            </w:pPr>
          </w:p>
        </w:tc>
        <w:tc>
          <w:tcPr>
            <w:tcW w:w="1926" w:type="dxa"/>
            <w:shd w:val="clear" w:color="auto" w:fill="auto"/>
            <w:vAlign w:val="center"/>
          </w:tcPr>
          <w:p w:rsidR="00854F7C" w:rsidRPr="0007297E" w:rsidRDefault="00854F7C" w:rsidP="001E45AE">
            <w:pPr>
              <w:jc w:val="center"/>
              <w:rPr>
                <w:sz w:val="14"/>
              </w:rPr>
            </w:pPr>
          </w:p>
        </w:tc>
        <w:tc>
          <w:tcPr>
            <w:tcW w:w="774" w:type="dxa"/>
            <w:shd w:val="clear" w:color="auto" w:fill="auto"/>
            <w:vAlign w:val="center"/>
          </w:tcPr>
          <w:p w:rsidR="00854F7C" w:rsidRPr="0007297E" w:rsidRDefault="00854F7C" w:rsidP="001E45AE">
            <w:pPr>
              <w:rPr>
                <w:b/>
                <w:sz w:val="14"/>
              </w:rPr>
            </w:pPr>
          </w:p>
        </w:tc>
      </w:tr>
    </w:tbl>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sectPr w:rsidR="00854F7C" w:rsidRPr="00921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8D"/>
    <w:rsid w:val="00021DED"/>
    <w:rsid w:val="00033B69"/>
    <w:rsid w:val="0007297E"/>
    <w:rsid w:val="00074E87"/>
    <w:rsid w:val="000849AC"/>
    <w:rsid w:val="00131EC9"/>
    <w:rsid w:val="001845EF"/>
    <w:rsid w:val="001E45AE"/>
    <w:rsid w:val="001F2B4A"/>
    <w:rsid w:val="00264D5A"/>
    <w:rsid w:val="002F3FDE"/>
    <w:rsid w:val="00307222"/>
    <w:rsid w:val="003F30BA"/>
    <w:rsid w:val="004647B3"/>
    <w:rsid w:val="004B1A86"/>
    <w:rsid w:val="004B5626"/>
    <w:rsid w:val="004D3600"/>
    <w:rsid w:val="004D4F10"/>
    <w:rsid w:val="004D766C"/>
    <w:rsid w:val="004E0D99"/>
    <w:rsid w:val="00600D8D"/>
    <w:rsid w:val="00834E1A"/>
    <w:rsid w:val="00842105"/>
    <w:rsid w:val="00852D76"/>
    <w:rsid w:val="00854F7C"/>
    <w:rsid w:val="00882DCB"/>
    <w:rsid w:val="008C1C80"/>
    <w:rsid w:val="008E61FC"/>
    <w:rsid w:val="008F0B45"/>
    <w:rsid w:val="008F5CB3"/>
    <w:rsid w:val="00921E14"/>
    <w:rsid w:val="009912F7"/>
    <w:rsid w:val="009C26AA"/>
    <w:rsid w:val="00A22141"/>
    <w:rsid w:val="00A83A8D"/>
    <w:rsid w:val="00AD1A2A"/>
    <w:rsid w:val="00B34DDB"/>
    <w:rsid w:val="00B57C28"/>
    <w:rsid w:val="00BD745A"/>
    <w:rsid w:val="00BE7CDD"/>
    <w:rsid w:val="00C84761"/>
    <w:rsid w:val="00C924E2"/>
    <w:rsid w:val="00CC083B"/>
    <w:rsid w:val="00D27AB2"/>
    <w:rsid w:val="00D35171"/>
    <w:rsid w:val="00D513B0"/>
    <w:rsid w:val="00D746D2"/>
    <w:rsid w:val="00D768BF"/>
    <w:rsid w:val="00DE6C80"/>
    <w:rsid w:val="00DF5041"/>
    <w:rsid w:val="00E21653"/>
    <w:rsid w:val="00E954FE"/>
    <w:rsid w:val="00EF617D"/>
    <w:rsid w:val="00F22B58"/>
    <w:rsid w:val="00F91E21"/>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045C7-44F2-4A8D-A210-540414E0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paragraph" w:styleId="Ttulo5">
    <w:name w:val="heading 5"/>
    <w:link w:val="Ttulo5Car"/>
    <w:qFormat/>
    <w:rsid w:val="00264D5A"/>
    <w:pPr>
      <w:spacing w:before="240" w:after="120" w:line="240" w:lineRule="auto"/>
      <w:outlineLvl w:val="4"/>
    </w:pPr>
    <w:rPr>
      <w:rFonts w:ascii="Times New Roman" w:eastAsia="Times New Roman" w:hAnsi="Times New Roman" w:cs="Times New Roman"/>
      <w:b/>
      <w:bCs/>
      <w:color w:val="153542"/>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character" w:customStyle="1" w:styleId="Ttulo5Car">
    <w:name w:val="Título 5 Car"/>
    <w:basedOn w:val="Fuentedeprrafopredeter"/>
    <w:link w:val="Ttulo5"/>
    <w:rsid w:val="00264D5A"/>
    <w:rPr>
      <w:rFonts w:ascii="Times New Roman" w:eastAsia="Times New Roman" w:hAnsi="Times New Roman" w:cs="Times New Roman"/>
      <w:b/>
      <w:bCs/>
      <w:color w:val="153542"/>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856267423">
      <w:bodyDiv w:val="1"/>
      <w:marLeft w:val="0"/>
      <w:marRight w:val="0"/>
      <w:marTop w:val="0"/>
      <w:marBottom w:val="0"/>
      <w:divBdr>
        <w:top w:val="none" w:sz="0" w:space="0" w:color="auto"/>
        <w:left w:val="none" w:sz="0" w:space="0" w:color="auto"/>
        <w:bottom w:val="none" w:sz="0" w:space="0" w:color="auto"/>
        <w:right w:val="none" w:sz="0" w:space="0" w:color="auto"/>
      </w:divBdr>
      <w:divsChild>
        <w:div w:id="1928074484">
          <w:marLeft w:val="0"/>
          <w:marRight w:val="0"/>
          <w:marTop w:val="0"/>
          <w:marBottom w:val="0"/>
          <w:divBdr>
            <w:top w:val="none" w:sz="0" w:space="0" w:color="auto"/>
            <w:left w:val="none" w:sz="0" w:space="0" w:color="auto"/>
            <w:bottom w:val="none" w:sz="0" w:space="0" w:color="auto"/>
            <w:right w:val="none" w:sz="0" w:space="0" w:color="auto"/>
          </w:divBdr>
        </w:div>
        <w:div w:id="1796094229">
          <w:marLeft w:val="0"/>
          <w:marRight w:val="0"/>
          <w:marTop w:val="0"/>
          <w:marBottom w:val="0"/>
          <w:divBdr>
            <w:top w:val="none" w:sz="0" w:space="0" w:color="auto"/>
            <w:left w:val="none" w:sz="0" w:space="0" w:color="auto"/>
            <w:bottom w:val="none" w:sz="0" w:space="0" w:color="auto"/>
            <w:right w:val="none" w:sz="0" w:space="0" w:color="auto"/>
          </w:divBdr>
        </w:div>
        <w:div w:id="1756825906">
          <w:marLeft w:val="0"/>
          <w:marRight w:val="0"/>
          <w:marTop w:val="0"/>
          <w:marBottom w:val="0"/>
          <w:divBdr>
            <w:top w:val="none" w:sz="0" w:space="0" w:color="auto"/>
            <w:left w:val="none" w:sz="0" w:space="0" w:color="auto"/>
            <w:bottom w:val="none" w:sz="0" w:space="0" w:color="auto"/>
            <w:right w:val="none" w:sz="0" w:space="0" w:color="auto"/>
          </w:divBdr>
        </w:div>
        <w:div w:id="999505331">
          <w:marLeft w:val="0"/>
          <w:marRight w:val="0"/>
          <w:marTop w:val="0"/>
          <w:marBottom w:val="0"/>
          <w:divBdr>
            <w:top w:val="none" w:sz="0" w:space="0" w:color="auto"/>
            <w:left w:val="none" w:sz="0" w:space="0" w:color="auto"/>
            <w:bottom w:val="none" w:sz="0" w:space="0" w:color="auto"/>
            <w:right w:val="none" w:sz="0" w:space="0" w:color="auto"/>
          </w:divBdr>
        </w:div>
        <w:div w:id="386271235">
          <w:marLeft w:val="0"/>
          <w:marRight w:val="0"/>
          <w:marTop w:val="0"/>
          <w:marBottom w:val="0"/>
          <w:divBdr>
            <w:top w:val="none" w:sz="0" w:space="0" w:color="auto"/>
            <w:left w:val="none" w:sz="0" w:space="0" w:color="auto"/>
            <w:bottom w:val="none" w:sz="0" w:space="0" w:color="auto"/>
            <w:right w:val="none" w:sz="0" w:space="0" w:color="auto"/>
          </w:divBdr>
        </w:div>
        <w:div w:id="1857846097">
          <w:marLeft w:val="0"/>
          <w:marRight w:val="0"/>
          <w:marTop w:val="0"/>
          <w:marBottom w:val="0"/>
          <w:divBdr>
            <w:top w:val="none" w:sz="0" w:space="0" w:color="auto"/>
            <w:left w:val="none" w:sz="0" w:space="0" w:color="auto"/>
            <w:bottom w:val="none" w:sz="0" w:space="0" w:color="auto"/>
            <w:right w:val="none" w:sz="0" w:space="0" w:color="auto"/>
          </w:divBdr>
        </w:div>
        <w:div w:id="1876505540">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D1ED-003C-4F3A-98E0-4B02244C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9319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Walter Marcelo Guayaquil Renjifo</cp:lastModifiedBy>
  <cp:revision>2</cp:revision>
  <dcterms:created xsi:type="dcterms:W3CDTF">2024-03-13T14:07:00Z</dcterms:created>
  <dcterms:modified xsi:type="dcterms:W3CDTF">2024-03-13T14:07:00Z</dcterms:modified>
</cp:coreProperties>
</file>