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E" w:rsidRDefault="0006637E" w:rsidP="00F9515C">
      <w:pPr>
        <w:jc w:val="center"/>
        <w:rPr>
          <w:rFonts w:ascii="Century Gothic" w:hAnsi="Century Gothic"/>
          <w:b/>
          <w:lang w:val="es-ES"/>
        </w:rPr>
      </w:pPr>
      <w:bookmarkStart w:id="0" w:name="_GoBack"/>
      <w:bookmarkEnd w:id="0"/>
    </w:p>
    <w:p w:rsidR="000C3F58" w:rsidRPr="00C60827" w:rsidRDefault="00F9515C" w:rsidP="00F9515C">
      <w:pPr>
        <w:jc w:val="center"/>
        <w:rPr>
          <w:rFonts w:ascii="Century Gothic" w:hAnsi="Century Gothic"/>
          <w:b/>
          <w:lang w:val="es-ES"/>
        </w:rPr>
      </w:pPr>
      <w:r w:rsidRPr="00C60827">
        <w:rPr>
          <w:rFonts w:ascii="Century Gothic" w:hAnsi="Century Gothic"/>
          <w:b/>
          <w:lang w:val="es-ES"/>
        </w:rPr>
        <w:t>ESPOSICION DE MOTIVOS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En cumplimiento a la Ordenanza Metropolitana No. 0</w:t>
      </w:r>
      <w:r w:rsidR="00E22177">
        <w:rPr>
          <w:rFonts w:ascii="Century Gothic" w:hAnsi="Century Gothic"/>
        </w:rPr>
        <w:t>21-2021, misma que hace referencia a la Equiparar el número de calles con denominación de mujeres y hombres en el Distrito Metropolitano de Quito</w:t>
      </w:r>
      <w:r w:rsidRPr="00C60827">
        <w:rPr>
          <w:rFonts w:ascii="Century Gothic" w:hAnsi="Century Gothic"/>
        </w:rPr>
        <w:t>; y, con la finalidad de dar atención a la solicitud de</w:t>
      </w:r>
      <w:r w:rsidR="00E22177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>l</w:t>
      </w:r>
      <w:r w:rsidR="00E22177">
        <w:rPr>
          <w:rFonts w:ascii="Century Gothic" w:hAnsi="Century Gothic"/>
        </w:rPr>
        <w:t xml:space="preserve">a Licenciada Consuelo Páez Salvador de Campuzano, </w:t>
      </w:r>
      <w:r w:rsidRPr="00C60827">
        <w:rPr>
          <w:rFonts w:ascii="Century Gothic" w:hAnsi="Century Gothic"/>
        </w:rPr>
        <w:t>quien solicita la asignación de</w:t>
      </w:r>
      <w:r w:rsidR="00E22177">
        <w:rPr>
          <w:rFonts w:ascii="Century Gothic" w:hAnsi="Century Gothic"/>
        </w:rPr>
        <w:t>l</w:t>
      </w:r>
      <w:r w:rsidRPr="00C60827">
        <w:rPr>
          <w:rFonts w:ascii="Century Gothic" w:hAnsi="Century Gothic"/>
        </w:rPr>
        <w:t xml:space="preserve"> nombre de </w:t>
      </w:r>
      <w:r w:rsidR="00E22177">
        <w:rPr>
          <w:rFonts w:ascii="Century Gothic" w:hAnsi="Century Gothic"/>
        </w:rPr>
        <w:t xml:space="preserve">Inés </w:t>
      </w:r>
      <w:r w:rsidR="00510016">
        <w:rPr>
          <w:rFonts w:ascii="Century Gothic" w:hAnsi="Century Gothic"/>
        </w:rPr>
        <w:t>Victoria Salvador Guillen, como un reconocimiento a la labor social incansable y desinteresada por ella desempeñada en beneficio de la comunidad durante su vida profesional desde el año 1949 hasta su muerte en el año 2006.</w:t>
      </w:r>
      <w:r w:rsidRPr="00C60827">
        <w:rPr>
          <w:rFonts w:ascii="Century Gothic" w:hAnsi="Century Gothic"/>
        </w:rPr>
        <w:t xml:space="preserve"> </w:t>
      </w:r>
    </w:p>
    <w:p w:rsidR="00F9515C" w:rsidRPr="00C60827" w:rsidRDefault="00F9515C" w:rsidP="00EA31F1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 xml:space="preserve">La EPMMOP, ha realizado el análisis técnico respectivo, </w:t>
      </w:r>
      <w:r w:rsidR="0012209F">
        <w:rPr>
          <w:rFonts w:ascii="Century Gothic" w:hAnsi="Century Gothic"/>
        </w:rPr>
        <w:t xml:space="preserve">tomando en consideración que cumple los criterios técnicos; </w:t>
      </w:r>
      <w:r w:rsidR="0012209F" w:rsidRPr="00C60827">
        <w:rPr>
          <w:rFonts w:ascii="Century Gothic" w:hAnsi="Century Gothic"/>
        </w:rPr>
        <w:t xml:space="preserve">(a) </w:t>
      </w:r>
      <w:r w:rsidR="0012209F" w:rsidRPr="00C60827">
        <w:rPr>
          <w:rFonts w:ascii="Century Gothic" w:hAnsi="Century Gothic"/>
          <w:lang w:val="es-ES"/>
        </w:rPr>
        <w:t xml:space="preserve">No </w:t>
      </w:r>
      <w:r w:rsidR="0012209F" w:rsidRPr="00C60827">
        <w:rPr>
          <w:rFonts w:ascii="Century Gothic" w:hAnsi="Century Gothic"/>
        </w:rPr>
        <w:t>duplicidad; (b) Secuencia vial; y, (c) Representatividad y datos históricos relevantes</w:t>
      </w:r>
      <w:r w:rsidR="0012209F">
        <w:rPr>
          <w:rFonts w:ascii="Century Gothic" w:hAnsi="Century Gothic"/>
        </w:rPr>
        <w:t>; por lo que considera factible la propuesta de denominación.</w:t>
      </w:r>
      <w:r w:rsidRPr="00C60827">
        <w:rPr>
          <w:rFonts w:ascii="Century Gothic" w:hAnsi="Century Gothic"/>
        </w:rPr>
        <w:t xml:space="preserve"> </w:t>
      </w:r>
    </w:p>
    <w:p w:rsidR="00F9515C" w:rsidRPr="00C60827" w:rsidRDefault="00F9515C" w:rsidP="00EA31F1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Las propuestas de denominación vial responden a: nombres de personajes que lucharon por el bienestar común, logrando en base a su esfuerzo y gestión, la implementación de varios servicios relacionados con la educación, seguridad, religiosidad, funeraria, salud, higiene, transporte, vialidad, entre otros.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En este sentido la presente ordenanza facilitará la ubicación de las direcciones por medio de la denominación vial, con la finalidad de que la ciudadanía se familiarice y adopte el modelo de nomenclatura vigente en el DMQ, adaptando nombres de relevancia histórica a los ejes viales del DMQ.</w:t>
      </w: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F9515C" w:rsidRPr="00C60827" w:rsidRDefault="00F9515C" w:rsidP="00F9515C">
      <w:pPr>
        <w:jc w:val="center"/>
        <w:rPr>
          <w:rFonts w:ascii="Century Gothic" w:hAnsi="Century Gothic"/>
          <w:b/>
        </w:rPr>
      </w:pPr>
      <w:r w:rsidRPr="00C60827">
        <w:rPr>
          <w:rFonts w:ascii="Century Gothic" w:hAnsi="Century Gothic"/>
          <w:b/>
        </w:rPr>
        <w:t>EL CONCEJO METROPOLITANO DE QUITO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Visto</w:t>
      </w:r>
      <w:r w:rsidR="00EA31F1" w:rsidRPr="00C60827">
        <w:rPr>
          <w:rFonts w:ascii="Century Gothic" w:hAnsi="Century Gothic"/>
        </w:rPr>
        <w:t xml:space="preserve">s </w:t>
      </w:r>
      <w:r w:rsidRPr="00C60827">
        <w:rPr>
          <w:rFonts w:ascii="Century Gothic" w:hAnsi="Century Gothic"/>
        </w:rPr>
        <w:t xml:space="preserve">el Informe No. IC……………….. de………………………. de la Comisión de </w:t>
      </w:r>
      <w:r w:rsidR="00C60827" w:rsidRPr="00C60827">
        <w:rPr>
          <w:rFonts w:ascii="Century Gothic" w:hAnsi="Century Gothic"/>
        </w:rPr>
        <w:t xml:space="preserve">Uso de </w:t>
      </w:r>
      <w:r w:rsidRPr="00C60827">
        <w:rPr>
          <w:rFonts w:ascii="Century Gothic" w:hAnsi="Century Gothic"/>
        </w:rPr>
        <w:t>Suelo y;</w:t>
      </w:r>
    </w:p>
    <w:p w:rsidR="00C60827" w:rsidRPr="0006637E" w:rsidRDefault="00F9515C" w:rsidP="0006637E">
      <w:pPr>
        <w:jc w:val="center"/>
        <w:rPr>
          <w:rFonts w:ascii="Century Gothic" w:hAnsi="Century Gothic"/>
          <w:b/>
        </w:rPr>
      </w:pPr>
      <w:r w:rsidRPr="00C60827">
        <w:rPr>
          <w:rFonts w:ascii="Century Gothic" w:hAnsi="Century Gothic"/>
          <w:b/>
        </w:rPr>
        <w:t>CONSIDERANDO</w:t>
      </w:r>
      <w:r w:rsidR="0006637E">
        <w:rPr>
          <w:rFonts w:ascii="Century Gothic" w:hAnsi="Century Gothic"/>
          <w:b/>
        </w:rPr>
        <w:t>:</w:t>
      </w:r>
    </w:p>
    <w:p w:rsidR="00C60827" w:rsidRPr="00C60827" w:rsidRDefault="00C60827" w:rsidP="00C60827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F9515C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 w:rsidRPr="00EF3EC9">
        <w:rPr>
          <w:rFonts w:ascii="Century Gothic" w:hAnsi="Century Gothic"/>
          <w:color w:val="000000" w:themeColor="text1"/>
          <w:lang w:eastAsia="es-EC"/>
        </w:rPr>
        <w:t xml:space="preserve"> </w:t>
      </w:r>
      <w:r>
        <w:rPr>
          <w:rFonts w:ascii="Century Gothic" w:hAnsi="Century Gothic"/>
          <w:color w:val="000000" w:themeColor="text1"/>
          <w:lang w:eastAsia="es-EC"/>
        </w:rPr>
        <w:t>la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 xml:space="preserve"> Constitución de la República</w:t>
      </w:r>
      <w:r>
        <w:rPr>
          <w:rFonts w:ascii="Century Gothic" w:hAnsi="Century Gothic"/>
          <w:color w:val="000000" w:themeColor="text1"/>
          <w:lang w:eastAsia="es-EC"/>
        </w:rPr>
        <w:t xml:space="preserve">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EF3EC9">
        <w:rPr>
          <w:rFonts w:ascii="Century Gothic" w:hAnsi="Century Gothic"/>
          <w:color w:val="000000" w:themeColor="text1"/>
          <w:u w:val="single"/>
          <w:lang w:eastAsia="es-EC"/>
        </w:rPr>
        <w:t>Constitución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>
        <w:rPr>
          <w:rFonts w:ascii="Century Gothic" w:hAnsi="Century Gothic"/>
          <w:color w:val="000000" w:themeColor="text1"/>
          <w:lang w:eastAsia="es-EC"/>
        </w:rPr>
        <w:t xml:space="preserve">, 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en su</w:t>
      </w:r>
      <w:r>
        <w:rPr>
          <w:rFonts w:ascii="Century Gothic" w:hAnsi="Century Gothic"/>
          <w:color w:val="000000" w:themeColor="text1"/>
          <w:lang w:eastAsia="es-EC"/>
        </w:rPr>
        <w:t xml:space="preserve"> artículo 240, inciso 1 dispone que l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os gobie</w:t>
      </w:r>
      <w:r>
        <w:rPr>
          <w:rFonts w:ascii="Century Gothic" w:hAnsi="Century Gothic"/>
          <w:color w:val="000000" w:themeColor="text1"/>
          <w:lang w:eastAsia="es-EC"/>
        </w:rPr>
        <w:t xml:space="preserve">rnos autónomos descentralizados, en general, 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tendrán facultades legislativas en el ámbito de sus competencias y jurisdicciones territoriales. Las juntas parroquiales rurales tendrán facultades reglamentarias. Todos los gobiernos autónomos descentralizados ejercerán facultades ejecutivas en el ámbito de sus competencias y jurisdicc</w:t>
      </w:r>
      <w:r>
        <w:rPr>
          <w:rFonts w:ascii="Century Gothic" w:hAnsi="Century Gothic"/>
          <w:color w:val="000000" w:themeColor="text1"/>
          <w:lang w:eastAsia="es-EC"/>
        </w:rPr>
        <w:t>iones territoriales;</w:t>
      </w:r>
    </w:p>
    <w:p w:rsidR="00EF3EC9" w:rsidRP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5A2628" w:rsidRDefault="005A2628" w:rsidP="005754DC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5754DC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5754DC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5754DC">
        <w:rPr>
          <w:rFonts w:ascii="Century Gothic" w:hAnsi="Century Gothic"/>
          <w:color w:val="000000" w:themeColor="text1"/>
          <w:lang w:eastAsia="es-EC"/>
        </w:rPr>
        <w:tab/>
        <w:t xml:space="preserve">el artículo 264 numerales 1, 2 y 8 de la Constitución dispone: “Los gobiernos municipales tendrán las siguientes competencias exclusivas,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cantón; 8. Preservar, mantener y difundir el patrimonio arquitectónico, cultural y natural del cantón y construir los espacios públicos para estos fines.”; </w:t>
      </w:r>
    </w:p>
    <w:p w:rsidR="0078542E" w:rsidRDefault="0078542E" w:rsidP="0078542E">
      <w:pPr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78542E" w:rsidRPr="0078542E" w:rsidRDefault="0078542E" w:rsidP="0078542E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78542E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78542E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78542E">
        <w:rPr>
          <w:rFonts w:ascii="Century Gothic" w:hAnsi="Century Gothic"/>
          <w:color w:val="000000" w:themeColor="text1"/>
          <w:lang w:eastAsia="es-EC"/>
        </w:rPr>
        <w:tab/>
        <w:t>el artículo 266 de la Constitución dispone: “Los gobiernos de los distritos metropolitanos autónomos ejercerán las competencias que corresponden a los gobiernos cantonales</w:t>
      </w:r>
      <w:r w:rsidR="0076160D"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78542E">
        <w:rPr>
          <w:rFonts w:ascii="Century Gothic" w:hAnsi="Century Gothic"/>
          <w:color w:val="000000" w:themeColor="text1"/>
          <w:lang w:eastAsia="es-EC"/>
        </w:rPr>
        <w:t>(…)”;</w:t>
      </w:r>
    </w:p>
    <w:p w:rsidR="00EF3EC9" w:rsidRPr="00EF3EC9" w:rsidRDefault="00EF3EC9" w:rsidP="0078542E">
      <w:pPr>
        <w:pStyle w:val="Sinespaciado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F9515C" w:rsidRDefault="00F9515C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 w:rsidRPr="00EF3EC9">
        <w:rPr>
          <w:rFonts w:ascii="Century Gothic" w:hAnsi="Century Gothic"/>
          <w:color w:val="000000" w:themeColor="text1"/>
          <w:lang w:eastAsia="es-EC"/>
        </w:rPr>
        <w:t xml:space="preserve"> el Código Orgánico de Organización Territorial, Autonomía y Descentralización </w:t>
      </w:r>
      <w:r w:rsidR="00EF3EC9">
        <w:rPr>
          <w:rFonts w:ascii="Century Gothic" w:hAnsi="Century Gothic"/>
          <w:color w:val="000000" w:themeColor="text1"/>
          <w:lang w:eastAsia="es-EC"/>
        </w:rPr>
        <w:t>(</w:t>
      </w:r>
      <w:r w:rsidR="00EF3EC9" w:rsidRPr="00EF3EC9">
        <w:rPr>
          <w:rFonts w:ascii="Century Gothic" w:hAnsi="Century Gothic"/>
          <w:color w:val="000000" w:themeColor="text1"/>
          <w:lang w:eastAsia="es-EC"/>
        </w:rPr>
        <w:t>«</w:t>
      </w:r>
      <w:r w:rsidR="00EF3EC9">
        <w:rPr>
          <w:rFonts w:ascii="Century Gothic" w:hAnsi="Century Gothic"/>
          <w:color w:val="000000" w:themeColor="text1"/>
          <w:u w:val="single"/>
          <w:lang w:eastAsia="es-EC"/>
        </w:rPr>
        <w:t>COOTAD</w:t>
      </w:r>
      <w:r w:rsidR="00EF3EC9"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EF3EC9">
        <w:rPr>
          <w:rFonts w:ascii="Century Gothic" w:hAnsi="Century Gothic"/>
          <w:color w:val="000000" w:themeColor="text1"/>
          <w:lang w:eastAsia="es-EC"/>
        </w:rPr>
        <w:t xml:space="preserve">, en su artículo 322, en lo principal, establece que los </w:t>
      </w:r>
      <w:r w:rsidRPr="00EF3EC9">
        <w:rPr>
          <w:rFonts w:ascii="Century Gothic" w:hAnsi="Century Gothic"/>
          <w:color w:val="000000" w:themeColor="text1"/>
          <w:lang w:eastAsia="es-EC"/>
        </w:rPr>
        <w:t>consejos regionales y provinciales y los concejos metropolitanos y municipales aprobarán ordenanzas regionales, provinciales, metropolitanas y municipales, respectivamente, con el voto conforme</w:t>
      </w:r>
      <w:r w:rsidR="00EF3EC9">
        <w:rPr>
          <w:rFonts w:ascii="Century Gothic" w:hAnsi="Century Gothic"/>
          <w:color w:val="000000" w:themeColor="text1"/>
          <w:lang w:eastAsia="es-EC"/>
        </w:rPr>
        <w:t xml:space="preserve"> de la mayoría de sus miembros;</w:t>
      </w:r>
    </w:p>
    <w:p w:rsidR="00EF3EC9" w:rsidRP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EF3EC9" w:rsidRPr="00EF3EC9" w:rsidRDefault="00CD0572" w:rsidP="008A0FAD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CD0572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CD0572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CD0572">
        <w:rPr>
          <w:rFonts w:ascii="Century Gothic" w:hAnsi="Century Gothic"/>
          <w:color w:val="000000" w:themeColor="text1"/>
          <w:lang w:eastAsia="es-EC"/>
        </w:rPr>
        <w:tab/>
        <w:t xml:space="preserve">los literales a) y v) del artículo 87 del Código Orgánico de Ordenamiento Territorial, Autonomía y Descentralización, en adelante “COOTAD” establecen: “Al concejo metropolitano le corresponden: a. Ejercer la facultad normativa en las materias de competencia del gobierno autónomo descentralizado metropolitano, mediante la expedición de ordenanzas metropolitanas, acuerdos y resoluciones; (…) v. Regular y controlar el uso del suelo en el territorio del distrito metropolitano, de </w:t>
      </w:r>
      <w:r w:rsidRPr="00CD0572">
        <w:rPr>
          <w:rFonts w:ascii="Century Gothic" w:hAnsi="Century Gothic"/>
          <w:color w:val="000000" w:themeColor="text1"/>
          <w:lang w:eastAsia="es-EC"/>
        </w:rPr>
        <w:lastRenderedPageBreak/>
        <w:t>conformidad con las leyes sobre la materia, y establecer el régimen urbanístico de la tierra.”;</w:t>
      </w:r>
    </w:p>
    <w:p w:rsidR="00671E74" w:rsidRDefault="00671E74" w:rsidP="00671E74">
      <w:pPr>
        <w:pStyle w:val="Default"/>
      </w:pPr>
    </w:p>
    <w:p w:rsidR="0006637E" w:rsidRPr="005B14DC" w:rsidRDefault="00671E74" w:rsidP="00671E7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 el artículo 2328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407285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indica que para </w:t>
      </w:r>
      <w:r w:rsidRPr="005B14DC">
        <w:rPr>
          <w:rFonts w:ascii="Century Gothic" w:hAnsi="Century Gothic"/>
          <w:color w:val="000000" w:themeColor="text1"/>
          <w:lang w:eastAsia="es-EC"/>
        </w:rPr>
        <w:t>la interpretación de esta normativa se tomará en cuenta el contenido de los Planos de los ejes viales</w:t>
      </w:r>
      <w:r w:rsidR="002D112A" w:rsidRPr="005B14DC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5B14DC">
        <w:rPr>
          <w:rFonts w:ascii="Century Gothic" w:hAnsi="Century Gothic"/>
          <w:color w:val="000000" w:themeColor="text1"/>
          <w:lang w:eastAsia="es-EC"/>
        </w:rPr>
        <w:t xml:space="preserve"> Anexo técnico; y, </w:t>
      </w:r>
      <w:r w:rsidR="002D112A" w:rsidRPr="005B14DC">
        <w:rPr>
          <w:rFonts w:ascii="Century Gothic" w:hAnsi="Century Gothic"/>
          <w:color w:val="000000" w:themeColor="text1"/>
          <w:lang w:eastAsia="es-EC"/>
        </w:rPr>
        <w:t xml:space="preserve">Memoria de esta normativa; </w:t>
      </w:r>
    </w:p>
    <w:p w:rsidR="0006637E" w:rsidRDefault="0006637E" w:rsidP="00EF3EC9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3408B5" w:rsidRDefault="003408B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 el artículo 2340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407285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indica que a </w:t>
      </w:r>
      <w:r w:rsidRPr="003408B5">
        <w:rPr>
          <w:rFonts w:ascii="Century Gothic" w:hAnsi="Century Gothic"/>
          <w:color w:val="000000" w:themeColor="text1"/>
          <w:lang w:eastAsia="es-EC"/>
        </w:rPr>
        <w:t>los ejes transversales principales se les asignarán nombres representativos, además serán reconocidos por una numeración ascendente, teniendo como origen el eje 1. Los que se ubiquen al Sur del eje 1 serán identificados con la letra S y el código correspondiente, y los ubicados al Norte del eje 1 se identificarán por la letr</w:t>
      </w:r>
      <w:r>
        <w:rPr>
          <w:rFonts w:ascii="Century Gothic" w:hAnsi="Century Gothic"/>
          <w:color w:val="000000" w:themeColor="text1"/>
          <w:lang w:eastAsia="es-EC"/>
        </w:rPr>
        <w:t xml:space="preserve">a N y el código correspondiente; </w:t>
      </w:r>
    </w:p>
    <w:p w:rsidR="00407285" w:rsidRDefault="00407285" w:rsidP="003408B5">
      <w:pPr>
        <w:pStyle w:val="Sinespaciado"/>
        <w:ind w:left="705" w:hanging="705"/>
        <w:jc w:val="both"/>
      </w:pPr>
    </w:p>
    <w:p w:rsidR="00192D6F" w:rsidRPr="00AA36CF" w:rsidRDefault="00407285" w:rsidP="00AA36C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AA36C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>,  el artículo 2341 del Código Municipal para el Distrito Metropolitano de Quito («Código Municipal»), indica que</w:t>
      </w:r>
      <w:r w:rsidR="00192D6F" w:rsidRPr="00AA36CF">
        <w:rPr>
          <w:rFonts w:ascii="Century Gothic" w:hAnsi="Century Gothic"/>
          <w:color w:val="000000" w:themeColor="text1"/>
          <w:lang w:eastAsia="es-EC"/>
        </w:rPr>
        <w:t xml:space="preserve"> las vías locales, pasajes peatonales y vehiculares longitudinales y trasversales y escalinatas serán identificadas por un código alfanumérico ascendente por unidades, teniendo como origen los ejes 1 longitudinales y transversales. Estas vías podrán ser identificadas adem</w:t>
      </w:r>
      <w:r w:rsidR="00C70F47" w:rsidRPr="00AA36CF">
        <w:rPr>
          <w:rFonts w:ascii="Century Gothic" w:hAnsi="Century Gothic"/>
          <w:color w:val="000000" w:themeColor="text1"/>
          <w:lang w:eastAsia="es-EC"/>
        </w:rPr>
        <w:t xml:space="preserve">ás por nombres representativos; </w:t>
      </w:r>
    </w:p>
    <w:p w:rsidR="00407285" w:rsidRPr="00AA36CF" w:rsidRDefault="0040728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D1324F" w:rsidRPr="00AA36CF" w:rsidRDefault="00407285" w:rsidP="00AA36C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AA36C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>,  el artículo 2342 del Código Municipal para el Distrito Metropolitano de Quito («Código Municipal»), indica que</w:t>
      </w:r>
      <w:r w:rsidR="00D1324F" w:rsidRPr="00AA36CF">
        <w:rPr>
          <w:rFonts w:ascii="Century Gothic" w:hAnsi="Century Gothic"/>
          <w:color w:val="000000" w:themeColor="text1"/>
          <w:lang w:eastAsia="es-EC"/>
        </w:rPr>
        <w:t xml:space="preserve"> debido a la dinámica de crecimiento urbano la codificación vial podrá estar sujeta a cambios sin que ésta afecte a la codificación predial</w:t>
      </w:r>
      <w:r w:rsidR="00C20A6F" w:rsidRPr="00AA36CF">
        <w:rPr>
          <w:rFonts w:ascii="Century Gothic" w:hAnsi="Century Gothic"/>
          <w:color w:val="000000" w:themeColor="text1"/>
          <w:lang w:eastAsia="es-EC"/>
        </w:rPr>
        <w:t xml:space="preserve">; </w:t>
      </w:r>
    </w:p>
    <w:p w:rsidR="00407285" w:rsidRPr="008B1413" w:rsidRDefault="0040728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91434A" w:rsidRDefault="0091434A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8B1413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 xml:space="preserve">,  el artículo </w:t>
      </w:r>
      <w:r>
        <w:rPr>
          <w:rFonts w:ascii="Century Gothic" w:hAnsi="Century Gothic"/>
          <w:color w:val="000000" w:themeColor="text1"/>
          <w:lang w:eastAsia="es-EC"/>
        </w:rPr>
        <w:t>2343</w:t>
      </w:r>
      <w:r w:rsidRPr="00AA36CF">
        <w:rPr>
          <w:rFonts w:ascii="Century Gothic" w:hAnsi="Century Gothic"/>
          <w:color w:val="000000" w:themeColor="text1"/>
          <w:lang w:eastAsia="es-EC"/>
        </w:rPr>
        <w:t xml:space="preserve"> del Código Municipal para el Distrito Metropolitano de Quito («Código Municipal»), indica que</w:t>
      </w:r>
      <w:r>
        <w:rPr>
          <w:rFonts w:ascii="Century Gothic" w:hAnsi="Century Gothic"/>
          <w:color w:val="000000" w:themeColor="text1"/>
          <w:lang w:eastAsia="es-EC"/>
        </w:rPr>
        <w:t xml:space="preserve"> c</w:t>
      </w:r>
      <w:r w:rsidRPr="008B1413">
        <w:rPr>
          <w:rFonts w:ascii="Century Gothic" w:hAnsi="Century Gothic"/>
          <w:color w:val="000000" w:themeColor="text1"/>
          <w:lang w:eastAsia="es-EC"/>
        </w:rPr>
        <w:t>uando se asignen nombres de países, ciudades, fechas históricas, animales, objetos, plantas, etc., la nómina propuesta será previamente analizada por la Secretaría responsable del territorio, hábitat y vivienda, Procuraduría Metropolitana, el Cronista de la Ciudad y la Empresa Pública Metropolitana encargada d</w:t>
      </w:r>
      <w:r w:rsidR="004C2E77">
        <w:rPr>
          <w:rFonts w:ascii="Century Gothic" w:hAnsi="Century Gothic"/>
          <w:color w:val="000000" w:themeColor="text1"/>
          <w:lang w:eastAsia="es-EC"/>
        </w:rPr>
        <w:t>e la Movilidad y Obras Públicas</w:t>
      </w:r>
      <w:r w:rsidRPr="008B1413">
        <w:rPr>
          <w:rFonts w:ascii="Century Gothic" w:hAnsi="Century Gothic"/>
          <w:color w:val="000000" w:themeColor="text1"/>
          <w:lang w:eastAsia="es-EC"/>
        </w:rPr>
        <w:t>. Para la asignación de nombres representativos de personas, la Secretaría encargada de la Inclusión Social se sumará a las entidades antes indicadas. En ambos casos, las entidades elaborarán un informe para la aprobación de la Comisión competente en materia de uso de suelo, previo a la aprobación final del Concejo Metropolitano. Para la asignación de nombres representativos de personas, se deberá observar los principios de equidad y paridad de género y hechos culturales, tradiciones sobresalientes o representativos que</w:t>
      </w:r>
      <w:r w:rsidR="008B1413">
        <w:rPr>
          <w:rFonts w:ascii="Century Gothic" w:hAnsi="Century Gothic"/>
          <w:color w:val="000000" w:themeColor="text1"/>
          <w:lang w:eastAsia="es-EC"/>
        </w:rPr>
        <w:t xml:space="preserve"> fortalezcan la identidad local;</w:t>
      </w:r>
    </w:p>
    <w:p w:rsidR="0091434A" w:rsidRDefault="0091434A" w:rsidP="003408B5">
      <w:pPr>
        <w:pStyle w:val="Sinespaciado"/>
        <w:ind w:left="705" w:hanging="705"/>
        <w:jc w:val="both"/>
      </w:pPr>
    </w:p>
    <w:p w:rsidR="008C2646" w:rsidRPr="008C2646" w:rsidRDefault="00407285" w:rsidP="008C2646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8C2646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8C2646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 el artículo 2350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>
        <w:rPr>
          <w:rFonts w:ascii="Century Gothic" w:hAnsi="Century Gothic"/>
          <w:color w:val="000000" w:themeColor="text1"/>
          <w:lang w:eastAsia="es-EC"/>
        </w:rPr>
        <w:t>, indica que</w:t>
      </w:r>
      <w:r w:rsidR="008C2646">
        <w:rPr>
          <w:rFonts w:ascii="Century Gothic" w:hAnsi="Century Gothic"/>
          <w:color w:val="000000" w:themeColor="text1"/>
          <w:lang w:eastAsia="es-EC"/>
        </w:rPr>
        <w:t xml:space="preserve"> l</w:t>
      </w:r>
      <w:r w:rsidR="008C2646" w:rsidRPr="008C2646">
        <w:rPr>
          <w:rFonts w:ascii="Century Gothic" w:hAnsi="Century Gothic"/>
          <w:color w:val="000000" w:themeColor="text1"/>
          <w:lang w:eastAsia="es-EC"/>
        </w:rPr>
        <w:t xml:space="preserve">as dimensiones, proporciones, espesor de rasgos, series de tamaño y espaciamiento de las letras, números y demás símbolos utilizados en el sistema de nomenclatura, tanto de placas viales como prediales, serán elaborados de acuerdo a </w:t>
      </w:r>
      <w:r w:rsidR="008C2646" w:rsidRPr="008C2646">
        <w:rPr>
          <w:rFonts w:ascii="Century Gothic" w:hAnsi="Century Gothic"/>
          <w:color w:val="000000" w:themeColor="text1"/>
          <w:lang w:eastAsia="es-EC"/>
        </w:rPr>
        <w:lastRenderedPageBreak/>
        <w:t>las especificaciones técnicas señaladas en los anexos 1 y 2 que contiene el diseño de</w:t>
      </w:r>
      <w:r w:rsidR="008C2646">
        <w:rPr>
          <w:rFonts w:ascii="Century Gothic" w:hAnsi="Century Gothic"/>
          <w:color w:val="000000" w:themeColor="text1"/>
          <w:lang w:eastAsia="es-EC"/>
        </w:rPr>
        <w:t xml:space="preserve"> los elementos de nomenclatura;</w:t>
      </w:r>
    </w:p>
    <w:p w:rsidR="003408B5" w:rsidRDefault="003408B5" w:rsidP="00EF3EC9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22795F" w:rsidRPr="0022795F" w:rsidRDefault="0022795F" w:rsidP="0022795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22795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22795F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22795F">
        <w:rPr>
          <w:rFonts w:ascii="Century Gothic" w:hAnsi="Century Gothic"/>
          <w:color w:val="000000" w:themeColor="text1"/>
          <w:lang w:eastAsia="es-EC"/>
        </w:rPr>
        <w:tab/>
        <w:t>el numeral 1 del artículo 8 de la Ley de Régimen para el Distrito Metropolitano de Quito, dispone que: “Le corresponde especialmente, al Concejo Metropolitano: 1. Decidir, mediante Ordenanza, sobre los asuntos de interés general, relativos al desarrollo integral y a la ordenación urbanística del Distrito, a la prestación de servicios públicos y a la promoción cultural de la comunidad, así como las cuestiones referentes a otras materias que según la Ley sean de competencia municipal.”;</w:t>
      </w:r>
    </w:p>
    <w:p w:rsidR="0022795F" w:rsidRPr="00EF3EC9" w:rsidRDefault="0022795F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mediante oficio Nro. </w:t>
      </w:r>
      <w:r w:rsidR="00157513">
        <w:rPr>
          <w:rFonts w:ascii="Century Gothic" w:hAnsi="Century Gothic"/>
          <w:color w:val="000000" w:themeColor="text1"/>
          <w:lang w:eastAsia="es-EC"/>
        </w:rPr>
        <w:t>……….</w:t>
      </w:r>
      <w:r w:rsidR="00812D11" w:rsidRPr="00EF3EC9">
        <w:rPr>
          <w:rFonts w:ascii="Century Gothic" w:hAnsi="Century Gothic"/>
          <w:color w:val="000000" w:themeColor="text1"/>
          <w:lang w:eastAsia="es-EC"/>
        </w:rPr>
        <w:t xml:space="preserve"> la Empresa Pública Metropolitana</w:t>
      </w:r>
      <w:r>
        <w:rPr>
          <w:rFonts w:ascii="Century Gothic" w:hAnsi="Century Gothic"/>
          <w:color w:val="000000" w:themeColor="text1"/>
          <w:lang w:eastAsia="es-EC"/>
        </w:rPr>
        <w:t xml:space="preserve"> de Movilidad y Obras Públicas emitió el informe favorable a la propuesta de denominación vial, sobre la base de que no existe duplicidad con los ejes y se cumple con la secuencia en sitio;</w:t>
      </w:r>
    </w:p>
    <w:p w:rsidR="00F61D44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F61D44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mediante oficio Nro. </w:t>
      </w:r>
      <w:r w:rsidR="00157513">
        <w:rPr>
          <w:rFonts w:ascii="Century Gothic" w:hAnsi="Century Gothic"/>
          <w:color w:val="000000" w:themeColor="text1"/>
          <w:lang w:eastAsia="es-EC"/>
        </w:rPr>
        <w:t xml:space="preserve">…………….. </w:t>
      </w:r>
      <w:r>
        <w:rPr>
          <w:rFonts w:ascii="Century Gothic" w:hAnsi="Century Gothic"/>
          <w:color w:val="000000" w:themeColor="text1"/>
          <w:lang w:eastAsia="es-EC"/>
        </w:rPr>
        <w:t xml:space="preserve">el Mtr. Patricio Guerra, Cronista de la Ciudad (e) remitió el Aval Histórico Favorable para la propuesta de denominación vial del presentada por los moradores del sector; </w:t>
      </w:r>
    </w:p>
    <w:p w:rsidR="00F61D44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>ediante oficio</w:t>
      </w:r>
      <w:r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F61D44">
        <w:rPr>
          <w:rFonts w:ascii="Century Gothic" w:hAnsi="Century Gothic"/>
          <w:color w:val="000000" w:themeColor="text1"/>
          <w:lang w:eastAsia="es-EC"/>
        </w:rPr>
        <w:t xml:space="preserve">Nro. </w:t>
      </w:r>
      <w:r w:rsidR="00157513">
        <w:rPr>
          <w:rFonts w:ascii="Century Gothic" w:hAnsi="Century Gothic"/>
          <w:color w:val="000000" w:themeColor="text1"/>
          <w:lang w:eastAsia="es-EC"/>
        </w:rPr>
        <w:t xml:space="preserve">…………….. 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>la Secretaría de</w:t>
      </w:r>
      <w:r>
        <w:rPr>
          <w:rFonts w:ascii="Century Gothic" w:hAnsi="Century Gothic"/>
          <w:color w:val="000000" w:themeColor="text1"/>
          <w:lang w:eastAsia="es-EC"/>
        </w:rPr>
        <w:t xml:space="preserve"> Territorio Hábitat y Vivienda 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 xml:space="preserve">emite informe técnico favorable para la propuesta de asignación vial para </w:t>
      </w:r>
      <w:r>
        <w:rPr>
          <w:rFonts w:ascii="Century Gothic" w:hAnsi="Century Gothic"/>
          <w:color w:val="000000" w:themeColor="text1"/>
          <w:lang w:eastAsia="es-EC"/>
        </w:rPr>
        <w:t>;</w:t>
      </w:r>
    </w:p>
    <w:p w:rsidR="00F61D44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D429FF">
      <w:pPr>
        <w:pStyle w:val="Sinespaciado"/>
        <w:ind w:left="705" w:hanging="705"/>
        <w:jc w:val="both"/>
        <w:rPr>
          <w:rFonts w:ascii="Century Gothic" w:hAnsi="Century Gothi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</w:t>
      </w:r>
      <w:r w:rsidRPr="00F61D44">
        <w:rPr>
          <w:rFonts w:ascii="Century Gothic" w:hAnsi="Century Gothic"/>
          <w:color w:val="000000" w:themeColor="text1"/>
          <w:lang w:eastAsia="es-EC"/>
        </w:rPr>
        <w:t>ediante oficio</w:t>
      </w:r>
      <w:r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F61D44">
        <w:rPr>
          <w:rFonts w:ascii="Century Gothic" w:hAnsi="Century Gothic"/>
          <w:color w:val="000000" w:themeColor="text1"/>
          <w:lang w:eastAsia="es-EC"/>
        </w:rPr>
        <w:t xml:space="preserve">Nro. </w:t>
      </w:r>
      <w:r w:rsidR="00157513">
        <w:rPr>
          <w:rFonts w:ascii="Century Gothic" w:hAnsi="Century Gothic"/>
          <w:color w:val="000000" w:themeColor="text1"/>
          <w:lang w:eastAsia="es-EC"/>
        </w:rPr>
        <w:t xml:space="preserve">…………….. </w:t>
      </w:r>
      <w:r>
        <w:rPr>
          <w:rFonts w:ascii="Century Gothic" w:hAnsi="Century Gothic"/>
          <w:color w:val="000000" w:themeColor="text1"/>
          <w:lang w:eastAsia="es-EC"/>
        </w:rPr>
        <w:t xml:space="preserve"> el señor Subprocurador de Suelos de la Procurad</w:t>
      </w:r>
      <w:r w:rsidR="00D429FF">
        <w:rPr>
          <w:rFonts w:ascii="Century Gothic" w:hAnsi="Century Gothic"/>
          <w:color w:val="000000" w:themeColor="text1"/>
          <w:lang w:eastAsia="es-EC"/>
        </w:rPr>
        <w:t xml:space="preserve">uría Metropolitana, emitió el correspondiente criterio legal favorable para que </w:t>
      </w:r>
      <w:r w:rsidR="00812D11" w:rsidRPr="00C60827">
        <w:rPr>
          <w:rFonts w:ascii="Century Gothic" w:hAnsi="Century Gothic"/>
        </w:rPr>
        <w:t xml:space="preserve">la Comisión de Uso de Suelo, alcance del Concejo Metropolitano la aprobación </w:t>
      </w:r>
      <w:r w:rsidR="00D429FF">
        <w:rPr>
          <w:rFonts w:ascii="Century Gothic" w:hAnsi="Century Gothic"/>
        </w:rPr>
        <w:t>de la propuesta de nomenclatura;</w:t>
      </w:r>
    </w:p>
    <w:p w:rsidR="00D429FF" w:rsidRPr="00D429FF" w:rsidRDefault="00D429FF" w:rsidP="00D429F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D429FF" w:rsidRDefault="00B87125" w:rsidP="00D429F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 xml:space="preserve">Que, </w:t>
      </w:r>
      <w:r>
        <w:rPr>
          <w:rFonts w:ascii="Century Gothic" w:hAnsi="Century Gothic"/>
          <w:b/>
          <w:color w:val="000000" w:themeColor="text1"/>
          <w:lang w:eastAsia="es-EC"/>
        </w:rPr>
        <w:t>l</w:t>
      </w:r>
      <w:r w:rsidR="00581557">
        <w:rPr>
          <w:rFonts w:ascii="Century Gothic" w:hAnsi="Century Gothic"/>
          <w:b/>
          <w:color w:val="000000" w:themeColor="text1"/>
          <w:lang w:eastAsia="es-EC"/>
        </w:rPr>
        <w:t>a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Señor</w:t>
      </w:r>
      <w:r w:rsidR="00581557">
        <w:rPr>
          <w:rFonts w:ascii="Century Gothic" w:hAnsi="Century Gothic"/>
          <w:color w:val="000000" w:themeColor="text1"/>
          <w:lang w:eastAsia="es-EC"/>
        </w:rPr>
        <w:t>a Gladis Consuelo Páez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</w:t>
      </w:r>
      <w:r w:rsidR="00581557">
        <w:rPr>
          <w:rFonts w:ascii="Century Gothic" w:hAnsi="Century Gothic"/>
          <w:color w:val="000000" w:themeColor="text1"/>
          <w:lang w:eastAsia="es-EC"/>
        </w:rPr>
        <w:t xml:space="preserve">Salvador, 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>solicita la asignación de</w:t>
      </w:r>
      <w:r w:rsidR="00581557">
        <w:rPr>
          <w:rFonts w:ascii="Century Gothic" w:hAnsi="Century Gothic"/>
          <w:color w:val="000000" w:themeColor="text1"/>
          <w:lang w:eastAsia="es-EC"/>
        </w:rPr>
        <w:t>l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nombre</w:t>
      </w:r>
      <w:r>
        <w:rPr>
          <w:rFonts w:ascii="Century Gothic" w:hAnsi="Century Gothic"/>
          <w:color w:val="000000" w:themeColor="text1"/>
          <w:lang w:eastAsia="es-EC"/>
        </w:rPr>
        <w:t xml:space="preserve"> de </w:t>
      </w:r>
      <w:r w:rsidR="00581557">
        <w:rPr>
          <w:rFonts w:ascii="Century Gothic" w:hAnsi="Century Gothic"/>
          <w:color w:val="000000" w:themeColor="text1"/>
          <w:lang w:eastAsia="es-EC"/>
        </w:rPr>
        <w:t>Inés Victoria Salvador Guillén, como reconocimiento a la labor social incansable y desinteresada por ella desempeñada en beneficio de la comunidad durante su vida profesional desde el año 1949 hasta su muerte en el año 2006.</w:t>
      </w:r>
      <w:r w:rsidR="00D429FF">
        <w:rPr>
          <w:rFonts w:ascii="Century Gothic" w:hAnsi="Century Gothic"/>
          <w:color w:val="000000" w:themeColor="text1"/>
          <w:lang w:eastAsia="es-EC"/>
        </w:rPr>
        <w:t xml:space="preserve"> </w:t>
      </w:r>
    </w:p>
    <w:p w:rsidR="00D429FF" w:rsidRPr="00D429FF" w:rsidRDefault="00D429FF" w:rsidP="00D429FF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06637E" w:rsidRDefault="0006637E" w:rsidP="00D429FF">
      <w:pPr>
        <w:jc w:val="both"/>
        <w:rPr>
          <w:rFonts w:ascii="Century Gothic" w:hAnsi="Century Gothic"/>
          <w:b/>
        </w:rPr>
      </w:pPr>
    </w:p>
    <w:p w:rsidR="00B87125" w:rsidRDefault="00B87125" w:rsidP="00D429FF">
      <w:pPr>
        <w:jc w:val="both"/>
        <w:rPr>
          <w:rFonts w:ascii="Century Gothic" w:hAnsi="Century Gothic"/>
          <w:b/>
        </w:rPr>
      </w:pPr>
    </w:p>
    <w:p w:rsidR="00D429FF" w:rsidRDefault="00D429FF" w:rsidP="00D429FF">
      <w:pPr>
        <w:jc w:val="both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t xml:space="preserve">En ejercicio de las facultades establecidas en los </w:t>
      </w:r>
      <w:r>
        <w:rPr>
          <w:rFonts w:ascii="Century Gothic" w:hAnsi="Century Gothic"/>
          <w:b/>
        </w:rPr>
        <w:t>artículos 240 y 264, numeral 2 de la Constitución de la República</w:t>
      </w:r>
      <w:r w:rsidR="0006637E">
        <w:rPr>
          <w:rFonts w:ascii="Century Gothic" w:hAnsi="Century Gothic"/>
          <w:b/>
        </w:rPr>
        <w:t xml:space="preserve"> del Ecuador</w:t>
      </w:r>
      <w:r>
        <w:rPr>
          <w:rFonts w:ascii="Century Gothic" w:hAnsi="Century Gothic"/>
          <w:b/>
        </w:rPr>
        <w:t xml:space="preserve">, 87 literales a) y v) y 322 del Código Orgánico de Organización Territorial, Autonomía y Descentralización, y 8, numeral 1 de la Ley Orgánica de Régimen para el Distrito Metropolitano de Quito. </w:t>
      </w:r>
    </w:p>
    <w:p w:rsidR="00D429FF" w:rsidRDefault="00D429FF" w:rsidP="00812D11">
      <w:pPr>
        <w:jc w:val="center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t>EXPIDE LA SIGUIENTE:</w:t>
      </w:r>
    </w:p>
    <w:p w:rsidR="00533018" w:rsidRPr="00D429FF" w:rsidRDefault="00D429FF" w:rsidP="00D429FF">
      <w:pPr>
        <w:jc w:val="center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lastRenderedPageBreak/>
        <w:t>ORDENANZA DE DESIGNACIÓN VIAL PARA LA</w:t>
      </w:r>
      <w:r w:rsidR="00581557">
        <w:rPr>
          <w:rFonts w:ascii="Century Gothic" w:hAnsi="Century Gothic"/>
          <w:b/>
        </w:rPr>
        <w:t xml:space="preserve"> </w:t>
      </w:r>
      <w:r w:rsidRPr="00D429FF">
        <w:rPr>
          <w:rFonts w:ascii="Century Gothic" w:hAnsi="Century Gothic"/>
          <w:b/>
        </w:rPr>
        <w:t>CALLE</w:t>
      </w:r>
      <w:r w:rsidR="00581557">
        <w:rPr>
          <w:rFonts w:ascii="Century Gothic" w:hAnsi="Century Gothic"/>
          <w:b/>
        </w:rPr>
        <w:t xml:space="preserve"> INÉS VICTORIA SALVADOR GUILLÉN UBICADA EN LA PARROQUIA TURUBAMBA PERTENECIENTE A </w:t>
      </w:r>
      <w:r w:rsidR="002B77EC">
        <w:rPr>
          <w:rFonts w:ascii="Century Gothic" w:hAnsi="Century Gothic"/>
          <w:b/>
        </w:rPr>
        <w:t xml:space="preserve">LA ADMINITRACIÓN ZONAL </w:t>
      </w:r>
      <w:r w:rsidR="00581557">
        <w:rPr>
          <w:rFonts w:ascii="Century Gothic" w:hAnsi="Century Gothic"/>
          <w:b/>
        </w:rPr>
        <w:t>QUITUMBE</w:t>
      </w:r>
    </w:p>
    <w:p w:rsidR="0006637E" w:rsidRDefault="0006637E" w:rsidP="00D429FF">
      <w:pPr>
        <w:jc w:val="both"/>
        <w:rPr>
          <w:rFonts w:ascii="Century Gothic" w:hAnsi="Century Gothic"/>
          <w:b/>
        </w:rPr>
      </w:pPr>
    </w:p>
    <w:p w:rsidR="0006637E" w:rsidRDefault="0048308C" w:rsidP="00581557">
      <w:pPr>
        <w:jc w:val="both"/>
        <w:rPr>
          <w:rFonts w:ascii="Century Gothic" w:hAnsi="Century Gothic"/>
        </w:rPr>
      </w:pPr>
      <w:r w:rsidRPr="00D429FF">
        <w:rPr>
          <w:rFonts w:ascii="Century Gothic" w:hAnsi="Century Gothic"/>
          <w:b/>
        </w:rPr>
        <w:t>Art. 1</w:t>
      </w:r>
      <w:r w:rsidR="00D429FF" w:rsidRPr="00D429FF">
        <w:rPr>
          <w:rFonts w:ascii="Century Gothic" w:hAnsi="Century Gothic"/>
          <w:b/>
        </w:rPr>
        <w:t>.-</w:t>
      </w:r>
      <w:r w:rsidR="00D429FF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 xml:space="preserve"> Desígnese a la</w:t>
      </w:r>
      <w:r w:rsidR="00B10C2D">
        <w:rPr>
          <w:rFonts w:ascii="Century Gothic" w:hAnsi="Century Gothic"/>
        </w:rPr>
        <w:t xml:space="preserve"> Calle Inés Victoria Salvador Guillén ubicada en la parroquia Turubamba perteneciente a </w:t>
      </w:r>
      <w:r w:rsidR="002B77EC">
        <w:rPr>
          <w:rFonts w:ascii="Century Gothic" w:hAnsi="Century Gothic"/>
        </w:rPr>
        <w:t xml:space="preserve">Administración Zonal </w:t>
      </w:r>
      <w:r w:rsidR="00B10C2D">
        <w:rPr>
          <w:rFonts w:ascii="Century Gothic" w:hAnsi="Century Gothic"/>
        </w:rPr>
        <w:t>Quitumbe.</w:t>
      </w:r>
    </w:p>
    <w:p w:rsidR="0048308C" w:rsidRPr="00C60827" w:rsidRDefault="0048308C" w:rsidP="0092123F">
      <w:pPr>
        <w:jc w:val="both"/>
        <w:rPr>
          <w:rFonts w:ascii="Century Gothic" w:hAnsi="Century Gothic"/>
        </w:rPr>
      </w:pPr>
      <w:r w:rsidRPr="0006637E">
        <w:rPr>
          <w:rFonts w:ascii="Century Gothic" w:hAnsi="Century Gothic"/>
          <w:b/>
        </w:rPr>
        <w:t>Art. 2</w:t>
      </w:r>
      <w:r w:rsidR="0006637E" w:rsidRPr="0006637E">
        <w:rPr>
          <w:rFonts w:ascii="Century Gothic" w:hAnsi="Century Gothic"/>
          <w:b/>
        </w:rPr>
        <w:t>.-</w:t>
      </w:r>
      <w:r w:rsidR="0006637E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 xml:space="preserve"> La presente Ordenanza entrará en vigencia a partir de la fecha de su sanción.</w:t>
      </w:r>
    </w:p>
    <w:p w:rsidR="00B7657A" w:rsidRP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 xml:space="preserve">Disposición General Única.-  </w:t>
      </w:r>
      <w:r w:rsidRPr="00B7657A">
        <w:rPr>
          <w:rFonts w:ascii="Century Gothic" w:hAnsi="Century Gothic"/>
        </w:rPr>
        <w:t>La presente ordenanza se aprueba en base a los informes que son de exclusiva responsabilidad de los funcionarios que lo suscriben y realizan.</w:t>
      </w:r>
    </w:p>
    <w:p w:rsidR="00B7657A" w:rsidRP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>Disposición Transitoria Única.-</w:t>
      </w:r>
      <w:r w:rsidRPr="00B7657A">
        <w:rPr>
          <w:rFonts w:ascii="Century Gothic" w:hAnsi="Century Gothic"/>
        </w:rPr>
        <w:t xml:space="preserve"> Encárguese la ejecución de la presente ordenanza a la Empresa Pública Metropolitana de Movilidad y Obras Públicas. </w:t>
      </w:r>
    </w:p>
    <w:p w:rsid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>Disposición Final. -</w:t>
      </w:r>
      <w:r w:rsidRPr="00B7657A">
        <w:rPr>
          <w:rFonts w:ascii="Century Gothic" w:hAnsi="Century Gothic"/>
        </w:rPr>
        <w:t xml:space="preserve"> Esta ordenanza entrará en vigencia a partir de la fecha de su sanción, sin perjuicio de su publicación en la Gaceta Municipal y en la página web institucional del Municipio del Distrito Metropolitano de Quito.</w:t>
      </w:r>
    </w:p>
    <w:p w:rsidR="00B7657A" w:rsidRPr="00B7657A" w:rsidRDefault="00B7657A" w:rsidP="00B7657A">
      <w:pPr>
        <w:jc w:val="both"/>
        <w:rPr>
          <w:rFonts w:ascii="Century Gothic" w:hAnsi="Century Gothic"/>
        </w:rPr>
      </w:pPr>
    </w:p>
    <w:p w:rsidR="0048308C" w:rsidRDefault="0048308C" w:rsidP="0048308C">
      <w:pPr>
        <w:rPr>
          <w:rFonts w:ascii="Century Gothic" w:hAnsi="Century Gothic"/>
        </w:rPr>
      </w:pPr>
      <w:r w:rsidRPr="00C60827">
        <w:rPr>
          <w:rFonts w:ascii="Century Gothic" w:hAnsi="Century Gothic"/>
        </w:rPr>
        <w:t>Dada en la Sala de Sesiones de</w:t>
      </w:r>
      <w:r w:rsidR="0006637E">
        <w:rPr>
          <w:rFonts w:ascii="Century Gothic" w:hAnsi="Century Gothic"/>
        </w:rPr>
        <w:t>l Concejo Metropolitano, a los […]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Abg. </w:t>
      </w:r>
      <w:r w:rsidR="008624B9">
        <w:rPr>
          <w:rFonts w:ascii="Century Gothic" w:hAnsi="Century Gothic"/>
        </w:rPr>
        <w:t>Pablo Santillán</w:t>
      </w:r>
    </w:p>
    <w:p w:rsidR="0006637E" w:rsidRPr="0006637E" w:rsidRDefault="008624B9" w:rsidP="0006637E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SECRETARIO</w:t>
      </w:r>
      <w:r w:rsidR="0006637E" w:rsidRPr="0006637E">
        <w:rPr>
          <w:rFonts w:ascii="Century Gothic" w:hAnsi="Century Gothic"/>
          <w:b/>
        </w:rPr>
        <w:t xml:space="preserve"> GENERAL DEL CO</w:t>
      </w:r>
      <w:r>
        <w:rPr>
          <w:rFonts w:ascii="Century Gothic" w:hAnsi="Century Gothic"/>
          <w:b/>
        </w:rPr>
        <w:t>NCEJO METROPOLITANO DE QUITO</w:t>
      </w:r>
    </w:p>
    <w:p w:rsidR="0048308C" w:rsidRPr="00C60827" w:rsidRDefault="0006637E" w:rsidP="0048308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163830</wp:posOffset>
                </wp:positionV>
                <wp:extent cx="5343525" cy="619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7E" w:rsidRPr="0006637E" w:rsidRDefault="0006637E" w:rsidP="000663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06637E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CERTIFICADO DE DISCUSIÓN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5.7pt;margin-top:12.9pt;width:420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" fillcolor="white [3201]" strokecolor="black [3213]" strokeweight="1pt">
                <v:textbox>
                  <w:txbxContent>
                    <w:p w:rsidR="0006637E" w:rsidRPr="0006637E" w:rsidRDefault="0006637E" w:rsidP="0006637E">
                      <w:pPr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06637E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CERTIFICADO DE DISCUSIÓN</w:t>
                      </w:r>
                    </w:p>
                  </w:txbxContent>
                </v:textbox>
              </v:rect>
            </w:pict>
          </mc:Fallback>
        </mc:AlternateConten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</w:p>
    <w:p w:rsidR="0006637E" w:rsidRDefault="008624B9" w:rsidP="0048308C">
      <w:pPr>
        <w:rPr>
          <w:rFonts w:ascii="Century Gothic" w:hAnsi="Century Gothic"/>
        </w:rPr>
      </w:pPr>
      <w:r>
        <w:rPr>
          <w:rFonts w:ascii="Century Gothic" w:hAnsi="Century Gothic"/>
        </w:rPr>
        <w:t>El Secretario</w:t>
      </w:r>
      <w:r w:rsidR="0006637E" w:rsidRPr="0006637E">
        <w:rPr>
          <w:rFonts w:ascii="Century Gothic" w:hAnsi="Century Gothic"/>
        </w:rPr>
        <w:t xml:space="preserve"> General del Co</w:t>
      </w:r>
      <w:r>
        <w:rPr>
          <w:rFonts w:ascii="Century Gothic" w:hAnsi="Century Gothic"/>
        </w:rPr>
        <w:t>ncejo Metropolitano de Quito</w:t>
      </w:r>
      <w:r w:rsidR="0006637E" w:rsidRPr="0006637E">
        <w:rPr>
          <w:rFonts w:ascii="Century Gothic" w:hAnsi="Century Gothic"/>
        </w:rPr>
        <w:t>, certifica que la presente ordenanza fue discutida y aprobada e</w:t>
      </w:r>
      <w:r w:rsidR="0006637E">
        <w:rPr>
          <w:rFonts w:ascii="Century Gothic" w:hAnsi="Century Gothic"/>
        </w:rPr>
        <w:t>n […]</w:t>
      </w:r>
    </w:p>
    <w:p w:rsidR="0006637E" w:rsidRDefault="0006637E" w:rsidP="0048308C">
      <w:pPr>
        <w:rPr>
          <w:rFonts w:ascii="Century Gothic" w:hAnsi="Century Gothic"/>
        </w:rPr>
      </w:pPr>
    </w:p>
    <w:p w:rsidR="00ED319B" w:rsidRDefault="00ED319B" w:rsidP="0048308C">
      <w:pPr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Abg. </w:t>
      </w:r>
      <w:r w:rsidR="008624B9">
        <w:rPr>
          <w:rFonts w:ascii="Century Gothic" w:hAnsi="Century Gothic"/>
        </w:rPr>
        <w:t>Pablo Santillán</w:t>
      </w:r>
    </w:p>
    <w:p w:rsidR="0006637E" w:rsidRPr="0006637E" w:rsidRDefault="0006637E" w:rsidP="0006637E">
      <w:pPr>
        <w:spacing w:after="0"/>
        <w:jc w:val="center"/>
        <w:rPr>
          <w:rFonts w:ascii="Century Gothic" w:hAnsi="Century Gothic"/>
          <w:b/>
        </w:rPr>
      </w:pPr>
      <w:r w:rsidRPr="0006637E">
        <w:rPr>
          <w:rFonts w:ascii="Century Gothic" w:hAnsi="Century Gothic"/>
          <w:b/>
        </w:rPr>
        <w:t>SECRETARIA GENERAL DEL CO</w:t>
      </w:r>
      <w:r w:rsidR="008624B9">
        <w:rPr>
          <w:rFonts w:ascii="Century Gothic" w:hAnsi="Century Gothic"/>
          <w:b/>
        </w:rPr>
        <w:t>NCEJO METROPOLITANO DE QUITO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  <w:r>
        <w:rPr>
          <w:rFonts w:ascii="Century Gothic" w:hAnsi="Century Gothic"/>
        </w:rPr>
        <w:t>Alcaldía del Distrito Metropolitano. – Distrito Metropolitano de Quito, […]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Pr="0006637E" w:rsidRDefault="0006637E" w:rsidP="0006637E">
      <w:pPr>
        <w:jc w:val="center"/>
        <w:rPr>
          <w:rFonts w:ascii="Century Gothic" w:hAnsi="Century Gothic"/>
          <w:b/>
        </w:rPr>
      </w:pPr>
      <w:r w:rsidRPr="0006637E">
        <w:rPr>
          <w:rFonts w:ascii="Century Gothic" w:hAnsi="Century Gothic"/>
          <w:b/>
        </w:rPr>
        <w:lastRenderedPageBreak/>
        <w:t>EJECÚTESE:</w:t>
      </w:r>
    </w:p>
    <w:p w:rsidR="0006637E" w:rsidRDefault="0006637E" w:rsidP="0006637E">
      <w:pPr>
        <w:jc w:val="center"/>
        <w:rPr>
          <w:rFonts w:ascii="Century Gothic" w:hAnsi="Century Gothic"/>
        </w:rPr>
      </w:pPr>
    </w:p>
    <w:p w:rsidR="0006637E" w:rsidRDefault="0006637E" w:rsidP="0006637E">
      <w:pPr>
        <w:jc w:val="center"/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Dr. </w:t>
      </w:r>
      <w:r w:rsidR="000C0F6D">
        <w:rPr>
          <w:rFonts w:ascii="Century Gothic" w:hAnsi="Century Gothic"/>
        </w:rPr>
        <w:t>Santiago Guarderas Izquierdo</w:t>
      </w:r>
    </w:p>
    <w:p w:rsidR="0006637E" w:rsidRPr="0006637E" w:rsidRDefault="0006637E" w:rsidP="0006637E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ALCALDE DEL DISTRITO METROPOLITANO DE QUITO </w:t>
      </w:r>
    </w:p>
    <w:p w:rsidR="0006637E" w:rsidRDefault="0006637E" w:rsidP="0048308C">
      <w:pPr>
        <w:rPr>
          <w:rFonts w:ascii="Century Gothic" w:hAnsi="Century Gothic"/>
        </w:rPr>
      </w:pPr>
    </w:p>
    <w:p w:rsidR="0048308C" w:rsidRPr="00C60827" w:rsidRDefault="0048308C" w:rsidP="0048308C">
      <w:pPr>
        <w:rPr>
          <w:rFonts w:ascii="Century Gothic" w:hAnsi="Century Gothic"/>
          <w:b/>
        </w:rPr>
      </w:pPr>
    </w:p>
    <w:sectPr w:rsidR="0048308C" w:rsidRPr="00C608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DA" w:rsidRDefault="00D309DA" w:rsidP="0006637E">
      <w:pPr>
        <w:spacing w:after="0" w:line="240" w:lineRule="auto"/>
      </w:pPr>
      <w:r>
        <w:separator/>
      </w:r>
    </w:p>
  </w:endnote>
  <w:endnote w:type="continuationSeparator" w:id="0">
    <w:p w:rsidR="00D309DA" w:rsidRDefault="00D309DA" w:rsidP="0006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DA" w:rsidRDefault="00D309DA" w:rsidP="0006637E">
      <w:pPr>
        <w:spacing w:after="0" w:line="240" w:lineRule="auto"/>
      </w:pPr>
      <w:r>
        <w:separator/>
      </w:r>
    </w:p>
  </w:footnote>
  <w:footnote w:type="continuationSeparator" w:id="0">
    <w:p w:rsidR="00D309DA" w:rsidRDefault="00D309DA" w:rsidP="0006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Pr="0006637E" w:rsidRDefault="0006637E" w:rsidP="0006637E">
    <w:pPr>
      <w:pStyle w:val="Encabezado"/>
      <w:jc w:val="center"/>
      <w:rPr>
        <w:rFonts w:ascii="Century Gothic" w:hAnsi="Century Gothic"/>
      </w:rPr>
    </w:pPr>
    <w:r>
      <w:rPr>
        <w:rFonts w:ascii="Century Gothic" w:hAnsi="Century Gothic"/>
      </w:rPr>
      <w:t>ORDENANZA METROPOLITANA Nro. [..]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CBD"/>
    <w:multiLevelType w:val="hybridMultilevel"/>
    <w:tmpl w:val="21A08000"/>
    <w:lvl w:ilvl="0" w:tplc="E862BF9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8DF"/>
    <w:multiLevelType w:val="hybridMultilevel"/>
    <w:tmpl w:val="91561F06"/>
    <w:lvl w:ilvl="0" w:tplc="A6D6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22B3"/>
    <w:multiLevelType w:val="hybridMultilevel"/>
    <w:tmpl w:val="DC1CAB10"/>
    <w:lvl w:ilvl="0" w:tplc="E862BF9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C"/>
    <w:rsid w:val="0006637E"/>
    <w:rsid w:val="000C0F6D"/>
    <w:rsid w:val="000C3F58"/>
    <w:rsid w:val="0012209F"/>
    <w:rsid w:val="00134AE4"/>
    <w:rsid w:val="00157513"/>
    <w:rsid w:val="00160E0D"/>
    <w:rsid w:val="00192D6F"/>
    <w:rsid w:val="0022795F"/>
    <w:rsid w:val="002412BC"/>
    <w:rsid w:val="0024147B"/>
    <w:rsid w:val="002B77EC"/>
    <w:rsid w:val="002D112A"/>
    <w:rsid w:val="002F6BCF"/>
    <w:rsid w:val="003408B5"/>
    <w:rsid w:val="003A286B"/>
    <w:rsid w:val="00407285"/>
    <w:rsid w:val="0043455B"/>
    <w:rsid w:val="0048308C"/>
    <w:rsid w:val="004C2E77"/>
    <w:rsid w:val="00510016"/>
    <w:rsid w:val="00533018"/>
    <w:rsid w:val="005754DC"/>
    <w:rsid w:val="00581557"/>
    <w:rsid w:val="005A2628"/>
    <w:rsid w:val="005A65B4"/>
    <w:rsid w:val="005B14DC"/>
    <w:rsid w:val="00671E74"/>
    <w:rsid w:val="00711B9D"/>
    <w:rsid w:val="0076160D"/>
    <w:rsid w:val="0078542E"/>
    <w:rsid w:val="007D5994"/>
    <w:rsid w:val="00812D11"/>
    <w:rsid w:val="00814F9A"/>
    <w:rsid w:val="008624B9"/>
    <w:rsid w:val="008A0FAD"/>
    <w:rsid w:val="008B1413"/>
    <w:rsid w:val="008C2646"/>
    <w:rsid w:val="008D4889"/>
    <w:rsid w:val="008F4DC8"/>
    <w:rsid w:val="0091434A"/>
    <w:rsid w:val="0092123F"/>
    <w:rsid w:val="00940CA0"/>
    <w:rsid w:val="009B72CA"/>
    <w:rsid w:val="00A404DD"/>
    <w:rsid w:val="00A53B3B"/>
    <w:rsid w:val="00AA36CF"/>
    <w:rsid w:val="00B10C2D"/>
    <w:rsid w:val="00B5138F"/>
    <w:rsid w:val="00B7657A"/>
    <w:rsid w:val="00B87125"/>
    <w:rsid w:val="00C20A6F"/>
    <w:rsid w:val="00C33A28"/>
    <w:rsid w:val="00C60827"/>
    <w:rsid w:val="00C70F47"/>
    <w:rsid w:val="00CD0572"/>
    <w:rsid w:val="00D1324F"/>
    <w:rsid w:val="00D309DA"/>
    <w:rsid w:val="00D429FF"/>
    <w:rsid w:val="00D573A6"/>
    <w:rsid w:val="00E22177"/>
    <w:rsid w:val="00EA31F1"/>
    <w:rsid w:val="00ED319B"/>
    <w:rsid w:val="00EE297B"/>
    <w:rsid w:val="00EF3EC9"/>
    <w:rsid w:val="00F61D44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B06D1-8CDF-49D7-BFBF-0034F5A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51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608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60827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7E"/>
  </w:style>
  <w:style w:type="paragraph" w:styleId="Piedepgina">
    <w:name w:val="footer"/>
    <w:basedOn w:val="Normal"/>
    <w:link w:val="PiedepginaCar"/>
    <w:uiPriority w:val="99"/>
    <w:unhideWhenUsed/>
    <w:rsid w:val="000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7E"/>
  </w:style>
  <w:style w:type="character" w:customStyle="1" w:styleId="PrrafodelistaCar">
    <w:name w:val="Párrafo de lista Car"/>
    <w:link w:val="Prrafodelista"/>
    <w:uiPriority w:val="34"/>
    <w:locked/>
    <w:rsid w:val="005A2628"/>
  </w:style>
  <w:style w:type="paragraph" w:customStyle="1" w:styleId="Default">
    <w:name w:val="Default"/>
    <w:rsid w:val="00671E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Ximena Aguirre Tenezaca</dc:creator>
  <cp:lastModifiedBy>Alex Ivan Benavides Lopez</cp:lastModifiedBy>
  <cp:revision>2</cp:revision>
  <dcterms:created xsi:type="dcterms:W3CDTF">2023-10-10T17:19:00Z</dcterms:created>
  <dcterms:modified xsi:type="dcterms:W3CDTF">2023-10-10T17:19:00Z</dcterms:modified>
</cp:coreProperties>
</file>