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7E" w:rsidRPr="00327A8D" w:rsidRDefault="002A247E" w:rsidP="002A247E">
      <w:pPr>
        <w:autoSpaceDE w:val="0"/>
        <w:autoSpaceDN w:val="0"/>
        <w:adjustRightInd w:val="0"/>
        <w:jc w:val="center"/>
        <w:rPr>
          <w:rFonts w:ascii="Palatino Linotype" w:eastAsiaTheme="minorHAnsi" w:hAnsi="Palatino Linotype"/>
          <w:b/>
          <w:sz w:val="22"/>
          <w:szCs w:val="22"/>
          <w:lang w:eastAsia="en-US"/>
        </w:rPr>
      </w:pPr>
      <w:bookmarkStart w:id="0" w:name="_GoBack"/>
      <w:bookmarkEnd w:id="0"/>
      <w:r w:rsidRPr="00327A8D">
        <w:rPr>
          <w:rFonts w:ascii="Palatino Linotype" w:eastAsiaTheme="minorHAnsi" w:hAnsi="Palatino Linotype"/>
          <w:b/>
          <w:sz w:val="22"/>
          <w:szCs w:val="22"/>
          <w:lang w:eastAsia="en-US"/>
        </w:rPr>
        <w:t>EL CONCEJO METROPOLITANO DE QUITO</w:t>
      </w:r>
    </w:p>
    <w:p w:rsidR="002A247E" w:rsidRPr="00327A8D" w:rsidRDefault="002A247E" w:rsidP="002A247E">
      <w:pPr>
        <w:autoSpaceDE w:val="0"/>
        <w:autoSpaceDN w:val="0"/>
        <w:adjustRightInd w:val="0"/>
        <w:jc w:val="center"/>
        <w:rPr>
          <w:rFonts w:ascii="Palatino Linotype" w:eastAsiaTheme="minorHAnsi" w:hAnsi="Palatino Linotype"/>
          <w:b/>
          <w:sz w:val="22"/>
          <w:szCs w:val="22"/>
          <w:lang w:eastAsia="en-US"/>
        </w:rPr>
      </w:pPr>
    </w:p>
    <w:p w:rsidR="002A247E" w:rsidRPr="00327A8D" w:rsidRDefault="002A247E" w:rsidP="002A247E">
      <w:pPr>
        <w:autoSpaceDE w:val="0"/>
        <w:autoSpaceDN w:val="0"/>
        <w:adjustRightInd w:val="0"/>
        <w:jc w:val="center"/>
        <w:rPr>
          <w:rFonts w:ascii="Palatino Linotype" w:eastAsiaTheme="minorHAnsi" w:hAnsi="Palatino Linotype"/>
          <w:b/>
          <w:sz w:val="22"/>
          <w:szCs w:val="22"/>
          <w:lang w:eastAsia="en-US"/>
        </w:rPr>
      </w:pPr>
      <w:r w:rsidRPr="00327A8D">
        <w:rPr>
          <w:rFonts w:ascii="Palatino Linotype" w:eastAsiaTheme="minorHAnsi" w:hAnsi="Palatino Linotype"/>
          <w:b/>
          <w:sz w:val="22"/>
          <w:szCs w:val="22"/>
          <w:lang w:eastAsia="en-US"/>
        </w:rPr>
        <w:t>CONSIDERANDO:</w:t>
      </w:r>
    </w:p>
    <w:p w:rsidR="002A247E" w:rsidRPr="00327A8D" w:rsidRDefault="002A247E" w:rsidP="002A247E">
      <w:pPr>
        <w:autoSpaceDE w:val="0"/>
        <w:autoSpaceDN w:val="0"/>
        <w:adjustRightInd w:val="0"/>
        <w:jc w:val="center"/>
        <w:rPr>
          <w:rFonts w:ascii="Palatino Linotype" w:eastAsiaTheme="minorHAnsi" w:hAnsi="Palatino Linotype"/>
          <w:b/>
          <w:sz w:val="22"/>
          <w:szCs w:val="22"/>
          <w:lang w:eastAsia="en-US"/>
        </w:rPr>
      </w:pPr>
    </w:p>
    <w:p w:rsidR="002A247E" w:rsidRPr="00327A8D" w:rsidRDefault="002A247E" w:rsidP="002A247E">
      <w:pPr>
        <w:autoSpaceDE w:val="0"/>
        <w:autoSpaceDN w:val="0"/>
        <w:adjustRightInd w:val="0"/>
        <w:ind w:left="705" w:hanging="705"/>
        <w:jc w:val="both"/>
        <w:rPr>
          <w:rFonts w:ascii="Palatino Linotype" w:eastAsiaTheme="minorHAnsi" w:hAnsi="Palatino Linotype"/>
          <w:i/>
          <w:iCs/>
          <w:sz w:val="22"/>
          <w:szCs w:val="22"/>
          <w:lang w:eastAsia="en-US"/>
        </w:rPr>
      </w:pPr>
      <w:r w:rsidRPr="00327A8D">
        <w:rPr>
          <w:rFonts w:ascii="Palatino Linotype" w:eastAsiaTheme="minorHAnsi" w:hAnsi="Palatino Linotype"/>
          <w:b/>
          <w:bCs/>
          <w:sz w:val="22"/>
          <w:szCs w:val="22"/>
          <w:lang w:eastAsia="en-US"/>
        </w:rPr>
        <w:t>Que</w:t>
      </w:r>
      <w:r w:rsidRPr="00327A8D">
        <w:rPr>
          <w:rFonts w:ascii="Palatino Linotype" w:eastAsiaTheme="minorHAnsi" w:hAnsi="Palatino Linotype"/>
          <w:sz w:val="22"/>
          <w:szCs w:val="22"/>
          <w:lang w:eastAsia="en-US"/>
        </w:rPr>
        <w:t xml:space="preserve"> </w:t>
      </w:r>
      <w:r w:rsidRPr="00327A8D">
        <w:rPr>
          <w:rFonts w:ascii="Palatino Linotype" w:eastAsiaTheme="minorHAnsi" w:hAnsi="Palatino Linotype"/>
          <w:sz w:val="22"/>
          <w:szCs w:val="22"/>
          <w:lang w:eastAsia="en-US"/>
        </w:rPr>
        <w:tab/>
        <w:t xml:space="preserve"> el artículo 240 de la Constitución de República del Ecuador, en adelante Constitución, establece: “</w:t>
      </w:r>
      <w:r w:rsidRPr="00327A8D">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327A8D">
        <w:rPr>
          <w:rFonts w:ascii="Palatino Linotype" w:eastAsiaTheme="minorHAnsi" w:hAnsi="Palatino Linotype"/>
          <w:b/>
          <w:sz w:val="22"/>
          <w:szCs w:val="22"/>
          <w:lang w:eastAsia="en-US"/>
        </w:rPr>
        <w:t>Que</w:t>
      </w:r>
      <w:r w:rsidRPr="00327A8D">
        <w:rPr>
          <w:rFonts w:ascii="Palatino Linotype" w:eastAsiaTheme="minorHAnsi" w:hAnsi="Palatino Linotype"/>
          <w:sz w:val="22"/>
          <w:szCs w:val="22"/>
          <w:lang w:eastAsia="en-US"/>
        </w:rPr>
        <w:t xml:space="preserve"> </w:t>
      </w:r>
      <w:r w:rsidRPr="00327A8D">
        <w:rPr>
          <w:rFonts w:ascii="Palatino Linotype" w:eastAsiaTheme="minorHAnsi" w:hAnsi="Palatino Linotype"/>
          <w:sz w:val="22"/>
          <w:szCs w:val="22"/>
          <w:lang w:eastAsia="en-US"/>
        </w:rPr>
        <w:tab/>
        <w:t xml:space="preserve">la Constitución de la República del Ecuador en su artículo 266, determina: </w:t>
      </w:r>
      <w:r w:rsidRPr="00327A8D">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327A8D">
        <w:rPr>
          <w:rFonts w:ascii="Palatino Linotype" w:eastAsiaTheme="minorHAnsi" w:hAnsi="Palatino Linotype"/>
          <w:sz w:val="22"/>
          <w:szCs w:val="22"/>
          <w:lang w:eastAsia="en-US"/>
        </w:rPr>
        <w:t>;</w:t>
      </w: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327A8D" w:rsidRDefault="002A247E" w:rsidP="002A247E">
      <w:pPr>
        <w:autoSpaceDE w:val="0"/>
        <w:autoSpaceDN w:val="0"/>
        <w:adjustRightInd w:val="0"/>
        <w:ind w:left="709" w:hanging="709"/>
        <w:jc w:val="both"/>
        <w:rPr>
          <w:rFonts w:ascii="Palatino Linotype" w:eastAsiaTheme="minorHAnsi" w:hAnsi="Palatino Linotype"/>
          <w:i/>
          <w:sz w:val="22"/>
          <w:szCs w:val="22"/>
          <w:lang w:eastAsia="en-US"/>
        </w:rPr>
      </w:pPr>
      <w:r w:rsidRPr="00327A8D">
        <w:rPr>
          <w:rFonts w:ascii="Palatino Linotype" w:eastAsiaTheme="minorHAnsi" w:hAnsi="Palatino Linotype"/>
          <w:b/>
          <w:bCs/>
          <w:sz w:val="22"/>
          <w:szCs w:val="22"/>
          <w:lang w:eastAsia="en-US"/>
        </w:rPr>
        <w:t>Que</w:t>
      </w:r>
      <w:r w:rsidRPr="00327A8D">
        <w:rPr>
          <w:rFonts w:ascii="Palatino Linotype" w:eastAsiaTheme="minorHAnsi" w:hAnsi="Palatino Linotype"/>
          <w:sz w:val="22"/>
          <w:szCs w:val="22"/>
          <w:lang w:eastAsia="en-US"/>
        </w:rPr>
        <w:tab/>
        <w:t xml:space="preserve">el literal c) del artículo 84, del Código Orgánico de Organización Territorial, Autonomía y Descentralización, en adelante COOTAD, manifiesta: </w:t>
      </w:r>
      <w:r w:rsidRPr="00327A8D">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327A8D">
        <w:rPr>
          <w:rFonts w:ascii="Palatino Linotype" w:eastAsiaTheme="minorHAnsi" w:hAnsi="Palatino Linotype"/>
          <w:b/>
          <w:sz w:val="22"/>
          <w:szCs w:val="22"/>
          <w:lang w:eastAsia="en-US"/>
        </w:rPr>
        <w:t>Que</w:t>
      </w:r>
      <w:r w:rsidRPr="00327A8D">
        <w:rPr>
          <w:rFonts w:ascii="Palatino Linotype" w:eastAsiaTheme="minorHAnsi" w:hAnsi="Palatino Linotype"/>
          <w:sz w:val="22"/>
          <w:szCs w:val="22"/>
          <w:lang w:eastAsia="en-US"/>
        </w:rPr>
        <w:t xml:space="preserve"> </w:t>
      </w:r>
      <w:r w:rsidRPr="00327A8D">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327A8D">
        <w:rPr>
          <w:rFonts w:ascii="Palatino Linotype" w:eastAsiaTheme="minorHAnsi" w:hAnsi="Palatino Linotype"/>
          <w:b/>
          <w:sz w:val="22"/>
          <w:szCs w:val="22"/>
          <w:lang w:eastAsia="en-US"/>
        </w:rPr>
        <w:t>Que</w:t>
      </w:r>
      <w:r w:rsidRPr="00327A8D">
        <w:rPr>
          <w:rFonts w:ascii="Palatino Linotype" w:eastAsiaTheme="minorHAnsi" w:hAnsi="Palatino Linotype"/>
          <w:sz w:val="22"/>
          <w:szCs w:val="22"/>
          <w:lang w:eastAsia="en-US"/>
        </w:rPr>
        <w:t xml:space="preserve"> </w:t>
      </w:r>
      <w:r w:rsidRPr="00327A8D">
        <w:rPr>
          <w:rFonts w:ascii="Palatino Linotype" w:eastAsiaTheme="minorHAnsi" w:hAnsi="Palatino Linotype"/>
          <w:sz w:val="22"/>
          <w:szCs w:val="22"/>
          <w:lang w:eastAsia="en-US"/>
        </w:rPr>
        <w:tab/>
        <w:t xml:space="preserve">conforme establece el artículo 87, literal v) del COOTAD, al Concejo Metropolitano le corresponde: </w:t>
      </w:r>
      <w:r w:rsidRPr="00327A8D">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327A8D">
        <w:rPr>
          <w:rFonts w:ascii="Palatino Linotype" w:eastAsiaTheme="minorHAnsi" w:hAnsi="Palatino Linotype"/>
          <w:sz w:val="22"/>
          <w:szCs w:val="22"/>
          <w:lang w:eastAsia="en-US"/>
        </w:rPr>
        <w:t xml:space="preserve"> </w:t>
      </w: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327A8D" w:rsidRDefault="002A247E" w:rsidP="002A247E">
      <w:pPr>
        <w:autoSpaceDE w:val="0"/>
        <w:autoSpaceDN w:val="0"/>
        <w:adjustRightInd w:val="0"/>
        <w:ind w:left="709" w:hanging="709"/>
        <w:jc w:val="both"/>
        <w:rPr>
          <w:rFonts w:ascii="Palatino Linotype" w:eastAsiaTheme="minorHAnsi" w:hAnsi="Palatino Linotype"/>
          <w:i/>
          <w:iCs/>
          <w:sz w:val="22"/>
          <w:szCs w:val="22"/>
          <w:lang w:eastAsia="en-US"/>
        </w:rPr>
      </w:pPr>
      <w:r w:rsidRPr="0078423B">
        <w:rPr>
          <w:rFonts w:ascii="Palatino Linotype" w:eastAsiaTheme="minorHAnsi" w:hAnsi="Palatino Linotype"/>
          <w:b/>
          <w:bCs/>
          <w:sz w:val="22"/>
          <w:szCs w:val="22"/>
          <w:lang w:eastAsia="en-US"/>
        </w:rPr>
        <w:t>Que</w:t>
      </w:r>
      <w:r w:rsidRPr="00327A8D">
        <w:rPr>
          <w:rFonts w:ascii="Palatino Linotype" w:eastAsiaTheme="minorHAnsi" w:hAnsi="Palatino Linotype"/>
          <w:sz w:val="22"/>
          <w:szCs w:val="22"/>
          <w:lang w:eastAsia="en-US"/>
        </w:rPr>
        <w:t xml:space="preserve"> </w:t>
      </w:r>
      <w:r w:rsidRPr="00327A8D">
        <w:rPr>
          <w:rFonts w:ascii="Palatino Linotype" w:eastAsiaTheme="minorHAnsi" w:hAnsi="Palatino Linotype"/>
          <w:sz w:val="22"/>
          <w:szCs w:val="22"/>
          <w:lang w:eastAsia="en-US"/>
        </w:rPr>
        <w:tab/>
        <w:t>el artículo 323 del COOTAD establece: “</w:t>
      </w:r>
      <w:r w:rsidRPr="00327A8D">
        <w:rPr>
          <w:rFonts w:ascii="Palatino Linotype" w:eastAsiaTheme="minorHAnsi" w:hAnsi="Palatino Linotype"/>
          <w:i/>
          <w:iCs/>
          <w:sz w:val="22"/>
          <w:szCs w:val="22"/>
          <w:lang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327A8D">
        <w:rPr>
          <w:rFonts w:ascii="Palatino Linotype" w:eastAsiaTheme="minorHAnsi" w:hAnsi="Palatino Linotype"/>
          <w:b/>
          <w:sz w:val="22"/>
          <w:szCs w:val="22"/>
          <w:lang w:eastAsia="en-US"/>
        </w:rPr>
        <w:lastRenderedPageBreak/>
        <w:t>Que</w:t>
      </w:r>
      <w:r w:rsidRPr="00327A8D">
        <w:rPr>
          <w:rFonts w:ascii="Palatino Linotype" w:eastAsiaTheme="minorHAnsi" w:hAnsi="Palatino Linotype"/>
          <w:sz w:val="22"/>
          <w:szCs w:val="22"/>
          <w:lang w:eastAsia="en-US"/>
        </w:rPr>
        <w:tab/>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327A8D" w:rsidRDefault="002A247E" w:rsidP="002A247E">
      <w:pPr>
        <w:autoSpaceDE w:val="0"/>
        <w:autoSpaceDN w:val="0"/>
        <w:adjustRightInd w:val="0"/>
        <w:ind w:left="709" w:hanging="709"/>
        <w:jc w:val="both"/>
        <w:rPr>
          <w:rFonts w:ascii="Palatino Linotype" w:eastAsiaTheme="minorHAnsi" w:hAnsi="Palatino Linotype"/>
          <w:i/>
          <w:sz w:val="22"/>
          <w:szCs w:val="22"/>
          <w:lang w:eastAsia="en-US"/>
        </w:rPr>
      </w:pPr>
      <w:r w:rsidRPr="00327A8D">
        <w:rPr>
          <w:rFonts w:ascii="Palatino Linotype" w:eastAsiaTheme="minorHAnsi" w:hAnsi="Palatino Linotype"/>
          <w:b/>
          <w:sz w:val="22"/>
          <w:szCs w:val="22"/>
          <w:lang w:eastAsia="en-US"/>
        </w:rPr>
        <w:t>Que</w:t>
      </w:r>
      <w:r w:rsidRPr="00327A8D">
        <w:rPr>
          <w:rFonts w:ascii="Palatino Linotype" w:eastAsiaTheme="minorHAnsi" w:hAnsi="Palatino Linotype"/>
          <w:sz w:val="22"/>
          <w:szCs w:val="22"/>
          <w:lang w:eastAsia="en-US"/>
        </w:rPr>
        <w:tab/>
        <w:t xml:space="preserve">el artículo 424 del COOTAD señala: </w:t>
      </w:r>
      <w:r w:rsidRPr="00327A8D">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2A247E" w:rsidRPr="00327A8D" w:rsidRDefault="002A247E" w:rsidP="002A247E">
      <w:pPr>
        <w:autoSpaceDE w:val="0"/>
        <w:autoSpaceDN w:val="0"/>
        <w:adjustRightInd w:val="0"/>
        <w:ind w:left="709" w:hanging="709"/>
        <w:jc w:val="both"/>
        <w:rPr>
          <w:rFonts w:ascii="Palatino Linotype" w:eastAsiaTheme="minorHAnsi" w:hAnsi="Palatino Linotype"/>
          <w:i/>
          <w:sz w:val="22"/>
          <w:szCs w:val="22"/>
          <w:lang w:eastAsia="en-US"/>
        </w:rPr>
      </w:pPr>
    </w:p>
    <w:p w:rsidR="002A247E"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327A8D">
        <w:rPr>
          <w:rFonts w:ascii="Palatino Linotype" w:eastAsiaTheme="minorHAnsi" w:hAnsi="Palatino Linotype"/>
          <w:b/>
          <w:sz w:val="22"/>
          <w:szCs w:val="22"/>
          <w:lang w:eastAsia="en-US"/>
        </w:rPr>
        <w:t>Que</w:t>
      </w:r>
      <w:r w:rsidRPr="00327A8D">
        <w:rPr>
          <w:rFonts w:ascii="Palatino Linotype" w:eastAsiaTheme="minorHAnsi" w:hAnsi="Palatino Linotype"/>
          <w:sz w:val="22"/>
          <w:szCs w:val="22"/>
          <w:lang w:eastAsia="en-US"/>
        </w:rPr>
        <w:tab/>
        <w:t xml:space="preserve">el artículo 472 del COOTAD señala que: </w:t>
      </w:r>
      <w:r w:rsidRPr="00327A8D">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327A8D">
        <w:rPr>
          <w:rFonts w:ascii="Palatino Linotype" w:eastAsiaTheme="minorHAnsi" w:hAnsi="Palatino Linotype"/>
          <w:sz w:val="22"/>
          <w:szCs w:val="22"/>
          <w:lang w:eastAsia="en-US"/>
        </w:rPr>
        <w:t>;</w:t>
      </w:r>
    </w:p>
    <w:p w:rsidR="002A247E"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327A8D">
        <w:rPr>
          <w:rFonts w:ascii="Palatino Linotype" w:eastAsiaTheme="minorHAnsi" w:hAnsi="Palatino Linotype"/>
          <w:b/>
          <w:sz w:val="22"/>
          <w:szCs w:val="22"/>
          <w:lang w:eastAsia="en-US"/>
        </w:rPr>
        <w:t>Que</w:t>
      </w:r>
      <w:r w:rsidRPr="00327A8D">
        <w:rPr>
          <w:rFonts w:ascii="Palatino Linotype" w:eastAsiaTheme="minorHAnsi" w:hAnsi="Palatino Linotype"/>
          <w:sz w:val="22"/>
          <w:szCs w:val="22"/>
          <w:lang w:eastAsia="en-US"/>
        </w:rPr>
        <w:tab/>
        <w:t>el artículo 47</w:t>
      </w:r>
      <w:r>
        <w:rPr>
          <w:rFonts w:ascii="Palatino Linotype" w:eastAsiaTheme="minorHAnsi" w:hAnsi="Palatino Linotype"/>
          <w:sz w:val="22"/>
          <w:szCs w:val="22"/>
          <w:lang w:eastAsia="en-US"/>
        </w:rPr>
        <w:t>3</w:t>
      </w:r>
      <w:r w:rsidRPr="00327A8D">
        <w:rPr>
          <w:rFonts w:ascii="Palatino Linotype" w:eastAsiaTheme="minorHAnsi" w:hAnsi="Palatino Linotype"/>
          <w:sz w:val="22"/>
          <w:szCs w:val="22"/>
          <w:lang w:eastAsia="en-US"/>
        </w:rPr>
        <w:t xml:space="preserve"> del COOTAD señala que: </w:t>
      </w:r>
      <w:r w:rsidRPr="00327A8D">
        <w:rPr>
          <w:rFonts w:ascii="Palatino Linotype" w:eastAsiaTheme="minorHAnsi" w:hAnsi="Palatino Linotype"/>
          <w:i/>
          <w:sz w:val="22"/>
          <w:szCs w:val="22"/>
          <w:lang w:eastAsia="en-US"/>
        </w:rPr>
        <w:t>“</w:t>
      </w:r>
      <w:r w:rsidRPr="00B10E7C">
        <w:rPr>
          <w:rFonts w:ascii="Palatino Linotype" w:eastAsiaTheme="minorHAnsi" w:hAnsi="Palatino Linotype"/>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327A8D">
        <w:rPr>
          <w:rFonts w:ascii="Palatino Linotype" w:eastAsiaTheme="minorHAnsi" w:hAnsi="Palatino Linotype"/>
          <w:i/>
          <w:sz w:val="22"/>
          <w:szCs w:val="22"/>
          <w:lang w:eastAsia="en-US"/>
        </w:rPr>
        <w:t>”</w:t>
      </w:r>
      <w:r w:rsidRPr="00327A8D">
        <w:rPr>
          <w:rFonts w:ascii="Palatino Linotype" w:eastAsiaTheme="minorHAnsi" w:hAnsi="Palatino Linotype"/>
          <w:sz w:val="22"/>
          <w:szCs w:val="22"/>
          <w:lang w:eastAsia="en-US"/>
        </w:rPr>
        <w:t>;</w:t>
      </w: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634ADD" w:rsidRDefault="002A247E" w:rsidP="002A247E">
      <w:pPr>
        <w:autoSpaceDE w:val="0"/>
        <w:autoSpaceDN w:val="0"/>
        <w:adjustRightInd w:val="0"/>
        <w:ind w:left="709" w:hanging="709"/>
        <w:jc w:val="both"/>
        <w:rPr>
          <w:rFonts w:ascii="Palatino Linotype" w:eastAsiaTheme="minorHAnsi" w:hAnsi="Palatino Linotype"/>
          <w:i/>
          <w:sz w:val="22"/>
          <w:szCs w:val="22"/>
          <w:lang w:eastAsia="en-US"/>
        </w:rPr>
      </w:pPr>
      <w:r w:rsidRPr="00634ADD">
        <w:rPr>
          <w:rFonts w:ascii="Palatino Linotype" w:eastAsiaTheme="minorHAnsi" w:hAnsi="Palatino Linotype"/>
          <w:b/>
          <w:sz w:val="22"/>
          <w:szCs w:val="22"/>
          <w:lang w:eastAsia="en-US"/>
        </w:rPr>
        <w:t>Que</w:t>
      </w:r>
      <w:r>
        <w:rPr>
          <w:rFonts w:ascii="Palatino Linotype" w:eastAsiaTheme="minorHAnsi" w:hAnsi="Palatino Linotype"/>
          <w:sz w:val="22"/>
          <w:szCs w:val="22"/>
          <w:lang w:eastAsia="en-US"/>
        </w:rPr>
        <w:tab/>
      </w:r>
      <w:r w:rsidRPr="00634ADD">
        <w:rPr>
          <w:rFonts w:ascii="Palatino Linotype" w:eastAsiaTheme="minorHAnsi" w:hAnsi="Palatino Linotype"/>
          <w:sz w:val="22"/>
          <w:szCs w:val="22"/>
          <w:lang w:eastAsia="en-US"/>
        </w:rPr>
        <w:t xml:space="preserve">el artículo 2410 del Código Civil Ecuatoriano determina que: </w:t>
      </w:r>
      <w:r w:rsidRPr="00634ADD">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2A247E" w:rsidRPr="00634ADD" w:rsidRDefault="002A247E" w:rsidP="002A247E">
      <w:pPr>
        <w:autoSpaceDE w:val="0"/>
        <w:autoSpaceDN w:val="0"/>
        <w:adjustRightInd w:val="0"/>
        <w:jc w:val="both"/>
        <w:rPr>
          <w:rFonts w:ascii="Palatino Linotype" w:hAnsi="Palatino Linotype"/>
          <w:sz w:val="22"/>
          <w:szCs w:val="22"/>
        </w:rPr>
      </w:pPr>
    </w:p>
    <w:p w:rsidR="002A247E" w:rsidRPr="00634AD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634ADD">
        <w:rPr>
          <w:rFonts w:ascii="Palatino Linotype" w:eastAsiaTheme="minorHAnsi" w:hAnsi="Palatino Linotype"/>
          <w:b/>
          <w:sz w:val="22"/>
          <w:szCs w:val="22"/>
          <w:lang w:eastAsia="en-US"/>
        </w:rPr>
        <w:t>Que</w:t>
      </w:r>
      <w:r w:rsidRPr="00634ADD">
        <w:rPr>
          <w:rFonts w:ascii="Palatino Linotype" w:eastAsiaTheme="minorHAnsi" w:hAnsi="Palatino Linotype"/>
          <w:b/>
          <w:sz w:val="22"/>
          <w:szCs w:val="22"/>
          <w:lang w:eastAsia="en-US"/>
        </w:rPr>
        <w:tab/>
      </w:r>
      <w:r w:rsidRPr="00634ADD">
        <w:rPr>
          <w:rFonts w:ascii="Palatino Linotype" w:eastAsiaTheme="minorHAnsi" w:hAnsi="Palatino Linotype"/>
          <w:sz w:val="22"/>
          <w:szCs w:val="22"/>
          <w:lang w:eastAsia="en-US"/>
        </w:rPr>
        <w:t>el numeral 1, del artículo 2 de la Ley de Régimen para el Distrito Metropolitano de Quito, determina, como finalidad, que el Municipio del Distrito Metropolitano de Quito: “</w:t>
      </w:r>
      <w:r w:rsidRPr="00634ADD">
        <w:rPr>
          <w:rFonts w:ascii="Palatino Linotype" w:eastAsiaTheme="minorHAnsi" w:hAnsi="Palatino Linotype"/>
          <w:i/>
          <w:iCs/>
          <w:sz w:val="22"/>
          <w:szCs w:val="22"/>
          <w:lang w:eastAsia="en-US"/>
        </w:rPr>
        <w:t xml:space="preserve">regulará el uso y la adecuada ocupación del suelo y ejercerá control sobre el mismo con competencia exclusiva y privativa. De igual manera regulará y controlará, con </w:t>
      </w:r>
      <w:r w:rsidRPr="00634ADD">
        <w:rPr>
          <w:rFonts w:ascii="Palatino Linotype" w:eastAsiaTheme="minorHAnsi" w:hAnsi="Palatino Linotype"/>
          <w:i/>
          <w:iCs/>
          <w:sz w:val="22"/>
          <w:szCs w:val="22"/>
          <w:lang w:eastAsia="en-US"/>
        </w:rPr>
        <w:lastRenderedPageBreak/>
        <w:t>competencia exclusiva y privativa las construcciones o edificaciones, su estado, utilización y condiciones”</w:t>
      </w:r>
      <w:r w:rsidRPr="00634ADD">
        <w:rPr>
          <w:rFonts w:ascii="Palatino Linotype" w:eastAsiaTheme="minorHAnsi" w:hAnsi="Palatino Linotype"/>
          <w:sz w:val="22"/>
          <w:szCs w:val="22"/>
          <w:lang w:eastAsia="en-US"/>
        </w:rPr>
        <w:t>;</w:t>
      </w:r>
    </w:p>
    <w:p w:rsidR="002A247E" w:rsidRPr="00634AD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p>
    <w:p w:rsidR="002A247E" w:rsidRPr="00634ADD" w:rsidRDefault="002A247E" w:rsidP="002A247E">
      <w:pPr>
        <w:autoSpaceDE w:val="0"/>
        <w:autoSpaceDN w:val="0"/>
        <w:adjustRightInd w:val="0"/>
        <w:ind w:left="709" w:hanging="709"/>
        <w:jc w:val="both"/>
        <w:rPr>
          <w:rFonts w:ascii="Palatino Linotype" w:hAnsi="Palatino Linotype"/>
          <w:sz w:val="22"/>
          <w:szCs w:val="22"/>
        </w:rPr>
      </w:pPr>
      <w:r w:rsidRPr="00634ADD">
        <w:rPr>
          <w:rFonts w:ascii="Palatino Linotype" w:eastAsiaTheme="minorHAnsi" w:hAnsi="Palatino Linotype"/>
          <w:b/>
          <w:sz w:val="22"/>
          <w:szCs w:val="22"/>
          <w:lang w:eastAsia="en-US"/>
        </w:rPr>
        <w:t>Que</w:t>
      </w:r>
      <w:r w:rsidRPr="00634ADD">
        <w:rPr>
          <w:rFonts w:ascii="Palatino Linotype" w:eastAsiaTheme="minorHAnsi" w:hAnsi="Palatino Linotype"/>
          <w:sz w:val="22"/>
          <w:szCs w:val="22"/>
          <w:lang w:eastAsia="en-US"/>
        </w:rPr>
        <w:t xml:space="preserve"> </w:t>
      </w:r>
      <w:r w:rsidRPr="00634ADD">
        <w:rPr>
          <w:rFonts w:ascii="Palatino Linotype" w:eastAsiaTheme="minorHAnsi" w:hAnsi="Palatino Linotype"/>
          <w:sz w:val="22"/>
          <w:szCs w:val="22"/>
          <w:lang w:eastAsia="en-US"/>
        </w:rPr>
        <w:tab/>
        <w:t xml:space="preserve">el Código Municipal para el Distrito Metropolitano de Quito, en adelante Código Municipal, en su artículo 2556, establece que: </w:t>
      </w:r>
      <w:r w:rsidRPr="00634ADD">
        <w:rPr>
          <w:rFonts w:ascii="Palatino Linotype" w:eastAsiaTheme="minorHAnsi" w:hAnsi="Palatino Linotype"/>
          <w:i/>
          <w:sz w:val="22"/>
          <w:szCs w:val="22"/>
          <w:lang w:eastAsia="en-US"/>
        </w:rPr>
        <w:t>“Los proyectos de subdivisión tienen por finalidad dividir y habilitar lotes, conforme el aprovechamiento urbanístico establecido en el Plan de Uso y Gestión del Suelo y planes urbanísticos complementarios. En todos los casos deberá observarse el lote mínimo establecido en la normativa vigente.”</w:t>
      </w:r>
      <w:r>
        <w:rPr>
          <w:rFonts w:ascii="Palatino Linotype" w:eastAsiaTheme="minorHAnsi" w:hAnsi="Palatino Linotype"/>
          <w:i/>
          <w:sz w:val="22"/>
          <w:szCs w:val="22"/>
          <w:lang w:eastAsia="en-US"/>
        </w:rPr>
        <w:t>;</w:t>
      </w:r>
    </w:p>
    <w:p w:rsidR="002A247E" w:rsidRPr="00634ADD" w:rsidRDefault="002A247E" w:rsidP="002A247E">
      <w:pPr>
        <w:autoSpaceDE w:val="0"/>
        <w:autoSpaceDN w:val="0"/>
        <w:adjustRightInd w:val="0"/>
        <w:ind w:left="709" w:hanging="709"/>
        <w:jc w:val="both"/>
        <w:rPr>
          <w:rFonts w:ascii="Palatino Linotype" w:hAnsi="Palatino Linotype"/>
          <w:sz w:val="22"/>
          <w:szCs w:val="22"/>
        </w:rPr>
      </w:pPr>
    </w:p>
    <w:p w:rsidR="002A247E" w:rsidRPr="00634ADD" w:rsidRDefault="002A247E" w:rsidP="002A247E">
      <w:pPr>
        <w:autoSpaceDE w:val="0"/>
        <w:autoSpaceDN w:val="0"/>
        <w:adjustRightInd w:val="0"/>
        <w:ind w:left="709" w:hanging="709"/>
        <w:jc w:val="both"/>
        <w:rPr>
          <w:rFonts w:ascii="Palatino Linotype" w:eastAsiaTheme="minorHAnsi" w:hAnsi="Palatino Linotype"/>
          <w:i/>
          <w:sz w:val="22"/>
          <w:szCs w:val="22"/>
          <w:lang w:eastAsia="en-US"/>
        </w:rPr>
      </w:pPr>
      <w:r w:rsidRPr="00634ADD">
        <w:rPr>
          <w:rFonts w:ascii="Palatino Linotype" w:eastAsiaTheme="minorHAnsi" w:hAnsi="Palatino Linotype"/>
          <w:b/>
          <w:sz w:val="22"/>
          <w:szCs w:val="22"/>
          <w:lang w:eastAsia="en-US"/>
        </w:rPr>
        <w:t>Que</w:t>
      </w:r>
      <w:r w:rsidRPr="00634ADD">
        <w:rPr>
          <w:rFonts w:ascii="Palatino Linotype" w:eastAsiaTheme="minorHAnsi" w:hAnsi="Palatino Linotype"/>
          <w:sz w:val="22"/>
          <w:szCs w:val="22"/>
          <w:lang w:eastAsia="en-US"/>
        </w:rPr>
        <w:t xml:space="preserve"> </w:t>
      </w:r>
      <w:r w:rsidRPr="00634ADD">
        <w:rPr>
          <w:rFonts w:ascii="Palatino Linotype" w:eastAsiaTheme="minorHAnsi" w:hAnsi="Palatino Linotype"/>
          <w:sz w:val="22"/>
          <w:szCs w:val="22"/>
          <w:lang w:eastAsia="en-US"/>
        </w:rPr>
        <w:tab/>
        <w:t xml:space="preserve">el Código Municipal en su artículo 2567 establece: </w:t>
      </w:r>
      <w:r w:rsidRPr="00634ADD">
        <w:rPr>
          <w:rFonts w:ascii="Palatino Linotype" w:eastAsiaTheme="minorHAnsi" w:hAnsi="Palatino Linotype"/>
          <w:i/>
          <w:sz w:val="22"/>
          <w:szCs w:val="22"/>
          <w:lang w:eastAsia="en-US"/>
        </w:rPr>
        <w:t>“En Particiones judiciales de inmuebles con áreas inferiores a 3000.00 m2, si la contribución del 15% del área verde y área comunitaria en forma de cesión gratuita y obligatoria es menor al lote mínimo asignado en la edificabilidad vigente, el administrado compensará el equivalente al 15% en valor monetario según el avalúo catastral actualizado. En el caso de la sentencia ejecutoriada dictada dentro del juicio de prescripción extraordinaria adquisitiva de dominio, de una parte, de un lote que obliga a un fraccionamiento, se deberá calcular el aporte del 15% del área útil adquirida mediante sentencia. (…)”</w:t>
      </w:r>
      <w:r w:rsidRPr="00634ADD">
        <w:rPr>
          <w:rFonts w:ascii="Palatino Linotype" w:eastAsiaTheme="minorHAnsi" w:hAnsi="Palatino Linotype"/>
          <w:sz w:val="22"/>
          <w:szCs w:val="22"/>
          <w:lang w:eastAsia="en-US"/>
        </w:rPr>
        <w:t>;</w:t>
      </w:r>
      <w:r w:rsidRPr="00634ADD">
        <w:rPr>
          <w:rFonts w:ascii="Palatino Linotype" w:eastAsiaTheme="minorHAnsi" w:hAnsi="Palatino Linotype"/>
          <w:i/>
          <w:sz w:val="22"/>
          <w:szCs w:val="22"/>
          <w:lang w:eastAsia="en-US"/>
        </w:rPr>
        <w:t xml:space="preserve">  </w:t>
      </w: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highlight w:val="yellow"/>
          <w:lang w:eastAsia="en-US"/>
        </w:rPr>
      </w:pPr>
    </w:p>
    <w:p w:rsidR="002A247E" w:rsidRDefault="002A247E" w:rsidP="002A247E">
      <w:pPr>
        <w:autoSpaceDE w:val="0"/>
        <w:autoSpaceDN w:val="0"/>
        <w:adjustRightInd w:val="0"/>
        <w:ind w:left="708" w:hanging="708"/>
        <w:jc w:val="both"/>
        <w:rPr>
          <w:rFonts w:ascii="Palatino Linotype" w:eastAsiaTheme="minorHAnsi" w:hAnsi="Palatino Linotype"/>
          <w:sz w:val="22"/>
          <w:szCs w:val="22"/>
          <w:lang w:eastAsia="en-US"/>
        </w:rPr>
      </w:pPr>
      <w:r w:rsidRPr="00327A8D">
        <w:rPr>
          <w:rFonts w:ascii="Palatino Linotype" w:eastAsiaTheme="minorHAnsi" w:hAnsi="Palatino Linotype"/>
          <w:b/>
          <w:sz w:val="22"/>
          <w:szCs w:val="22"/>
          <w:lang w:eastAsia="en-US"/>
        </w:rPr>
        <w:t>Que</w:t>
      </w:r>
      <w:r w:rsidRPr="00327A8D">
        <w:rPr>
          <w:rFonts w:ascii="Palatino Linotype" w:eastAsiaTheme="minorHAnsi" w:hAnsi="Palatino Linotype"/>
          <w:sz w:val="22"/>
          <w:szCs w:val="22"/>
          <w:lang w:eastAsia="en-US"/>
        </w:rPr>
        <w:tab/>
      </w:r>
      <w:r>
        <w:rPr>
          <w:rFonts w:ascii="Palatino Linotype" w:eastAsiaTheme="minorHAnsi" w:hAnsi="Palatino Linotype"/>
          <w:sz w:val="22"/>
          <w:szCs w:val="22"/>
          <w:lang w:eastAsia="en-US"/>
        </w:rPr>
        <w:t xml:space="preserve">con fecha 16 de noviembre de 2022, </w:t>
      </w:r>
      <w:r w:rsidRPr="00327A8D">
        <w:rPr>
          <w:rFonts w:ascii="Palatino Linotype" w:eastAsiaTheme="minorHAnsi" w:hAnsi="Palatino Linotype"/>
          <w:sz w:val="22"/>
          <w:szCs w:val="22"/>
          <w:lang w:eastAsia="en-US"/>
        </w:rPr>
        <w:t>la Procuraduría Metropolitana</w:t>
      </w:r>
      <w:r>
        <w:rPr>
          <w:rFonts w:ascii="Palatino Linotype" w:eastAsiaTheme="minorHAnsi" w:hAnsi="Palatino Linotype"/>
          <w:sz w:val="22"/>
          <w:szCs w:val="22"/>
          <w:lang w:eastAsia="en-US"/>
        </w:rPr>
        <w:t xml:space="preserve"> del Municipio del Distrito Metropolitano de Quito,</w:t>
      </w:r>
      <w:r w:rsidRPr="00327A8D">
        <w:rPr>
          <w:rFonts w:ascii="Palatino Linotype" w:eastAsiaTheme="minorHAnsi" w:hAnsi="Palatino Linotype"/>
          <w:sz w:val="22"/>
          <w:szCs w:val="22"/>
          <w:lang w:eastAsia="en-US"/>
        </w:rPr>
        <w:t xml:space="preserve"> emitió</w:t>
      </w:r>
      <w:r>
        <w:rPr>
          <w:rFonts w:ascii="Palatino Linotype" w:eastAsiaTheme="minorHAnsi" w:hAnsi="Palatino Linotype"/>
          <w:sz w:val="22"/>
          <w:szCs w:val="22"/>
          <w:lang w:eastAsia="en-US"/>
        </w:rPr>
        <w:t>: “</w:t>
      </w:r>
      <w:r w:rsidRPr="00A521C6">
        <w:rPr>
          <w:rFonts w:ascii="Palatino Linotype" w:eastAsiaTheme="minorHAnsi" w:hAnsi="Palatino Linotype"/>
          <w:i/>
          <w:sz w:val="22"/>
          <w:szCs w:val="22"/>
          <w:lang w:eastAsia="en-US"/>
        </w:rPr>
        <w:t>El instructivo para atención de solicitudes para catastrar bienes inmuebles adquiridos por sentencias ejecutoriadas de prescripción extraordinaria adquisitiva de dominio que implique fraccionamiento que no cumplen con los parámetros de zonificación</w:t>
      </w:r>
      <w:r>
        <w:rPr>
          <w:rFonts w:ascii="Palatino Linotype" w:eastAsiaTheme="minorHAnsi" w:hAnsi="Palatino Linotype"/>
          <w:sz w:val="22"/>
          <w:szCs w:val="22"/>
          <w:lang w:eastAsia="en-US"/>
        </w:rPr>
        <w:t xml:space="preserve">”. </w:t>
      </w:r>
    </w:p>
    <w:p w:rsidR="002A247E" w:rsidRDefault="002A247E" w:rsidP="002A247E">
      <w:pPr>
        <w:autoSpaceDE w:val="0"/>
        <w:autoSpaceDN w:val="0"/>
        <w:adjustRightInd w:val="0"/>
        <w:ind w:left="708" w:hanging="708"/>
        <w:jc w:val="both"/>
        <w:rPr>
          <w:rFonts w:ascii="Palatino Linotype" w:eastAsiaTheme="minorHAnsi" w:hAnsi="Palatino Linotype"/>
          <w:b/>
          <w:sz w:val="22"/>
          <w:szCs w:val="22"/>
          <w:lang w:eastAsia="en-US"/>
        </w:rPr>
      </w:pPr>
    </w:p>
    <w:p w:rsidR="002A247E" w:rsidRDefault="002A247E" w:rsidP="002A247E">
      <w:pPr>
        <w:autoSpaceDE w:val="0"/>
        <w:autoSpaceDN w:val="0"/>
        <w:adjustRightInd w:val="0"/>
        <w:ind w:left="708" w:hanging="708"/>
        <w:jc w:val="both"/>
        <w:rPr>
          <w:rFonts w:ascii="Palatino Linotype" w:eastAsiaTheme="minorHAnsi" w:hAnsi="Palatino Linotype"/>
          <w:sz w:val="22"/>
          <w:szCs w:val="22"/>
          <w:lang w:eastAsia="en-US"/>
        </w:rPr>
      </w:pPr>
      <w:r>
        <w:rPr>
          <w:rFonts w:ascii="Palatino Linotype" w:eastAsiaTheme="minorHAnsi" w:hAnsi="Palatino Linotype"/>
          <w:b/>
          <w:sz w:val="22"/>
          <w:szCs w:val="22"/>
          <w:lang w:eastAsia="en-US"/>
        </w:rPr>
        <w:t xml:space="preserve">Que    </w:t>
      </w:r>
      <w:r w:rsidRPr="00A521C6">
        <w:rPr>
          <w:rFonts w:ascii="Palatino Linotype" w:eastAsiaTheme="minorHAnsi" w:hAnsi="Palatino Linotype"/>
          <w:sz w:val="22"/>
          <w:szCs w:val="22"/>
          <w:lang w:eastAsia="en-US"/>
        </w:rPr>
        <w:t>en la letra c) del artículo 5 de dicho instructivo, se deja señalado lo siguiente</w:t>
      </w:r>
      <w:r>
        <w:rPr>
          <w:rFonts w:ascii="Palatino Linotype" w:eastAsiaTheme="minorHAnsi" w:hAnsi="Palatino Linotype"/>
          <w:b/>
          <w:sz w:val="22"/>
          <w:szCs w:val="22"/>
          <w:lang w:eastAsia="en-US"/>
        </w:rPr>
        <w:t>: “</w:t>
      </w:r>
      <w:r w:rsidRPr="00A521C6">
        <w:rPr>
          <w:rFonts w:ascii="Palatino Linotype" w:eastAsiaTheme="minorHAnsi" w:hAnsi="Palatino Linotype"/>
          <w:i/>
          <w:sz w:val="22"/>
          <w:szCs w:val="22"/>
          <w:lang w:eastAsia="en-US"/>
        </w:rPr>
        <w:t>El Concejo Metropolitano de Quito resolverá respecto al fraccionamiento que implica la ejecución de las sentencias y la contribución del área verde</w:t>
      </w:r>
      <w:r w:rsidRPr="00A521C6">
        <w:rPr>
          <w:rFonts w:ascii="Palatino Linotype" w:eastAsiaTheme="minorHAnsi" w:hAnsi="Palatino Linotype"/>
          <w:sz w:val="22"/>
          <w:szCs w:val="22"/>
          <w:lang w:eastAsia="en-US"/>
        </w:rPr>
        <w:t>.</w:t>
      </w:r>
      <w:r>
        <w:rPr>
          <w:rFonts w:ascii="Palatino Linotype" w:eastAsiaTheme="minorHAnsi" w:hAnsi="Palatino Linotype"/>
          <w:sz w:val="22"/>
          <w:szCs w:val="22"/>
          <w:lang w:eastAsia="en-US"/>
        </w:rPr>
        <w:t>”</w:t>
      </w:r>
      <w:r w:rsidRPr="00A521C6">
        <w:rPr>
          <w:rFonts w:ascii="Palatino Linotype" w:eastAsiaTheme="minorHAnsi" w:hAnsi="Palatino Linotype"/>
          <w:sz w:val="22"/>
          <w:szCs w:val="22"/>
          <w:lang w:eastAsia="en-US"/>
        </w:rPr>
        <w:t xml:space="preserve"> </w:t>
      </w:r>
    </w:p>
    <w:p w:rsidR="002A247E" w:rsidRDefault="002A247E" w:rsidP="002A247E">
      <w:pPr>
        <w:autoSpaceDE w:val="0"/>
        <w:autoSpaceDN w:val="0"/>
        <w:adjustRightInd w:val="0"/>
        <w:ind w:left="708" w:hanging="708"/>
        <w:jc w:val="both"/>
        <w:rPr>
          <w:rFonts w:ascii="Palatino Linotype" w:eastAsiaTheme="minorHAnsi" w:hAnsi="Palatino Linotype"/>
          <w:bCs/>
          <w:sz w:val="22"/>
          <w:szCs w:val="22"/>
          <w:lang w:eastAsia="en-US"/>
        </w:rPr>
      </w:pPr>
    </w:p>
    <w:p w:rsidR="00A4671A" w:rsidRDefault="002A247E" w:rsidP="00A4671A">
      <w:pPr>
        <w:autoSpaceDE w:val="0"/>
        <w:autoSpaceDN w:val="0"/>
        <w:adjustRightInd w:val="0"/>
        <w:ind w:left="708" w:hanging="708"/>
        <w:jc w:val="both"/>
        <w:rPr>
          <w:rFonts w:ascii="Palatino Linotype" w:hAnsi="Palatino Linotype"/>
          <w:b/>
          <w:i/>
          <w:sz w:val="22"/>
          <w:szCs w:val="22"/>
        </w:rPr>
      </w:pPr>
      <w:r>
        <w:rPr>
          <w:rFonts w:ascii="Palatino Linotype" w:eastAsiaTheme="minorHAnsi" w:hAnsi="Palatino Linotype"/>
          <w:bCs/>
          <w:sz w:val="22"/>
          <w:szCs w:val="22"/>
          <w:lang w:eastAsia="en-US"/>
        </w:rPr>
        <w:t xml:space="preserve">Que    </w:t>
      </w:r>
      <w:r w:rsidRPr="00A521C6">
        <w:rPr>
          <w:rFonts w:ascii="Palatino Linotype" w:eastAsiaTheme="minorHAnsi" w:hAnsi="Palatino Linotype"/>
          <w:bCs/>
          <w:sz w:val="22"/>
          <w:szCs w:val="22"/>
          <w:lang w:eastAsia="en-US"/>
        </w:rPr>
        <w:t>mediante sentencia dictada el</w:t>
      </w:r>
      <w:r>
        <w:rPr>
          <w:rFonts w:ascii="Palatino Linotype" w:eastAsiaTheme="minorHAnsi" w:hAnsi="Palatino Linotype"/>
          <w:bCs/>
          <w:sz w:val="22"/>
          <w:szCs w:val="22"/>
          <w:lang w:eastAsia="en-US"/>
        </w:rPr>
        <w:t xml:space="preserve"> 4 de junio de 2019</w:t>
      </w:r>
      <w:r w:rsidRPr="00A521C6">
        <w:rPr>
          <w:rFonts w:ascii="Palatino Linotype" w:eastAsiaTheme="minorHAnsi" w:hAnsi="Palatino Linotype"/>
          <w:bCs/>
          <w:sz w:val="22"/>
          <w:szCs w:val="22"/>
          <w:lang w:eastAsia="en-US"/>
        </w:rPr>
        <w:t xml:space="preserve">, el Juez de la Unidad Judicial con Sede en la Parroquia </w:t>
      </w:r>
      <w:r>
        <w:rPr>
          <w:rFonts w:ascii="Palatino Linotype" w:eastAsiaTheme="minorHAnsi" w:hAnsi="Palatino Linotype"/>
          <w:bCs/>
          <w:sz w:val="22"/>
          <w:szCs w:val="22"/>
          <w:lang w:eastAsia="en-US"/>
        </w:rPr>
        <w:t xml:space="preserve">Iñaquito </w:t>
      </w:r>
      <w:r w:rsidRPr="00A521C6">
        <w:rPr>
          <w:rFonts w:ascii="Palatino Linotype" w:eastAsiaTheme="minorHAnsi" w:hAnsi="Palatino Linotype"/>
          <w:bCs/>
          <w:sz w:val="22"/>
          <w:szCs w:val="22"/>
          <w:lang w:eastAsia="en-US"/>
        </w:rPr>
        <w:t>del Distrito Metropolitano de Quito, provincia de Pichinc</w:t>
      </w:r>
      <w:r>
        <w:rPr>
          <w:rFonts w:ascii="Palatino Linotype" w:eastAsiaTheme="minorHAnsi" w:hAnsi="Palatino Linotype"/>
          <w:bCs/>
          <w:sz w:val="22"/>
          <w:szCs w:val="22"/>
          <w:lang w:eastAsia="en-US"/>
        </w:rPr>
        <w:t>ha, dentro del Juicio Nro. 17230-2019-10572</w:t>
      </w:r>
      <w:r w:rsidRPr="00A521C6">
        <w:rPr>
          <w:rFonts w:ascii="Palatino Linotype" w:eastAsiaTheme="minorHAnsi" w:hAnsi="Palatino Linotype"/>
          <w:bCs/>
          <w:sz w:val="22"/>
          <w:szCs w:val="22"/>
          <w:lang w:eastAsia="en-US"/>
        </w:rPr>
        <w:t xml:space="preserve">, resolvió: </w:t>
      </w:r>
      <w:r w:rsidRPr="00A521C6">
        <w:rPr>
          <w:rFonts w:ascii="Palatino Linotype" w:eastAsiaTheme="minorHAnsi" w:hAnsi="Palatino Linotype"/>
          <w:bCs/>
          <w:i/>
          <w:sz w:val="22"/>
          <w:szCs w:val="22"/>
          <w:lang w:eastAsia="en-US"/>
        </w:rPr>
        <w:t>“</w:t>
      </w:r>
      <w:r w:rsidR="00A4671A">
        <w:rPr>
          <w:rStyle w:val="Textoennegrita"/>
        </w:rPr>
        <w:t xml:space="preserve">ADMINISTRANDO JUSTICIA, EN NOMBRE DEL PUEBLO SOBERANO DEL ECUADOR Y POR AUTORIDAD DE LA CONSTITUCIÓN Y LAS LEYES DE LA REPUBLICA, </w:t>
      </w:r>
      <w:r w:rsidR="00A4671A">
        <w:t>se</w:t>
      </w:r>
      <w:r w:rsidR="00A4671A">
        <w:rPr>
          <w:rStyle w:val="Textoennegrita"/>
        </w:rPr>
        <w:t xml:space="preserve"> ACEPTA </w:t>
      </w:r>
      <w:r w:rsidR="00A4671A">
        <w:t xml:space="preserve">la demanda, declarando prescritos los derechos de dominio que han ostentado los herederos del señor </w:t>
      </w:r>
      <w:r w:rsidR="00A4671A">
        <w:rPr>
          <w:rStyle w:val="Textoennegrita"/>
        </w:rPr>
        <w:t xml:space="preserve">JAIME HONORATO SANCHEZ ESPINOSA, las conocidas MARIA AUGUSTA Y MARIA CRISTINA SANCHEZ AGUILAR, los presuntos y desconocidos así como la cónyuge sobreviviente  MARIA DE LAS MERCEDES AGUILAR, </w:t>
      </w:r>
      <w:r w:rsidR="00A4671A">
        <w:t xml:space="preserve">en el lote de terreno que se encuentra singularizado debidamente con una superficie de 187,10 m2 en el que existe una construcción en tres plantas con una superficie total de 324,35m2, ubicado en la calle José Ricardo </w:t>
      </w:r>
      <w:proofErr w:type="spellStart"/>
      <w:r w:rsidR="00A4671A">
        <w:t>Chiriboga</w:t>
      </w:r>
      <w:proofErr w:type="spellEnd"/>
      <w:r w:rsidR="00A4671A">
        <w:t xml:space="preserve"> y Pasaje  A N49-18, parroquia </w:t>
      </w:r>
      <w:proofErr w:type="spellStart"/>
      <w:r w:rsidR="00A4671A">
        <w:t>Zámbiza</w:t>
      </w:r>
      <w:proofErr w:type="spellEnd"/>
      <w:r w:rsidR="00A4671A">
        <w:t xml:space="preserve">, Sector El Tablón del Sur, cantón Quito, provincia de Pichincha, se encuentra comprendido dentro de los siguientes linderos y dimensiones específicos: NORTE: Con propiedad del señor José Manuel </w:t>
      </w:r>
      <w:proofErr w:type="spellStart"/>
      <w:r w:rsidR="00A4671A">
        <w:t>Catota</w:t>
      </w:r>
      <w:proofErr w:type="spellEnd"/>
      <w:r w:rsidR="00A4671A">
        <w:t xml:space="preserve">, en 11,87 m2; </w:t>
      </w:r>
      <w:r w:rsidR="00A4671A">
        <w:lastRenderedPageBreak/>
        <w:t xml:space="preserve">SUR: Con calle José Ricardo </w:t>
      </w:r>
      <w:proofErr w:type="spellStart"/>
      <w:r w:rsidR="00A4671A">
        <w:t>Chiriboga</w:t>
      </w:r>
      <w:proofErr w:type="spellEnd"/>
      <w:r w:rsidR="00A4671A">
        <w:t xml:space="preserve">, en 12,35 m; ESTE: Con propiedad de la señora Rosa Álvarez, en 15,09 m; y OESTE: Con pasaje A, en 15.87m. Por efecto de la prescripción adquisitiva extraordinaria de dominio declarada, los cónyuges  MONICA PATRICIA CASTILLO LOPEZ y CARLOS EFRAIN CARLOSAMA CAMPUES, adquieren el dominio del señalado inmueble, incluyendo la construcción establecida.- La parte actora deberá asumir las responsabilidades civiles y penales,  respecto de la prueba  en caso de que ésta resulte falsa. La resolución tiene el carácter declarativo, estando sujeta su ejecución al cumplimiento de las exigencias legales de los organismos encargados del manejo de tierras y dejando a salvo el derecho de terceros, en relación  con cualquier gravamen de  que pueda resultar afectado. Ejecutoriada que fuera esta sentencia, confiérase copias certificadas para que la </w:t>
      </w:r>
      <w:proofErr w:type="gramStart"/>
      <w:r w:rsidR="00A4671A">
        <w:t>parte</w:t>
      </w:r>
      <w:proofErr w:type="gramEnd"/>
      <w:r w:rsidR="00A4671A">
        <w:t xml:space="preserve"> actora protocolice en una de las Notarías del cantón Quito y se proceda a la correspondiente inscripción en el Registro de la Propiedad de éste cantón y le sirva de título de propiedad. No sin antes con el objeto de dar cumplimiento a las normas  sobre fraccionamiento urbano consignadas en el Art. 472  del Código Orgánico de organización Territorial, Descentralización y Autonomía, obtenga la autorización municipal de fraccionamiento antes de inscribir la sentencia en el Registro correspondiente.  Además se cancela la inscripción de la demanda y todo gravamen que pese sobre el bien,  Por no encontrarse ninguno de los presupuestos establecidos en los artículos 284 y 286 del Código Orgánico General de Procesos no se dispone el pago de costas, en las que se incluye los montos previstos en el artículo 285 del invocado cuerpo legal.- </w:t>
      </w:r>
      <w:r w:rsidR="00A4671A">
        <w:rPr>
          <w:rStyle w:val="Textoennegrita"/>
        </w:rPr>
        <w:t>NOTIFÍQUESE Y CÚMPLASE.- </w:t>
      </w:r>
    </w:p>
    <w:p w:rsidR="00A4671A" w:rsidRDefault="00A4671A" w:rsidP="00A4671A">
      <w:pPr>
        <w:autoSpaceDE w:val="0"/>
        <w:autoSpaceDN w:val="0"/>
        <w:adjustRightInd w:val="0"/>
        <w:ind w:left="708" w:hanging="708"/>
        <w:jc w:val="both"/>
        <w:rPr>
          <w:rFonts w:ascii="Palatino Linotype" w:hAnsi="Palatino Linotype"/>
          <w:b/>
          <w:i/>
          <w:sz w:val="22"/>
          <w:szCs w:val="22"/>
        </w:rPr>
      </w:pPr>
    </w:p>
    <w:p w:rsidR="002A247E" w:rsidRPr="005E518A" w:rsidRDefault="002A247E" w:rsidP="005E518A">
      <w:pPr>
        <w:autoSpaceDE w:val="0"/>
        <w:autoSpaceDN w:val="0"/>
        <w:adjustRightInd w:val="0"/>
        <w:ind w:left="708" w:hanging="708"/>
        <w:jc w:val="both"/>
        <w:rPr>
          <w:rFonts w:ascii="Palatino Linotype" w:hAnsi="Palatino Linotype"/>
          <w:b/>
          <w:i/>
          <w:sz w:val="22"/>
          <w:szCs w:val="22"/>
        </w:rPr>
      </w:pPr>
      <w:r w:rsidRPr="00327A8D">
        <w:rPr>
          <w:rFonts w:ascii="Palatino Linotype" w:hAnsi="Palatino Linotype"/>
          <w:b/>
          <w:sz w:val="22"/>
          <w:szCs w:val="22"/>
        </w:rPr>
        <w:t>Que</w:t>
      </w:r>
      <w:r w:rsidRPr="00327A8D">
        <w:rPr>
          <w:rFonts w:ascii="Palatino Linotype" w:hAnsi="Palatino Linotype"/>
          <w:sz w:val="22"/>
          <w:szCs w:val="22"/>
        </w:rPr>
        <w:tab/>
      </w:r>
      <w:r w:rsidRPr="00CD51C7">
        <w:rPr>
          <w:sz w:val="22"/>
          <w:szCs w:val="22"/>
          <w:lang w:val="es-ES"/>
        </w:rPr>
        <w:t xml:space="preserve">mediante </w:t>
      </w:r>
      <w:r w:rsidRPr="00CD51C7">
        <w:rPr>
          <w:sz w:val="22"/>
          <w:szCs w:val="22"/>
        </w:rPr>
        <w:t xml:space="preserve">memorando Nro. </w:t>
      </w:r>
      <w:r w:rsidR="005E518A">
        <w:rPr>
          <w:sz w:val="22"/>
          <w:szCs w:val="22"/>
          <w:lang w:val="es-ES"/>
        </w:rPr>
        <w:t>GADDMQ-AZEE-DAJ-2023-1047</w:t>
      </w:r>
      <w:r>
        <w:rPr>
          <w:sz w:val="22"/>
          <w:szCs w:val="22"/>
          <w:lang w:val="es-ES"/>
        </w:rPr>
        <w:t>-M</w:t>
      </w:r>
      <w:r w:rsidRPr="00CD51C7">
        <w:rPr>
          <w:sz w:val="22"/>
          <w:szCs w:val="22"/>
          <w:lang w:val="es-ES"/>
        </w:rPr>
        <w:t>,</w:t>
      </w:r>
      <w:r w:rsidRPr="00CD51C7">
        <w:rPr>
          <w:sz w:val="22"/>
          <w:szCs w:val="22"/>
        </w:rPr>
        <w:t xml:space="preserve"> </w:t>
      </w:r>
      <w:r w:rsidRPr="00CD51C7">
        <w:rPr>
          <w:sz w:val="22"/>
          <w:szCs w:val="22"/>
          <w:lang w:val="es-ES"/>
        </w:rPr>
        <w:t>de</w:t>
      </w:r>
      <w:r w:rsidR="005E518A">
        <w:rPr>
          <w:sz w:val="22"/>
          <w:szCs w:val="22"/>
          <w:lang w:val="es-ES"/>
        </w:rPr>
        <w:t xml:space="preserve"> 14</w:t>
      </w:r>
      <w:r>
        <w:rPr>
          <w:sz w:val="22"/>
          <w:szCs w:val="22"/>
          <w:lang w:val="es-ES"/>
        </w:rPr>
        <w:t xml:space="preserve"> de</w:t>
      </w:r>
      <w:r w:rsidRPr="00CD51C7">
        <w:rPr>
          <w:sz w:val="22"/>
          <w:szCs w:val="22"/>
          <w:lang w:val="es-ES"/>
        </w:rPr>
        <w:t xml:space="preserve"> </w:t>
      </w:r>
      <w:r w:rsidR="005E518A">
        <w:rPr>
          <w:sz w:val="22"/>
          <w:szCs w:val="22"/>
          <w:lang w:val="es-ES"/>
        </w:rPr>
        <w:t>noviembre</w:t>
      </w:r>
      <w:r w:rsidRPr="00CD51C7">
        <w:rPr>
          <w:sz w:val="22"/>
          <w:szCs w:val="22"/>
          <w:lang w:val="es-ES"/>
        </w:rPr>
        <w:t xml:space="preserve"> </w:t>
      </w:r>
      <w:proofErr w:type="spellStart"/>
      <w:r w:rsidRPr="00CD51C7">
        <w:rPr>
          <w:sz w:val="22"/>
          <w:szCs w:val="22"/>
          <w:lang w:val="es-ES"/>
        </w:rPr>
        <w:t>de</w:t>
      </w:r>
      <w:proofErr w:type="spellEnd"/>
      <w:r w:rsidRPr="00CD51C7">
        <w:rPr>
          <w:sz w:val="22"/>
          <w:szCs w:val="22"/>
          <w:lang w:val="es-ES"/>
        </w:rPr>
        <w:t xml:space="preserve"> 2023, </w:t>
      </w:r>
      <w:r>
        <w:rPr>
          <w:sz w:val="22"/>
          <w:szCs w:val="22"/>
          <w:lang w:val="es-ES"/>
        </w:rPr>
        <w:t xml:space="preserve">la abogada Daniela Alejandra </w:t>
      </w:r>
      <w:proofErr w:type="spellStart"/>
      <w:r>
        <w:rPr>
          <w:sz w:val="22"/>
          <w:szCs w:val="22"/>
          <w:lang w:val="es-ES"/>
        </w:rPr>
        <w:t>Ampudia</w:t>
      </w:r>
      <w:proofErr w:type="spellEnd"/>
      <w:r>
        <w:rPr>
          <w:sz w:val="22"/>
          <w:szCs w:val="22"/>
          <w:lang w:val="es-ES"/>
        </w:rPr>
        <w:t xml:space="preserve"> Viteri </w:t>
      </w:r>
      <w:r w:rsidRPr="00CD51C7">
        <w:rPr>
          <w:sz w:val="22"/>
          <w:szCs w:val="22"/>
          <w:lang w:val="es-ES"/>
        </w:rPr>
        <w:t xml:space="preserve">, Directora de Asesoría Jurídica de la Administración Zonal </w:t>
      </w:r>
      <w:r>
        <w:rPr>
          <w:sz w:val="22"/>
          <w:szCs w:val="22"/>
          <w:lang w:val="es-ES"/>
        </w:rPr>
        <w:t>Eugenio Espejo, señala: “</w:t>
      </w:r>
      <w:r w:rsidRPr="006E0315">
        <w:rPr>
          <w:i/>
          <w:sz w:val="22"/>
          <w:szCs w:val="22"/>
          <w:lang w:val="es-ES"/>
        </w:rPr>
        <w:t>Una vez que se ha presentado la sentencia protocolizada y el informe técnico pertinente ; y, a fin de garantizar derechos constitucionales y legales del administrado, esta dirección Jurídica emite INFORME LEGAL FAVORABLE para que se alcance del Concejo Metropolitano previo dictamen de la Comisión de Uso de Suelo la autorización de fraccionamiento y/o d</w:t>
      </w:r>
      <w:r w:rsidR="005E518A">
        <w:rPr>
          <w:i/>
          <w:sz w:val="22"/>
          <w:szCs w:val="22"/>
          <w:lang w:val="es-ES"/>
        </w:rPr>
        <w:t>esmembramiento del predio 528385</w:t>
      </w:r>
      <w:r w:rsidRPr="006E0315">
        <w:rPr>
          <w:i/>
          <w:sz w:val="22"/>
          <w:szCs w:val="22"/>
          <w:lang w:val="es-ES"/>
        </w:rPr>
        <w:t xml:space="preserve"> que implica la ejecución de la sentencia y la contribución del área verde y, se continúe de esa manera con el proceso de ejecución y cumplimiento de la sentencia expedida; y, de esa manera se evite el inicio de posibles</w:t>
      </w:r>
      <w:r w:rsidR="005E518A">
        <w:rPr>
          <w:rFonts w:ascii="Palatino Linotype" w:hAnsi="Palatino Linotype"/>
          <w:b/>
          <w:i/>
          <w:sz w:val="22"/>
          <w:szCs w:val="22"/>
        </w:rPr>
        <w:t xml:space="preserve"> </w:t>
      </w:r>
      <w:r w:rsidRPr="006E0315">
        <w:rPr>
          <w:i/>
          <w:sz w:val="22"/>
          <w:szCs w:val="22"/>
          <w:lang w:val="es-ES"/>
        </w:rPr>
        <w:t>acciones constitucionales y legales por incumplimiento de sentencia por parte del administrado</w:t>
      </w:r>
      <w:r w:rsidRPr="006E0315">
        <w:rPr>
          <w:sz w:val="22"/>
          <w:szCs w:val="22"/>
          <w:lang w:val="es-ES"/>
        </w:rPr>
        <w:t>.</w:t>
      </w:r>
      <w:r>
        <w:rPr>
          <w:sz w:val="22"/>
          <w:szCs w:val="22"/>
          <w:lang w:val="es-ES"/>
        </w:rPr>
        <w:t>”</w:t>
      </w:r>
    </w:p>
    <w:p w:rsidR="002A247E" w:rsidRPr="00CD51C7" w:rsidRDefault="002A247E" w:rsidP="002A247E">
      <w:pPr>
        <w:tabs>
          <w:tab w:val="left" w:pos="1080"/>
        </w:tabs>
        <w:ind w:left="709" w:hanging="709"/>
        <w:jc w:val="both"/>
        <w:rPr>
          <w:rFonts w:ascii="Palatino Linotype" w:hAnsi="Palatino Linotype"/>
          <w:i/>
          <w:sz w:val="22"/>
          <w:szCs w:val="22"/>
          <w:lang w:val="es-ES"/>
        </w:rPr>
      </w:pPr>
    </w:p>
    <w:p w:rsidR="002A247E" w:rsidRPr="006E0315" w:rsidRDefault="002A247E" w:rsidP="002A247E">
      <w:pPr>
        <w:pStyle w:val="Default"/>
        <w:jc w:val="both"/>
        <w:rPr>
          <w:sz w:val="22"/>
          <w:szCs w:val="22"/>
        </w:rPr>
      </w:pPr>
      <w:r w:rsidRPr="006E0315">
        <w:rPr>
          <w:b/>
          <w:sz w:val="22"/>
          <w:szCs w:val="22"/>
          <w:lang w:val="es-EC"/>
        </w:rPr>
        <w:t xml:space="preserve">Que, </w:t>
      </w:r>
      <w:r w:rsidRPr="00CD51C7">
        <w:rPr>
          <w:sz w:val="22"/>
          <w:szCs w:val="22"/>
        </w:rPr>
        <w:t xml:space="preserve">mediante </w:t>
      </w:r>
      <w:r>
        <w:rPr>
          <w:sz w:val="22"/>
          <w:szCs w:val="22"/>
        </w:rPr>
        <w:t>oficio</w:t>
      </w:r>
      <w:r w:rsidRPr="00CD51C7">
        <w:rPr>
          <w:sz w:val="22"/>
          <w:szCs w:val="22"/>
        </w:rPr>
        <w:t xml:space="preserve"> Nro. </w:t>
      </w:r>
      <w:r w:rsidR="005E518A">
        <w:rPr>
          <w:sz w:val="22"/>
          <w:szCs w:val="22"/>
        </w:rPr>
        <w:t>GADDMQ-AZEE-2023-3619</w:t>
      </w:r>
      <w:r>
        <w:rPr>
          <w:sz w:val="22"/>
          <w:szCs w:val="22"/>
        </w:rPr>
        <w:t>-O</w:t>
      </w:r>
      <w:r w:rsidRPr="00CD51C7">
        <w:rPr>
          <w:sz w:val="22"/>
          <w:szCs w:val="22"/>
        </w:rPr>
        <w:t>, de</w:t>
      </w:r>
      <w:r>
        <w:rPr>
          <w:sz w:val="22"/>
          <w:szCs w:val="22"/>
        </w:rPr>
        <w:t xml:space="preserve"> </w:t>
      </w:r>
      <w:r w:rsidR="005E518A">
        <w:rPr>
          <w:sz w:val="22"/>
          <w:szCs w:val="22"/>
        </w:rPr>
        <w:t>1</w:t>
      </w:r>
      <w:r>
        <w:rPr>
          <w:sz w:val="22"/>
          <w:szCs w:val="22"/>
        </w:rPr>
        <w:t>6 de</w:t>
      </w:r>
      <w:r w:rsidRPr="00CD51C7">
        <w:rPr>
          <w:sz w:val="22"/>
          <w:szCs w:val="22"/>
        </w:rPr>
        <w:t xml:space="preserve"> </w:t>
      </w:r>
      <w:r>
        <w:rPr>
          <w:sz w:val="22"/>
          <w:szCs w:val="22"/>
        </w:rPr>
        <w:t xml:space="preserve">noviembre </w:t>
      </w:r>
      <w:r w:rsidRPr="00CD51C7">
        <w:rPr>
          <w:sz w:val="22"/>
          <w:szCs w:val="22"/>
        </w:rPr>
        <w:t xml:space="preserve">de 2023, </w:t>
      </w:r>
      <w:r>
        <w:rPr>
          <w:sz w:val="22"/>
          <w:szCs w:val="22"/>
        </w:rPr>
        <w:t xml:space="preserve">la Magister María Fernanda Guillén Palacios </w:t>
      </w:r>
      <w:r w:rsidRPr="00CD51C7">
        <w:rPr>
          <w:sz w:val="22"/>
          <w:szCs w:val="22"/>
        </w:rPr>
        <w:t xml:space="preserve">, </w:t>
      </w:r>
      <w:r>
        <w:rPr>
          <w:sz w:val="22"/>
          <w:szCs w:val="22"/>
        </w:rPr>
        <w:t xml:space="preserve">Administradora </w:t>
      </w:r>
      <w:r w:rsidRPr="00CD51C7">
        <w:rPr>
          <w:sz w:val="22"/>
          <w:szCs w:val="22"/>
        </w:rPr>
        <w:t xml:space="preserve">de la Administración Zonal </w:t>
      </w:r>
      <w:r>
        <w:rPr>
          <w:sz w:val="22"/>
          <w:szCs w:val="22"/>
        </w:rPr>
        <w:t>Eugenio Espejo del Municipio del distrito Metropolitano de Quito, en su parte pertinente señala: “</w:t>
      </w:r>
      <w:r w:rsidRPr="006E0315">
        <w:rPr>
          <w:i/>
          <w:sz w:val="22"/>
          <w:szCs w:val="22"/>
        </w:rPr>
        <w:t>Con estos antecedentes y en cumplimiento de lo previsto en la letra a) del artículo 5 del instructivo de 16 de noviembre de 2022 expedido por la Procuraduría Metropolitana para atenderé estos temas, esta Administración Zonal acogiendo los informes técnico y legal anteriormente señalados, emite INFORME FAVORABLE para la continuidad del presente trámite, es decir previo dictamen de la Comisión a su cargo se obtenga del Concejo Metropolitano la resolución de fraccionamiento que implica la ejecución de la presente sentencia y la contribución de área verde</w:t>
      </w:r>
      <w:r>
        <w:rPr>
          <w:sz w:val="22"/>
          <w:szCs w:val="22"/>
        </w:rPr>
        <w:t>.”</w:t>
      </w:r>
    </w:p>
    <w:p w:rsidR="002A247E" w:rsidRDefault="002A247E" w:rsidP="002A247E">
      <w:pPr>
        <w:pStyle w:val="Default"/>
        <w:ind w:left="708" w:hanging="708"/>
        <w:jc w:val="both"/>
        <w:rPr>
          <w:b/>
          <w:sz w:val="22"/>
          <w:szCs w:val="22"/>
        </w:rPr>
      </w:pPr>
    </w:p>
    <w:p w:rsidR="002A247E" w:rsidRPr="00327A8D" w:rsidRDefault="002A247E" w:rsidP="002A247E">
      <w:pPr>
        <w:pStyle w:val="Default"/>
        <w:ind w:left="708" w:hanging="708"/>
        <w:jc w:val="both"/>
        <w:rPr>
          <w:sz w:val="22"/>
          <w:szCs w:val="22"/>
        </w:rPr>
      </w:pPr>
      <w:r w:rsidRPr="00327A8D">
        <w:rPr>
          <w:b/>
          <w:sz w:val="22"/>
          <w:szCs w:val="22"/>
        </w:rPr>
        <w:lastRenderedPageBreak/>
        <w:t xml:space="preserve">Que </w:t>
      </w:r>
      <w:r w:rsidRPr="00327A8D">
        <w:rPr>
          <w:b/>
          <w:sz w:val="22"/>
          <w:szCs w:val="22"/>
        </w:rPr>
        <w:tab/>
      </w:r>
      <w:r w:rsidRPr="00327A8D">
        <w:rPr>
          <w:sz w:val="22"/>
          <w:szCs w:val="22"/>
        </w:rPr>
        <w:t xml:space="preserve">la Comisión de Uso de Suelo en ordinaria Nro. </w:t>
      </w:r>
      <w:r>
        <w:rPr>
          <w:sz w:val="22"/>
          <w:szCs w:val="22"/>
        </w:rPr>
        <w:t>000 - Ordinaria</w:t>
      </w:r>
      <w:r w:rsidRPr="00327A8D">
        <w:rPr>
          <w:sz w:val="22"/>
          <w:szCs w:val="22"/>
        </w:rPr>
        <w:t xml:space="preserve">, de </w:t>
      </w:r>
      <w:r>
        <w:rPr>
          <w:sz w:val="22"/>
          <w:szCs w:val="22"/>
        </w:rPr>
        <w:t xml:space="preserve">00 </w:t>
      </w:r>
      <w:r w:rsidRPr="00327A8D">
        <w:rPr>
          <w:sz w:val="22"/>
          <w:szCs w:val="22"/>
        </w:rPr>
        <w:t xml:space="preserve">de </w:t>
      </w:r>
      <w:proofErr w:type="spellStart"/>
      <w:r>
        <w:rPr>
          <w:sz w:val="22"/>
          <w:szCs w:val="22"/>
        </w:rPr>
        <w:t>xxxxxxxx</w:t>
      </w:r>
      <w:proofErr w:type="spellEnd"/>
      <w:r>
        <w:rPr>
          <w:sz w:val="22"/>
          <w:szCs w:val="22"/>
        </w:rPr>
        <w:t xml:space="preserve"> </w:t>
      </w:r>
      <w:r w:rsidRPr="00327A8D">
        <w:rPr>
          <w:sz w:val="22"/>
          <w:szCs w:val="22"/>
        </w:rPr>
        <w:t>de 202</w:t>
      </w:r>
      <w:r>
        <w:rPr>
          <w:sz w:val="22"/>
          <w:szCs w:val="22"/>
        </w:rPr>
        <w:t>4</w:t>
      </w:r>
      <w:r w:rsidRPr="00327A8D">
        <w:rPr>
          <w:sz w:val="22"/>
          <w:szCs w:val="22"/>
        </w:rPr>
        <w:t>, analizó los informes técnicos y legales, que reposan en el expediente,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w:t>
      </w:r>
    </w:p>
    <w:p w:rsidR="002A247E" w:rsidRPr="00327A8D" w:rsidRDefault="002A247E" w:rsidP="002A247E">
      <w:pPr>
        <w:autoSpaceDE w:val="0"/>
        <w:autoSpaceDN w:val="0"/>
        <w:adjustRightInd w:val="0"/>
        <w:ind w:left="1416" w:hanging="1416"/>
        <w:jc w:val="both"/>
        <w:rPr>
          <w:rFonts w:ascii="Palatino Linotype" w:eastAsiaTheme="minorHAnsi" w:hAnsi="Palatino Linotype"/>
          <w:sz w:val="22"/>
          <w:szCs w:val="22"/>
          <w:lang w:eastAsia="en-US"/>
        </w:rPr>
      </w:pPr>
    </w:p>
    <w:p w:rsidR="002A247E" w:rsidRPr="00327A8D" w:rsidRDefault="002A247E" w:rsidP="002A247E">
      <w:pPr>
        <w:autoSpaceDE w:val="0"/>
        <w:autoSpaceDN w:val="0"/>
        <w:adjustRightInd w:val="0"/>
        <w:ind w:left="709" w:hanging="709"/>
        <w:jc w:val="both"/>
        <w:rPr>
          <w:rFonts w:ascii="Palatino Linotype" w:eastAsiaTheme="minorHAnsi" w:hAnsi="Palatino Linotype"/>
          <w:sz w:val="22"/>
          <w:szCs w:val="22"/>
          <w:lang w:eastAsia="en-US"/>
        </w:rPr>
      </w:pPr>
      <w:r w:rsidRPr="00327A8D">
        <w:rPr>
          <w:rFonts w:ascii="Palatino Linotype" w:eastAsiaTheme="minorHAnsi" w:hAnsi="Palatino Linotype"/>
          <w:b/>
          <w:sz w:val="22"/>
          <w:szCs w:val="22"/>
          <w:lang w:eastAsia="en-US"/>
        </w:rPr>
        <w:t xml:space="preserve">Que </w:t>
      </w:r>
      <w:r w:rsidRPr="00327A8D">
        <w:rPr>
          <w:rFonts w:ascii="Palatino Linotype" w:eastAsiaTheme="minorHAnsi" w:hAnsi="Palatino Linotype"/>
          <w:b/>
          <w:sz w:val="22"/>
          <w:szCs w:val="22"/>
          <w:lang w:eastAsia="en-US"/>
        </w:rPr>
        <w:tab/>
      </w:r>
      <w:r w:rsidRPr="00327A8D">
        <w:rPr>
          <w:rFonts w:ascii="Palatino Linotype" w:eastAsiaTheme="minorHAnsi" w:hAnsi="Palatino Linotype"/>
          <w:sz w:val="22"/>
          <w:szCs w:val="22"/>
          <w:lang w:eastAsia="en-US"/>
        </w:rPr>
        <w:t xml:space="preserve">el Concejo Metropolitano de Quito, en sesión pública ordinaria realizada el </w:t>
      </w:r>
      <w:r>
        <w:rPr>
          <w:rFonts w:ascii="Palatino Linotype" w:eastAsiaTheme="minorHAnsi" w:hAnsi="Palatino Linotype"/>
          <w:sz w:val="22"/>
          <w:szCs w:val="22"/>
          <w:lang w:eastAsia="en-US"/>
        </w:rPr>
        <w:t xml:space="preserve">xx </w:t>
      </w:r>
      <w:r w:rsidRPr="00327A8D">
        <w:rPr>
          <w:rFonts w:ascii="Palatino Linotype" w:eastAsiaTheme="minorHAnsi" w:hAnsi="Palatino Linotype"/>
          <w:sz w:val="22"/>
          <w:szCs w:val="22"/>
          <w:lang w:eastAsia="en-US"/>
        </w:rPr>
        <w:t xml:space="preserve">de </w:t>
      </w:r>
      <w:proofErr w:type="spellStart"/>
      <w:r>
        <w:rPr>
          <w:rFonts w:ascii="Palatino Linotype" w:eastAsiaTheme="minorHAnsi" w:hAnsi="Palatino Linotype"/>
          <w:sz w:val="22"/>
          <w:szCs w:val="22"/>
          <w:lang w:eastAsia="en-US"/>
        </w:rPr>
        <w:t>xxxx</w:t>
      </w:r>
      <w:proofErr w:type="spellEnd"/>
      <w:r>
        <w:rPr>
          <w:rFonts w:ascii="Palatino Linotype" w:eastAsiaTheme="minorHAnsi" w:hAnsi="Palatino Linotype"/>
          <w:sz w:val="22"/>
          <w:szCs w:val="22"/>
          <w:lang w:eastAsia="en-US"/>
        </w:rPr>
        <w:t xml:space="preserve"> </w:t>
      </w:r>
      <w:r w:rsidRPr="00327A8D">
        <w:rPr>
          <w:rFonts w:ascii="Palatino Linotype" w:eastAsiaTheme="minorHAnsi" w:hAnsi="Palatino Linotype"/>
          <w:sz w:val="22"/>
          <w:szCs w:val="22"/>
          <w:lang w:eastAsia="en-US"/>
        </w:rPr>
        <w:t xml:space="preserve"> </w:t>
      </w:r>
      <w:r>
        <w:rPr>
          <w:rFonts w:ascii="Palatino Linotype" w:eastAsiaTheme="minorHAnsi" w:hAnsi="Palatino Linotype"/>
          <w:sz w:val="22"/>
          <w:szCs w:val="22"/>
          <w:lang w:eastAsia="en-US"/>
        </w:rPr>
        <w:t>de 2024</w:t>
      </w:r>
      <w:r w:rsidRPr="00327A8D">
        <w:rPr>
          <w:rFonts w:ascii="Palatino Linotype" w:eastAsiaTheme="minorHAnsi" w:hAnsi="Palatino Linotype"/>
          <w:sz w:val="22"/>
          <w:szCs w:val="22"/>
          <w:lang w:eastAsia="en-US"/>
        </w:rPr>
        <w:t>, analizó el informe Nro. IC-CUS-202</w:t>
      </w:r>
      <w:r>
        <w:rPr>
          <w:rFonts w:ascii="Palatino Linotype" w:eastAsiaTheme="minorHAnsi" w:hAnsi="Palatino Linotype"/>
          <w:sz w:val="22"/>
          <w:szCs w:val="22"/>
          <w:lang w:eastAsia="en-US"/>
        </w:rPr>
        <w:t>4</w:t>
      </w:r>
      <w:r w:rsidRPr="00327A8D">
        <w:rPr>
          <w:rFonts w:ascii="Palatino Linotype" w:eastAsiaTheme="minorHAnsi" w:hAnsi="Palatino Linotype"/>
          <w:sz w:val="22"/>
          <w:szCs w:val="22"/>
          <w:lang w:eastAsia="en-US"/>
        </w:rPr>
        <w:t>-</w:t>
      </w:r>
      <w:r>
        <w:rPr>
          <w:rFonts w:ascii="Palatino Linotype" w:eastAsiaTheme="minorHAnsi" w:hAnsi="Palatino Linotype"/>
          <w:sz w:val="22"/>
          <w:szCs w:val="22"/>
          <w:lang w:eastAsia="en-US"/>
        </w:rPr>
        <w:t>xxx</w:t>
      </w:r>
      <w:r w:rsidRPr="00327A8D">
        <w:rPr>
          <w:rFonts w:ascii="Palatino Linotype" w:eastAsiaTheme="minorHAnsi" w:hAnsi="Palatino Linotype"/>
          <w:sz w:val="22"/>
          <w:szCs w:val="22"/>
          <w:lang w:eastAsia="en-US"/>
        </w:rPr>
        <w:t>, emitido por la Comisión de Uso de Suelo; y,</w:t>
      </w:r>
    </w:p>
    <w:p w:rsidR="002A247E" w:rsidRPr="00327A8D" w:rsidRDefault="002A247E" w:rsidP="002A247E">
      <w:pPr>
        <w:autoSpaceDE w:val="0"/>
        <w:autoSpaceDN w:val="0"/>
        <w:adjustRightInd w:val="0"/>
        <w:jc w:val="both"/>
        <w:rPr>
          <w:rFonts w:ascii="Palatino Linotype" w:eastAsiaTheme="minorHAnsi" w:hAnsi="Palatino Linotype"/>
          <w:sz w:val="22"/>
          <w:szCs w:val="22"/>
          <w:lang w:eastAsia="en-US"/>
        </w:rPr>
      </w:pPr>
    </w:p>
    <w:p w:rsidR="002A247E" w:rsidRPr="00327A8D" w:rsidRDefault="002A247E" w:rsidP="002A247E">
      <w:pPr>
        <w:autoSpaceDE w:val="0"/>
        <w:autoSpaceDN w:val="0"/>
        <w:adjustRightInd w:val="0"/>
        <w:jc w:val="both"/>
        <w:rPr>
          <w:rFonts w:ascii="Palatino Linotype" w:eastAsiaTheme="minorHAnsi" w:hAnsi="Palatino Linotype"/>
          <w:b/>
          <w:bCs/>
          <w:sz w:val="22"/>
          <w:szCs w:val="22"/>
          <w:lang w:eastAsia="en-US"/>
        </w:rPr>
      </w:pPr>
      <w:r w:rsidRPr="00327A8D">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2A247E" w:rsidRDefault="002A247E" w:rsidP="002A247E">
      <w:pPr>
        <w:autoSpaceDE w:val="0"/>
        <w:autoSpaceDN w:val="0"/>
        <w:adjustRightInd w:val="0"/>
        <w:jc w:val="both"/>
        <w:rPr>
          <w:rFonts w:ascii="Palatino Linotype" w:eastAsiaTheme="minorHAnsi" w:hAnsi="Palatino Linotype"/>
          <w:b/>
          <w:bCs/>
          <w:sz w:val="22"/>
          <w:szCs w:val="22"/>
          <w:lang w:eastAsia="en-US"/>
        </w:rPr>
      </w:pPr>
    </w:p>
    <w:p w:rsidR="002A247E" w:rsidRPr="00327A8D" w:rsidRDefault="002A247E" w:rsidP="002A247E">
      <w:pPr>
        <w:autoSpaceDE w:val="0"/>
        <w:autoSpaceDN w:val="0"/>
        <w:adjustRightInd w:val="0"/>
        <w:jc w:val="both"/>
        <w:rPr>
          <w:rFonts w:ascii="Palatino Linotype" w:eastAsiaTheme="minorHAnsi" w:hAnsi="Palatino Linotype"/>
          <w:b/>
          <w:bCs/>
          <w:sz w:val="22"/>
          <w:szCs w:val="22"/>
          <w:lang w:eastAsia="en-US"/>
        </w:rPr>
      </w:pPr>
    </w:p>
    <w:p w:rsidR="002A247E" w:rsidRPr="00327A8D" w:rsidRDefault="002A247E" w:rsidP="002A247E">
      <w:pPr>
        <w:autoSpaceDE w:val="0"/>
        <w:autoSpaceDN w:val="0"/>
        <w:adjustRightInd w:val="0"/>
        <w:jc w:val="center"/>
        <w:rPr>
          <w:rFonts w:ascii="Palatino Linotype" w:eastAsiaTheme="minorHAnsi" w:hAnsi="Palatino Linotype"/>
          <w:b/>
          <w:bCs/>
          <w:sz w:val="22"/>
          <w:szCs w:val="22"/>
          <w:lang w:eastAsia="en-US"/>
        </w:rPr>
      </w:pPr>
      <w:r w:rsidRPr="00327A8D">
        <w:rPr>
          <w:rFonts w:ascii="Palatino Linotype" w:eastAsiaTheme="minorHAnsi" w:hAnsi="Palatino Linotype"/>
          <w:b/>
          <w:bCs/>
          <w:sz w:val="22"/>
          <w:szCs w:val="22"/>
          <w:lang w:eastAsia="en-US"/>
        </w:rPr>
        <w:t>RESUELVE:</w:t>
      </w:r>
    </w:p>
    <w:p w:rsidR="002A247E" w:rsidRPr="00327A8D" w:rsidRDefault="002A247E" w:rsidP="002A247E">
      <w:pPr>
        <w:autoSpaceDE w:val="0"/>
        <w:autoSpaceDN w:val="0"/>
        <w:adjustRightInd w:val="0"/>
        <w:jc w:val="both"/>
        <w:rPr>
          <w:rFonts w:ascii="Palatino Linotype" w:eastAsiaTheme="minorHAnsi" w:hAnsi="Palatino Linotype"/>
          <w:sz w:val="22"/>
          <w:szCs w:val="22"/>
          <w:lang w:eastAsia="en-US"/>
        </w:rPr>
      </w:pPr>
    </w:p>
    <w:p w:rsidR="002A247E" w:rsidRPr="00283EDC" w:rsidRDefault="002A247E" w:rsidP="002A247E">
      <w:pPr>
        <w:autoSpaceDE w:val="0"/>
        <w:autoSpaceDN w:val="0"/>
        <w:adjustRightInd w:val="0"/>
        <w:jc w:val="both"/>
        <w:rPr>
          <w:rFonts w:ascii="Palatino Linotype" w:hAnsi="Palatino Linotype" w:cs="Arial"/>
          <w:sz w:val="22"/>
          <w:szCs w:val="22"/>
        </w:rPr>
      </w:pPr>
      <w:r w:rsidRPr="00327A8D">
        <w:rPr>
          <w:rFonts w:ascii="Palatino Linotype" w:hAnsi="Palatino Linotype" w:cs="Arial"/>
          <w:b/>
          <w:sz w:val="22"/>
          <w:szCs w:val="22"/>
        </w:rPr>
        <w:t>Artículo 1.-</w:t>
      </w:r>
      <w:r w:rsidRPr="00327A8D">
        <w:rPr>
          <w:rFonts w:ascii="Palatino Linotype" w:hAnsi="Palatino Linotype" w:cs="Arial"/>
          <w:sz w:val="22"/>
          <w:szCs w:val="22"/>
        </w:rPr>
        <w:t xml:space="preserve"> </w:t>
      </w:r>
      <w:r w:rsidRPr="00EA337F">
        <w:rPr>
          <w:rFonts w:ascii="Palatino Linotype" w:hAnsi="Palatino Linotype" w:cs="Arial"/>
          <w:sz w:val="22"/>
          <w:szCs w:val="22"/>
        </w:rPr>
        <w:t xml:space="preserve">Autorizar la subdivisión del predio </w:t>
      </w:r>
      <w:r w:rsidR="005E518A">
        <w:rPr>
          <w:rFonts w:ascii="Palatino Linotype" w:hAnsi="Palatino Linotype"/>
          <w:sz w:val="22"/>
          <w:szCs w:val="22"/>
        </w:rPr>
        <w:t>528385</w:t>
      </w:r>
      <w:r w:rsidRPr="00EA337F">
        <w:rPr>
          <w:rFonts w:ascii="Palatino Linotype" w:hAnsi="Palatino Linotype" w:cs="Arial"/>
          <w:sz w:val="22"/>
          <w:szCs w:val="22"/>
        </w:rPr>
        <w:t xml:space="preserve">, </w:t>
      </w:r>
      <w:r w:rsidRPr="00137AEA">
        <w:rPr>
          <w:rFonts w:ascii="Palatino Linotype" w:hAnsi="Palatino Linotype"/>
          <w:sz w:val="22"/>
          <w:szCs w:val="22"/>
        </w:rPr>
        <w:t xml:space="preserve">clave catastral Nro. </w:t>
      </w:r>
      <w:r w:rsidR="005E518A">
        <w:rPr>
          <w:rFonts w:ascii="Palatino Linotype" w:hAnsi="Palatino Linotype" w:cs="Arial"/>
          <w:sz w:val="22"/>
          <w:szCs w:val="22"/>
        </w:rPr>
        <w:t>11911 01 005</w:t>
      </w:r>
      <w:r>
        <w:rPr>
          <w:rFonts w:ascii="Palatino Linotype" w:hAnsi="Palatino Linotype" w:cs="Arial"/>
          <w:sz w:val="22"/>
          <w:szCs w:val="22"/>
        </w:rPr>
        <w:t xml:space="preserve">, </w:t>
      </w:r>
      <w:r w:rsidRPr="00EA337F">
        <w:rPr>
          <w:rFonts w:ascii="Palatino Linotype" w:hAnsi="Palatino Linotype" w:cs="Arial"/>
          <w:sz w:val="22"/>
          <w:szCs w:val="22"/>
        </w:rPr>
        <w:t xml:space="preserve">cambiando las condiciones de ese inmueble en particular y generando una excepción a las condiciones generales, de conformidad con la sentencia emitida dentro del proceso judicial No. </w:t>
      </w:r>
      <w:r w:rsidR="005E518A">
        <w:rPr>
          <w:rFonts w:ascii="Palatino Linotype" w:hAnsi="Palatino Linotype"/>
          <w:sz w:val="22"/>
          <w:szCs w:val="22"/>
        </w:rPr>
        <w:t>17230-2019-010572</w:t>
      </w:r>
      <w:r w:rsidRPr="00EA337F">
        <w:rPr>
          <w:rFonts w:ascii="Palatino Linotype" w:hAnsi="Palatino Linotype" w:cs="Arial"/>
          <w:sz w:val="22"/>
          <w:szCs w:val="22"/>
        </w:rPr>
        <w:t xml:space="preserve">, mediante la cual la Jueza de la Unidad Judicial Civil con sede en la parroquia </w:t>
      </w:r>
      <w:r>
        <w:rPr>
          <w:rFonts w:ascii="Palatino Linotype" w:hAnsi="Palatino Linotype" w:cs="Arial"/>
          <w:sz w:val="22"/>
          <w:szCs w:val="22"/>
        </w:rPr>
        <w:t xml:space="preserve">Iñaquito </w:t>
      </w:r>
      <w:r w:rsidRPr="00EA337F">
        <w:rPr>
          <w:rFonts w:ascii="Palatino Linotype" w:hAnsi="Palatino Linotype" w:cs="Arial"/>
          <w:sz w:val="22"/>
          <w:szCs w:val="22"/>
        </w:rPr>
        <w:t>del Distrito Metropolitano de Quito, acepta la demanda y declara la Prescripción Extraordinaria Adquisitiva de Dominio que ha operado a favor de</w:t>
      </w:r>
      <w:r w:rsidR="005E518A">
        <w:rPr>
          <w:rFonts w:ascii="Palatino Linotype" w:hAnsi="Palatino Linotype" w:cs="Arial"/>
          <w:sz w:val="22"/>
          <w:szCs w:val="22"/>
        </w:rPr>
        <w:t xml:space="preserve"> los cónyuges</w:t>
      </w:r>
      <w:r w:rsidR="005E518A" w:rsidRPr="005E518A">
        <w:t xml:space="preserve"> </w:t>
      </w:r>
      <w:r w:rsidR="005E518A">
        <w:t>MONICA PATRICIA CASTILLO LOPEZ y CARLOS EFRAIN CARLOSAMA CAMPUES</w:t>
      </w:r>
      <w:r w:rsidRPr="00EA337F">
        <w:rPr>
          <w:rFonts w:ascii="Palatino Linotype" w:hAnsi="Palatino Linotype" w:cs="Arial"/>
          <w:sz w:val="22"/>
          <w:szCs w:val="22"/>
        </w:rPr>
        <w:t xml:space="preserve">, </w:t>
      </w:r>
      <w:r w:rsidR="005E518A">
        <w:rPr>
          <w:rFonts w:ascii="Palatino Linotype" w:hAnsi="Palatino Linotype" w:cs="Arial"/>
          <w:sz w:val="22"/>
          <w:szCs w:val="22"/>
        </w:rPr>
        <w:t xml:space="preserve">en el lote </w:t>
      </w:r>
      <w:r w:rsidRPr="00993392">
        <w:rPr>
          <w:rFonts w:ascii="Palatino Linotype" w:hAnsi="Palatino Linotype" w:cs="Arial"/>
          <w:sz w:val="22"/>
          <w:szCs w:val="22"/>
        </w:rPr>
        <w:t xml:space="preserve">de </w:t>
      </w:r>
      <w:r w:rsidR="002E4D71">
        <w:t>terreno de 187,10</w:t>
      </w:r>
      <w:r w:rsidRPr="00993392">
        <w:t xml:space="preserve"> m2</w:t>
      </w:r>
      <w:r w:rsidRPr="00283EDC">
        <w:rPr>
          <w:rFonts w:ascii="Palatino Linotype" w:hAnsi="Palatino Linotype" w:cs="Arial"/>
          <w:sz w:val="22"/>
          <w:szCs w:val="22"/>
        </w:rPr>
        <w:t xml:space="preserve">. </w:t>
      </w:r>
    </w:p>
    <w:p w:rsidR="002A247E" w:rsidRPr="00327A8D" w:rsidRDefault="002A247E" w:rsidP="002A247E">
      <w:pPr>
        <w:autoSpaceDE w:val="0"/>
        <w:autoSpaceDN w:val="0"/>
        <w:adjustRightInd w:val="0"/>
        <w:jc w:val="both"/>
        <w:rPr>
          <w:rFonts w:ascii="Palatino Linotype" w:hAnsi="Palatino Linotype" w:cs="Arial"/>
          <w:sz w:val="22"/>
          <w:szCs w:val="22"/>
        </w:rPr>
      </w:pPr>
    </w:p>
    <w:p w:rsidR="002A247E" w:rsidRPr="00327A8D" w:rsidRDefault="002A247E" w:rsidP="002A247E">
      <w:pPr>
        <w:autoSpaceDE w:val="0"/>
        <w:autoSpaceDN w:val="0"/>
        <w:adjustRightInd w:val="0"/>
        <w:jc w:val="both"/>
        <w:rPr>
          <w:rFonts w:ascii="Palatino Linotype" w:hAnsi="Palatino Linotype" w:cs="Arial"/>
          <w:sz w:val="22"/>
          <w:szCs w:val="22"/>
        </w:rPr>
      </w:pPr>
      <w:r w:rsidRPr="00327A8D">
        <w:rPr>
          <w:rFonts w:ascii="Palatino Linotype" w:hAnsi="Palatino Linotype" w:cs="Arial"/>
          <w:sz w:val="22"/>
          <w:szCs w:val="22"/>
        </w:rPr>
        <w:t xml:space="preserve">De conformidad con lo dispuesto en el artículo </w:t>
      </w:r>
      <w:r>
        <w:rPr>
          <w:rFonts w:ascii="Palatino Linotype" w:hAnsi="Palatino Linotype" w:cs="Arial"/>
          <w:sz w:val="22"/>
          <w:szCs w:val="22"/>
        </w:rPr>
        <w:t>2567</w:t>
      </w:r>
      <w:r w:rsidRPr="00327A8D">
        <w:rPr>
          <w:rFonts w:ascii="Palatino Linotype" w:hAnsi="Palatino Linotype" w:cs="Arial"/>
          <w:sz w:val="22"/>
          <w:szCs w:val="22"/>
        </w:rPr>
        <w:t xml:space="preserve"> del Código Municipal para el Distrito Metropolitano de Quito, </w:t>
      </w:r>
      <w:r w:rsidR="002E4D71">
        <w:rPr>
          <w:rFonts w:ascii="Palatino Linotype" w:hAnsi="Palatino Linotype" w:cs="Arial"/>
          <w:sz w:val="22"/>
          <w:szCs w:val="22"/>
        </w:rPr>
        <w:t>los cónyuges</w:t>
      </w:r>
      <w:r w:rsidR="002E4D71" w:rsidRPr="002E4D71">
        <w:t xml:space="preserve"> </w:t>
      </w:r>
      <w:r w:rsidR="002E4D71">
        <w:t>MONICA PATRICIA CASTILLO LOPEZ y CARLOS EFRAIN CARLOSAMA CAMPUES</w:t>
      </w:r>
      <w:r w:rsidRPr="00EA337F">
        <w:rPr>
          <w:rFonts w:ascii="Palatino Linotype" w:hAnsi="Palatino Linotype" w:cs="Arial"/>
          <w:sz w:val="22"/>
          <w:szCs w:val="22"/>
        </w:rPr>
        <w:t>, deberá</w:t>
      </w:r>
      <w:r>
        <w:rPr>
          <w:rFonts w:ascii="Palatino Linotype" w:hAnsi="Palatino Linotype" w:cs="Arial"/>
          <w:sz w:val="22"/>
          <w:szCs w:val="22"/>
        </w:rPr>
        <w:t>n</w:t>
      </w:r>
      <w:r w:rsidRPr="00EA337F">
        <w:rPr>
          <w:rFonts w:ascii="Palatino Linotype" w:hAnsi="Palatino Linotype" w:cs="Arial"/>
          <w:sz w:val="22"/>
          <w:szCs w:val="22"/>
        </w:rPr>
        <w:t xml:space="preserve"> compensar en valor monetario, la contribución del 15% del área útil adjudicada</w:t>
      </w:r>
      <w:r w:rsidRPr="00327A8D">
        <w:rPr>
          <w:rFonts w:ascii="Palatino Linotype" w:hAnsi="Palatino Linotype" w:cs="Arial"/>
          <w:sz w:val="22"/>
          <w:szCs w:val="22"/>
        </w:rPr>
        <w:t xml:space="preserve">, de acuerdo con el cálculo que realice la </w:t>
      </w:r>
      <w:r>
        <w:rPr>
          <w:rFonts w:ascii="Palatino Linotype" w:hAnsi="Palatino Linotype" w:cs="Arial"/>
          <w:sz w:val="22"/>
          <w:szCs w:val="22"/>
        </w:rPr>
        <w:t>Administración Zonal competente con base a la normativa vigente.</w:t>
      </w:r>
    </w:p>
    <w:p w:rsidR="002A247E" w:rsidRDefault="002A247E" w:rsidP="002A247E">
      <w:pPr>
        <w:autoSpaceDE w:val="0"/>
        <w:autoSpaceDN w:val="0"/>
        <w:adjustRightInd w:val="0"/>
        <w:jc w:val="both"/>
        <w:rPr>
          <w:rFonts w:ascii="Palatino Linotype" w:eastAsiaTheme="minorHAnsi" w:hAnsi="Palatino Linotype"/>
          <w:sz w:val="22"/>
          <w:szCs w:val="22"/>
          <w:lang w:eastAsia="en-US"/>
        </w:rPr>
      </w:pPr>
    </w:p>
    <w:p w:rsidR="002A247E" w:rsidRPr="00327A8D" w:rsidRDefault="002A247E" w:rsidP="002A247E">
      <w:pPr>
        <w:autoSpaceDE w:val="0"/>
        <w:autoSpaceDN w:val="0"/>
        <w:adjustRightInd w:val="0"/>
        <w:jc w:val="both"/>
        <w:rPr>
          <w:rFonts w:ascii="Palatino Linotype" w:eastAsiaTheme="minorHAnsi" w:hAnsi="Palatino Linotype"/>
          <w:sz w:val="22"/>
          <w:szCs w:val="22"/>
          <w:lang w:eastAsia="en-US"/>
        </w:rPr>
      </w:pPr>
    </w:p>
    <w:p w:rsidR="002A247E" w:rsidRPr="00327A8D" w:rsidRDefault="002A247E" w:rsidP="002A247E">
      <w:pPr>
        <w:autoSpaceDE w:val="0"/>
        <w:autoSpaceDN w:val="0"/>
        <w:adjustRightInd w:val="0"/>
        <w:jc w:val="center"/>
        <w:rPr>
          <w:rFonts w:ascii="Palatino Linotype" w:eastAsiaTheme="minorHAnsi" w:hAnsi="Palatino Linotype"/>
          <w:b/>
          <w:sz w:val="22"/>
          <w:szCs w:val="22"/>
          <w:lang w:eastAsia="en-US"/>
        </w:rPr>
      </w:pPr>
      <w:r w:rsidRPr="00327A8D">
        <w:rPr>
          <w:rFonts w:ascii="Palatino Linotype" w:eastAsiaTheme="minorHAnsi" w:hAnsi="Palatino Linotype"/>
          <w:b/>
          <w:sz w:val="22"/>
          <w:szCs w:val="22"/>
          <w:lang w:eastAsia="en-US"/>
        </w:rPr>
        <w:t>DISPOSICIONES GENERALES:</w:t>
      </w:r>
    </w:p>
    <w:p w:rsidR="002A247E" w:rsidRPr="00327A8D" w:rsidRDefault="002A247E" w:rsidP="002A247E">
      <w:pPr>
        <w:autoSpaceDE w:val="0"/>
        <w:autoSpaceDN w:val="0"/>
        <w:adjustRightInd w:val="0"/>
        <w:jc w:val="both"/>
        <w:rPr>
          <w:rFonts w:ascii="Palatino Linotype" w:eastAsiaTheme="minorHAnsi" w:hAnsi="Palatino Linotype"/>
          <w:b/>
          <w:sz w:val="22"/>
          <w:szCs w:val="22"/>
          <w:lang w:eastAsia="en-US"/>
        </w:rPr>
      </w:pPr>
    </w:p>
    <w:p w:rsidR="002A247E" w:rsidRPr="00327A8D" w:rsidRDefault="002A247E" w:rsidP="002A247E">
      <w:pPr>
        <w:autoSpaceDE w:val="0"/>
        <w:autoSpaceDN w:val="0"/>
        <w:adjustRightInd w:val="0"/>
        <w:jc w:val="both"/>
        <w:rPr>
          <w:rFonts w:ascii="Palatino Linotype" w:eastAsiaTheme="minorHAnsi" w:hAnsi="Palatino Linotype"/>
          <w:sz w:val="22"/>
          <w:szCs w:val="22"/>
          <w:lang w:eastAsia="en-US"/>
        </w:rPr>
      </w:pPr>
      <w:r w:rsidRPr="00327A8D">
        <w:rPr>
          <w:rFonts w:ascii="Palatino Linotype" w:eastAsiaTheme="minorHAnsi" w:hAnsi="Palatino Linotype"/>
          <w:b/>
          <w:sz w:val="22"/>
          <w:szCs w:val="22"/>
          <w:lang w:eastAsia="en-US"/>
        </w:rPr>
        <w:t xml:space="preserve">Primera. - </w:t>
      </w:r>
      <w:r w:rsidRPr="00327A8D">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2A247E" w:rsidRPr="00327A8D" w:rsidRDefault="002A247E" w:rsidP="002A247E">
      <w:pPr>
        <w:autoSpaceDE w:val="0"/>
        <w:autoSpaceDN w:val="0"/>
        <w:adjustRightInd w:val="0"/>
        <w:rPr>
          <w:rFonts w:ascii="Palatino Linotype" w:eastAsiaTheme="minorHAnsi" w:hAnsi="Palatino Linotype"/>
          <w:sz w:val="22"/>
          <w:szCs w:val="22"/>
          <w:lang w:eastAsia="en-US"/>
        </w:rPr>
      </w:pPr>
    </w:p>
    <w:p w:rsidR="002A247E" w:rsidRPr="00327A8D" w:rsidRDefault="002A247E" w:rsidP="002A247E">
      <w:pPr>
        <w:autoSpaceDE w:val="0"/>
        <w:autoSpaceDN w:val="0"/>
        <w:adjustRightInd w:val="0"/>
        <w:rPr>
          <w:rFonts w:ascii="Palatino Linotype" w:eastAsiaTheme="minorHAnsi" w:hAnsi="Palatino Linotype"/>
          <w:sz w:val="22"/>
          <w:szCs w:val="22"/>
          <w:lang w:eastAsia="en-US"/>
        </w:rPr>
      </w:pPr>
      <w:r w:rsidRPr="00327A8D">
        <w:rPr>
          <w:rFonts w:ascii="Palatino Linotype" w:eastAsiaTheme="minorHAnsi" w:hAnsi="Palatino Linotype"/>
          <w:b/>
          <w:sz w:val="22"/>
          <w:szCs w:val="22"/>
          <w:lang w:eastAsia="en-US"/>
        </w:rPr>
        <w:t>Segunda. -</w:t>
      </w:r>
      <w:r w:rsidRPr="00327A8D">
        <w:rPr>
          <w:rFonts w:ascii="Palatino Linotype" w:eastAsiaTheme="minorHAnsi" w:hAnsi="Palatino Linotype"/>
          <w:sz w:val="22"/>
          <w:szCs w:val="22"/>
          <w:lang w:eastAsia="en-US"/>
        </w:rPr>
        <w:t xml:space="preserve"> La p</w:t>
      </w:r>
      <w:r>
        <w:rPr>
          <w:rFonts w:ascii="Palatino Linotype" w:eastAsiaTheme="minorHAnsi" w:hAnsi="Palatino Linotype"/>
          <w:sz w:val="22"/>
          <w:szCs w:val="22"/>
          <w:lang w:eastAsia="en-US"/>
        </w:rPr>
        <w:t>resente resolución se aprueba con</w:t>
      </w:r>
      <w:r w:rsidRPr="00327A8D">
        <w:rPr>
          <w:rFonts w:ascii="Palatino Linotype" w:eastAsiaTheme="minorHAnsi" w:hAnsi="Palatino Linotype"/>
          <w:sz w:val="22"/>
          <w:szCs w:val="22"/>
          <w:lang w:eastAsia="en-US"/>
        </w:rPr>
        <w:t xml:space="preserve"> base a los informes que son de exclusiva responsabilidad de los funcionarios que lo suscriben y realizan.</w:t>
      </w:r>
    </w:p>
    <w:p w:rsidR="002A247E" w:rsidRPr="00327A8D" w:rsidRDefault="002A247E" w:rsidP="002A247E">
      <w:pPr>
        <w:autoSpaceDE w:val="0"/>
        <w:autoSpaceDN w:val="0"/>
        <w:adjustRightInd w:val="0"/>
        <w:rPr>
          <w:rFonts w:ascii="Palatino Linotype" w:eastAsiaTheme="minorHAnsi" w:hAnsi="Palatino Linotype"/>
          <w:sz w:val="22"/>
          <w:szCs w:val="22"/>
          <w:lang w:eastAsia="en-US"/>
        </w:rPr>
      </w:pPr>
    </w:p>
    <w:p w:rsidR="002A247E" w:rsidRPr="00634ADD" w:rsidRDefault="002A247E" w:rsidP="002A247E">
      <w:pPr>
        <w:autoSpaceDE w:val="0"/>
        <w:autoSpaceDN w:val="0"/>
        <w:adjustRightInd w:val="0"/>
        <w:jc w:val="both"/>
        <w:rPr>
          <w:rFonts w:ascii="Palatino Linotype" w:eastAsiaTheme="minorHAnsi" w:hAnsi="Palatino Linotype"/>
          <w:sz w:val="22"/>
          <w:szCs w:val="22"/>
          <w:lang w:eastAsia="en-US"/>
        </w:rPr>
      </w:pPr>
      <w:r w:rsidRPr="00634ADD">
        <w:rPr>
          <w:rFonts w:ascii="Palatino Linotype" w:eastAsiaTheme="minorHAnsi" w:hAnsi="Palatino Linotype"/>
          <w:b/>
          <w:sz w:val="22"/>
          <w:szCs w:val="22"/>
          <w:lang w:eastAsia="en-US"/>
        </w:rPr>
        <w:t>Disposición Final. -</w:t>
      </w:r>
      <w:r w:rsidRPr="00634ADD">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2A247E" w:rsidRDefault="002A247E" w:rsidP="002A247E">
      <w:pPr>
        <w:jc w:val="both"/>
        <w:rPr>
          <w:rFonts w:ascii="Palatino Linotype" w:hAnsi="Palatino Linotype"/>
          <w:sz w:val="22"/>
          <w:szCs w:val="22"/>
        </w:rPr>
      </w:pPr>
    </w:p>
    <w:p w:rsidR="002A247E" w:rsidRPr="00634ADD" w:rsidRDefault="002A247E" w:rsidP="002A247E">
      <w:pPr>
        <w:jc w:val="both"/>
        <w:rPr>
          <w:rFonts w:ascii="Palatino Linotype" w:hAnsi="Palatino Linotype"/>
          <w:sz w:val="22"/>
          <w:szCs w:val="22"/>
        </w:rPr>
      </w:pPr>
      <w:r w:rsidRPr="00634ADD">
        <w:rPr>
          <w:rFonts w:ascii="Palatino Linotype" w:hAnsi="Palatino Linotype"/>
          <w:sz w:val="22"/>
          <w:szCs w:val="22"/>
        </w:rPr>
        <w:t xml:space="preserve">Dada en el Distrito Metropolitano de Quito, a los </w:t>
      </w:r>
      <w:proofErr w:type="spellStart"/>
      <w:r>
        <w:rPr>
          <w:rFonts w:ascii="Palatino Linotype" w:hAnsi="Palatino Linotype"/>
          <w:sz w:val="22"/>
          <w:szCs w:val="22"/>
        </w:rPr>
        <w:t>xxxx</w:t>
      </w:r>
      <w:proofErr w:type="spellEnd"/>
      <w:r>
        <w:rPr>
          <w:rFonts w:ascii="Palatino Linotype" w:hAnsi="Palatino Linotype"/>
          <w:sz w:val="22"/>
          <w:szCs w:val="22"/>
        </w:rPr>
        <w:t xml:space="preserve"> </w:t>
      </w:r>
      <w:r w:rsidRPr="00634ADD">
        <w:rPr>
          <w:rFonts w:ascii="Palatino Linotype" w:hAnsi="Palatino Linotype"/>
          <w:sz w:val="22"/>
          <w:szCs w:val="22"/>
        </w:rPr>
        <w:t xml:space="preserve">días del mes de </w:t>
      </w:r>
      <w:proofErr w:type="spellStart"/>
      <w:r>
        <w:rPr>
          <w:rFonts w:ascii="Palatino Linotype" w:hAnsi="Palatino Linotype"/>
          <w:sz w:val="22"/>
          <w:szCs w:val="22"/>
        </w:rPr>
        <w:t>xxxx</w:t>
      </w:r>
      <w:proofErr w:type="spellEnd"/>
      <w:r>
        <w:rPr>
          <w:rFonts w:ascii="Palatino Linotype" w:hAnsi="Palatino Linotype"/>
          <w:sz w:val="22"/>
          <w:szCs w:val="22"/>
        </w:rPr>
        <w:t xml:space="preserve"> del año dos mil veinticuatro</w:t>
      </w:r>
      <w:r w:rsidRPr="00634ADD">
        <w:rPr>
          <w:rFonts w:ascii="Palatino Linotype" w:hAnsi="Palatino Linotype"/>
          <w:sz w:val="22"/>
          <w:szCs w:val="22"/>
        </w:rPr>
        <w:t>.</w:t>
      </w:r>
    </w:p>
    <w:p w:rsidR="002A247E" w:rsidRPr="00634ADD" w:rsidRDefault="002A247E" w:rsidP="002A247E">
      <w:pPr>
        <w:jc w:val="both"/>
        <w:rPr>
          <w:rFonts w:ascii="Palatino Linotype" w:hAnsi="Palatino Linotype"/>
          <w:sz w:val="22"/>
          <w:szCs w:val="22"/>
        </w:rPr>
      </w:pPr>
    </w:p>
    <w:p w:rsidR="002A247E" w:rsidRDefault="002A247E" w:rsidP="002A247E">
      <w:pPr>
        <w:jc w:val="both"/>
        <w:rPr>
          <w:rFonts w:ascii="Palatino Linotype" w:hAnsi="Palatino Linotype"/>
          <w:b/>
          <w:sz w:val="22"/>
          <w:szCs w:val="22"/>
        </w:rPr>
      </w:pPr>
    </w:p>
    <w:p w:rsidR="002A247E" w:rsidRDefault="002A247E" w:rsidP="002A247E">
      <w:pPr>
        <w:jc w:val="both"/>
        <w:rPr>
          <w:rFonts w:ascii="Palatino Linotype" w:hAnsi="Palatino Linotype"/>
          <w:b/>
          <w:sz w:val="22"/>
          <w:szCs w:val="22"/>
        </w:rPr>
      </w:pPr>
    </w:p>
    <w:p w:rsidR="002A247E" w:rsidRPr="00634ADD" w:rsidRDefault="002A247E" w:rsidP="002A247E">
      <w:pPr>
        <w:jc w:val="both"/>
        <w:rPr>
          <w:rFonts w:ascii="Palatino Linotype" w:hAnsi="Palatino Linotype"/>
          <w:sz w:val="22"/>
          <w:szCs w:val="22"/>
        </w:rPr>
      </w:pPr>
      <w:r w:rsidRPr="00634ADD">
        <w:rPr>
          <w:rFonts w:ascii="Palatino Linotype" w:hAnsi="Palatino Linotype"/>
          <w:b/>
          <w:sz w:val="22"/>
          <w:szCs w:val="22"/>
        </w:rPr>
        <w:t xml:space="preserve">Alcaldía del Distrito Metropolitano. - </w:t>
      </w:r>
      <w:r w:rsidRPr="00634ADD">
        <w:rPr>
          <w:rFonts w:ascii="Palatino Linotype" w:hAnsi="Palatino Linotype"/>
          <w:sz w:val="22"/>
          <w:szCs w:val="22"/>
        </w:rPr>
        <w:t xml:space="preserve">Distrito Metropolitano de Quito, </w:t>
      </w:r>
      <w:r>
        <w:rPr>
          <w:rFonts w:ascii="Palatino Linotype" w:hAnsi="Palatino Linotype"/>
          <w:sz w:val="22"/>
          <w:szCs w:val="22"/>
        </w:rPr>
        <w:t xml:space="preserve">xx </w:t>
      </w:r>
      <w:r w:rsidRPr="00634ADD">
        <w:rPr>
          <w:rFonts w:ascii="Palatino Linotype" w:hAnsi="Palatino Linotype"/>
          <w:sz w:val="22"/>
          <w:szCs w:val="22"/>
        </w:rPr>
        <w:t xml:space="preserve">de </w:t>
      </w:r>
      <w:proofErr w:type="spellStart"/>
      <w:r>
        <w:rPr>
          <w:rFonts w:ascii="Palatino Linotype" w:hAnsi="Palatino Linotype"/>
          <w:sz w:val="22"/>
          <w:szCs w:val="22"/>
        </w:rPr>
        <w:t>xxxx</w:t>
      </w:r>
      <w:proofErr w:type="spellEnd"/>
      <w:r>
        <w:rPr>
          <w:rFonts w:ascii="Palatino Linotype" w:hAnsi="Palatino Linotype"/>
          <w:sz w:val="22"/>
          <w:szCs w:val="22"/>
        </w:rPr>
        <w:t xml:space="preserve"> de 2024</w:t>
      </w:r>
      <w:r w:rsidRPr="00634ADD">
        <w:rPr>
          <w:rFonts w:ascii="Palatino Linotype" w:hAnsi="Palatino Linotype"/>
          <w:sz w:val="22"/>
          <w:szCs w:val="22"/>
        </w:rPr>
        <w:t>.</w:t>
      </w:r>
    </w:p>
    <w:p w:rsidR="002A247E" w:rsidRPr="00634ADD" w:rsidRDefault="002A247E" w:rsidP="002A247E">
      <w:pPr>
        <w:jc w:val="center"/>
        <w:rPr>
          <w:rFonts w:ascii="Palatino Linotype" w:hAnsi="Palatino Linotype"/>
          <w:b/>
          <w:sz w:val="22"/>
          <w:szCs w:val="22"/>
        </w:rPr>
      </w:pPr>
    </w:p>
    <w:p w:rsidR="002A247E" w:rsidRPr="00634ADD" w:rsidRDefault="002A247E" w:rsidP="002A247E">
      <w:pPr>
        <w:ind w:left="51"/>
        <w:jc w:val="center"/>
        <w:rPr>
          <w:rFonts w:ascii="Palatino Linotype" w:hAnsi="Palatino Linotype"/>
          <w:sz w:val="22"/>
          <w:szCs w:val="22"/>
        </w:rPr>
      </w:pPr>
    </w:p>
    <w:p w:rsidR="002A247E" w:rsidRDefault="002A247E" w:rsidP="002A247E">
      <w:pPr>
        <w:rPr>
          <w:rFonts w:ascii="Palatino Linotype" w:hAnsi="Palatino Linotype"/>
          <w:sz w:val="22"/>
          <w:szCs w:val="22"/>
        </w:rPr>
      </w:pPr>
    </w:p>
    <w:p w:rsidR="002A247E" w:rsidRPr="00634ADD" w:rsidRDefault="002A247E" w:rsidP="002A247E">
      <w:pPr>
        <w:rPr>
          <w:rFonts w:ascii="Palatino Linotype" w:hAnsi="Palatino Linotype"/>
          <w:sz w:val="22"/>
          <w:szCs w:val="22"/>
        </w:rPr>
      </w:pPr>
    </w:p>
    <w:p w:rsidR="002A247E" w:rsidRPr="00634ADD" w:rsidRDefault="002A247E" w:rsidP="002A247E">
      <w:pPr>
        <w:ind w:left="51"/>
        <w:jc w:val="center"/>
        <w:rPr>
          <w:rFonts w:ascii="Palatino Linotype" w:hAnsi="Palatino Linotype"/>
          <w:sz w:val="22"/>
          <w:szCs w:val="22"/>
        </w:rPr>
      </w:pPr>
      <w:proofErr w:type="spellStart"/>
      <w:r w:rsidRPr="00634ADD">
        <w:rPr>
          <w:rFonts w:ascii="Palatino Linotype" w:hAnsi="Palatino Linotype"/>
          <w:sz w:val="22"/>
          <w:szCs w:val="22"/>
        </w:rPr>
        <w:t>Pabel</w:t>
      </w:r>
      <w:proofErr w:type="spellEnd"/>
      <w:r w:rsidRPr="00634ADD">
        <w:rPr>
          <w:rFonts w:ascii="Palatino Linotype" w:hAnsi="Palatino Linotype"/>
          <w:sz w:val="22"/>
          <w:szCs w:val="22"/>
        </w:rPr>
        <w:t xml:space="preserve"> Muñoz López</w:t>
      </w:r>
    </w:p>
    <w:p w:rsidR="002A247E" w:rsidRPr="00634ADD" w:rsidRDefault="002A247E" w:rsidP="002A247E">
      <w:pPr>
        <w:keepNext/>
        <w:keepLines/>
        <w:ind w:left="10" w:right="6" w:hanging="10"/>
        <w:jc w:val="center"/>
        <w:outlineLvl w:val="0"/>
        <w:rPr>
          <w:rFonts w:ascii="Palatino Linotype" w:hAnsi="Palatino Linotype" w:cs="Palatino Linotype"/>
          <w:b/>
          <w:color w:val="000000"/>
          <w:sz w:val="22"/>
          <w:szCs w:val="22"/>
          <w:lang w:eastAsia="es-EC"/>
        </w:rPr>
      </w:pPr>
      <w:r w:rsidRPr="00634ADD">
        <w:rPr>
          <w:rFonts w:ascii="Palatino Linotype" w:hAnsi="Palatino Linotype" w:cs="Palatino Linotype"/>
          <w:b/>
          <w:color w:val="000000"/>
          <w:sz w:val="22"/>
          <w:szCs w:val="22"/>
          <w:lang w:eastAsia="es-EC"/>
        </w:rPr>
        <w:t>ALCALDE DEL DISTRITO METROPOLITANO DE QUITO</w:t>
      </w:r>
    </w:p>
    <w:p w:rsidR="002A247E" w:rsidRPr="00634ADD" w:rsidRDefault="002A247E" w:rsidP="002A247E">
      <w:pPr>
        <w:jc w:val="both"/>
        <w:rPr>
          <w:rFonts w:ascii="Palatino Linotype" w:hAnsi="Palatino Linotype"/>
          <w:b/>
          <w:sz w:val="22"/>
          <w:szCs w:val="22"/>
        </w:rPr>
      </w:pPr>
    </w:p>
    <w:p w:rsidR="002A247E" w:rsidRPr="00634ADD" w:rsidRDefault="002A247E" w:rsidP="002A247E">
      <w:pPr>
        <w:jc w:val="both"/>
        <w:rPr>
          <w:rFonts w:ascii="Palatino Linotype" w:hAnsi="Palatino Linotype"/>
          <w:sz w:val="22"/>
          <w:szCs w:val="22"/>
        </w:rPr>
      </w:pPr>
      <w:r w:rsidRPr="00634ADD">
        <w:rPr>
          <w:rFonts w:ascii="Palatino Linotype" w:hAnsi="Palatino Linotype"/>
          <w:b/>
          <w:sz w:val="22"/>
          <w:szCs w:val="22"/>
        </w:rPr>
        <w:t>CERTIFICO,</w:t>
      </w:r>
      <w:r w:rsidRPr="00634ADD">
        <w:rPr>
          <w:rFonts w:ascii="Palatino Linotype" w:hAnsi="Palatino Linotype"/>
          <w:sz w:val="22"/>
          <w:szCs w:val="22"/>
        </w:rPr>
        <w:t xml:space="preserve"> que la presente resolución fue discutida y aprob</w:t>
      </w:r>
      <w:r>
        <w:rPr>
          <w:rFonts w:ascii="Palatino Linotype" w:hAnsi="Palatino Linotype"/>
          <w:sz w:val="22"/>
          <w:szCs w:val="22"/>
        </w:rPr>
        <w:t xml:space="preserve">ada en la sesión pública No. xxx </w:t>
      </w:r>
      <w:r w:rsidRPr="00634ADD">
        <w:rPr>
          <w:rFonts w:ascii="Palatino Linotype" w:hAnsi="Palatino Linotype"/>
          <w:sz w:val="22"/>
          <w:szCs w:val="22"/>
        </w:rPr>
        <w:t xml:space="preserve">Ordinaria del Concejo Metropolitano de Quito, el </w:t>
      </w:r>
      <w:r>
        <w:rPr>
          <w:rFonts w:ascii="Palatino Linotype" w:hAnsi="Palatino Linotype"/>
          <w:sz w:val="22"/>
          <w:szCs w:val="22"/>
        </w:rPr>
        <w:t xml:space="preserve">xx </w:t>
      </w:r>
      <w:r w:rsidRPr="00634ADD">
        <w:rPr>
          <w:rFonts w:ascii="Palatino Linotype" w:hAnsi="Palatino Linotype"/>
          <w:sz w:val="22"/>
          <w:szCs w:val="22"/>
        </w:rPr>
        <w:t xml:space="preserve">de </w:t>
      </w:r>
      <w:proofErr w:type="spellStart"/>
      <w:r>
        <w:rPr>
          <w:rFonts w:ascii="Palatino Linotype" w:hAnsi="Palatino Linotype"/>
          <w:sz w:val="22"/>
          <w:szCs w:val="22"/>
        </w:rPr>
        <w:t>xxxx</w:t>
      </w:r>
      <w:proofErr w:type="spellEnd"/>
      <w:r>
        <w:rPr>
          <w:rFonts w:ascii="Palatino Linotype" w:hAnsi="Palatino Linotype"/>
          <w:sz w:val="22"/>
          <w:szCs w:val="22"/>
        </w:rPr>
        <w:t xml:space="preserve"> de 2024</w:t>
      </w:r>
      <w:r w:rsidRPr="00634ADD">
        <w:rPr>
          <w:rFonts w:ascii="Palatino Linotype" w:hAnsi="Palatino Linotype"/>
          <w:sz w:val="22"/>
          <w:szCs w:val="22"/>
        </w:rPr>
        <w:t xml:space="preserve">; y, suscrita por el señor </w:t>
      </w:r>
      <w:proofErr w:type="spellStart"/>
      <w:r w:rsidRPr="00634ADD">
        <w:rPr>
          <w:rFonts w:ascii="Palatino Linotype" w:hAnsi="Palatino Linotype"/>
          <w:sz w:val="22"/>
          <w:szCs w:val="22"/>
        </w:rPr>
        <w:t>Pabel</w:t>
      </w:r>
      <w:proofErr w:type="spellEnd"/>
      <w:r w:rsidRPr="00634ADD">
        <w:rPr>
          <w:rFonts w:ascii="Palatino Linotype" w:hAnsi="Palatino Linotype"/>
          <w:sz w:val="22"/>
          <w:szCs w:val="22"/>
        </w:rPr>
        <w:t xml:space="preserve"> Muñoz López, Alcalde del Distrito Metropolitano de Quito, el </w:t>
      </w:r>
      <w:r>
        <w:rPr>
          <w:rFonts w:ascii="Palatino Linotype" w:hAnsi="Palatino Linotype"/>
          <w:sz w:val="22"/>
          <w:szCs w:val="22"/>
        </w:rPr>
        <w:t xml:space="preserve">xx </w:t>
      </w:r>
      <w:r w:rsidRPr="00634ADD">
        <w:rPr>
          <w:rFonts w:ascii="Palatino Linotype" w:hAnsi="Palatino Linotype"/>
          <w:sz w:val="22"/>
          <w:szCs w:val="22"/>
        </w:rPr>
        <w:t xml:space="preserve">de </w:t>
      </w:r>
      <w:proofErr w:type="spellStart"/>
      <w:r>
        <w:rPr>
          <w:rFonts w:ascii="Palatino Linotype" w:hAnsi="Palatino Linotype"/>
          <w:sz w:val="22"/>
          <w:szCs w:val="22"/>
        </w:rPr>
        <w:t>xxxx</w:t>
      </w:r>
      <w:proofErr w:type="spellEnd"/>
      <w:r>
        <w:rPr>
          <w:rFonts w:ascii="Palatino Linotype" w:hAnsi="Palatino Linotype"/>
          <w:sz w:val="22"/>
          <w:szCs w:val="22"/>
        </w:rPr>
        <w:t xml:space="preserve"> de 2024</w:t>
      </w:r>
      <w:r w:rsidRPr="00634ADD">
        <w:rPr>
          <w:rFonts w:ascii="Palatino Linotype" w:hAnsi="Palatino Linotype"/>
          <w:sz w:val="22"/>
          <w:szCs w:val="22"/>
        </w:rPr>
        <w:t>.</w:t>
      </w:r>
    </w:p>
    <w:p w:rsidR="002A247E" w:rsidRPr="00634ADD" w:rsidRDefault="002A247E" w:rsidP="002A247E">
      <w:pPr>
        <w:jc w:val="both"/>
        <w:rPr>
          <w:rFonts w:ascii="Palatino Linotype" w:hAnsi="Palatino Linotype"/>
          <w:b/>
          <w:sz w:val="22"/>
          <w:szCs w:val="22"/>
        </w:rPr>
      </w:pPr>
      <w:r w:rsidRPr="00634ADD">
        <w:rPr>
          <w:rFonts w:ascii="Palatino Linotype" w:hAnsi="Palatino Linotype"/>
          <w:b/>
          <w:sz w:val="22"/>
          <w:szCs w:val="22"/>
        </w:rPr>
        <w:t xml:space="preserve"> </w:t>
      </w:r>
    </w:p>
    <w:p w:rsidR="002A247E" w:rsidRPr="00634ADD" w:rsidRDefault="002A247E" w:rsidP="002A247E">
      <w:pPr>
        <w:ind w:right="-39"/>
        <w:jc w:val="both"/>
        <w:rPr>
          <w:rFonts w:ascii="Palatino Linotype" w:eastAsia="SimSun" w:hAnsi="Palatino Linotype"/>
          <w:sz w:val="22"/>
          <w:szCs w:val="22"/>
          <w:lang w:eastAsia="en-US"/>
        </w:rPr>
      </w:pPr>
      <w:r w:rsidRPr="00634ADD">
        <w:rPr>
          <w:rFonts w:ascii="Palatino Linotype" w:eastAsia="SimSun" w:hAnsi="Palatino Linotype"/>
          <w:b/>
          <w:sz w:val="22"/>
          <w:szCs w:val="22"/>
          <w:lang w:eastAsia="en-US"/>
        </w:rPr>
        <w:t>Lo</w:t>
      </w:r>
      <w:r w:rsidRPr="00634ADD">
        <w:rPr>
          <w:rFonts w:ascii="Palatino Linotype" w:eastAsia="SimSun" w:hAnsi="Palatino Linotype"/>
          <w:b/>
          <w:spacing w:val="-2"/>
          <w:sz w:val="22"/>
          <w:szCs w:val="22"/>
          <w:lang w:eastAsia="en-US"/>
        </w:rPr>
        <w:t xml:space="preserve"> </w:t>
      </w:r>
      <w:r w:rsidRPr="00634ADD">
        <w:rPr>
          <w:rFonts w:ascii="Palatino Linotype" w:eastAsia="SimSun" w:hAnsi="Palatino Linotype"/>
          <w:b/>
          <w:sz w:val="22"/>
          <w:szCs w:val="22"/>
          <w:lang w:eastAsia="en-US"/>
        </w:rPr>
        <w:t>certifico.</w:t>
      </w:r>
      <w:r w:rsidRPr="00634ADD">
        <w:rPr>
          <w:rFonts w:ascii="Palatino Linotype" w:eastAsia="SimSun" w:hAnsi="Palatino Linotype"/>
          <w:b/>
          <w:spacing w:val="-6"/>
          <w:sz w:val="22"/>
          <w:szCs w:val="22"/>
          <w:lang w:eastAsia="en-US"/>
        </w:rPr>
        <w:t xml:space="preserve"> </w:t>
      </w:r>
      <w:r w:rsidRPr="00634ADD">
        <w:rPr>
          <w:rFonts w:ascii="Palatino Linotype" w:eastAsia="SimSun" w:hAnsi="Palatino Linotype"/>
          <w:b/>
          <w:sz w:val="22"/>
          <w:szCs w:val="22"/>
          <w:lang w:eastAsia="en-US"/>
        </w:rPr>
        <w:t xml:space="preserve">- </w:t>
      </w:r>
      <w:r w:rsidRPr="00634ADD">
        <w:rPr>
          <w:rFonts w:ascii="Palatino Linotype" w:eastAsia="SimSun" w:hAnsi="Palatino Linotype"/>
          <w:sz w:val="22"/>
          <w:szCs w:val="22"/>
          <w:lang w:eastAsia="en-US"/>
        </w:rPr>
        <w:t>Distrito</w:t>
      </w:r>
      <w:r w:rsidRPr="00634ADD">
        <w:rPr>
          <w:rFonts w:ascii="Palatino Linotype" w:eastAsia="SimSun" w:hAnsi="Palatino Linotype"/>
          <w:spacing w:val="-1"/>
          <w:sz w:val="22"/>
          <w:szCs w:val="22"/>
          <w:lang w:eastAsia="en-US"/>
        </w:rPr>
        <w:t xml:space="preserve"> </w:t>
      </w:r>
      <w:r w:rsidRPr="00634ADD">
        <w:rPr>
          <w:rFonts w:ascii="Palatino Linotype" w:eastAsia="SimSun" w:hAnsi="Palatino Linotype"/>
          <w:sz w:val="22"/>
          <w:szCs w:val="22"/>
          <w:lang w:eastAsia="en-US"/>
        </w:rPr>
        <w:t>Metropolitano</w:t>
      </w:r>
      <w:r w:rsidRPr="00634ADD">
        <w:rPr>
          <w:rFonts w:ascii="Palatino Linotype" w:eastAsia="SimSun" w:hAnsi="Palatino Linotype"/>
          <w:spacing w:val="-1"/>
          <w:sz w:val="22"/>
          <w:szCs w:val="22"/>
          <w:lang w:eastAsia="en-US"/>
        </w:rPr>
        <w:t xml:space="preserve"> </w:t>
      </w:r>
      <w:r w:rsidRPr="00634ADD">
        <w:rPr>
          <w:rFonts w:ascii="Palatino Linotype" w:eastAsia="SimSun" w:hAnsi="Palatino Linotype"/>
          <w:sz w:val="22"/>
          <w:szCs w:val="22"/>
          <w:lang w:eastAsia="en-US"/>
        </w:rPr>
        <w:t>de</w:t>
      </w:r>
      <w:r w:rsidRPr="00634ADD">
        <w:rPr>
          <w:rFonts w:ascii="Palatino Linotype" w:eastAsia="SimSun" w:hAnsi="Palatino Linotype"/>
          <w:spacing w:val="-3"/>
          <w:sz w:val="22"/>
          <w:szCs w:val="22"/>
          <w:lang w:eastAsia="en-US"/>
        </w:rPr>
        <w:t xml:space="preserve"> </w:t>
      </w:r>
      <w:r w:rsidRPr="00634ADD">
        <w:rPr>
          <w:rFonts w:ascii="Palatino Linotype" w:eastAsia="SimSun" w:hAnsi="Palatino Linotype"/>
          <w:sz w:val="22"/>
          <w:szCs w:val="22"/>
          <w:lang w:eastAsia="en-US"/>
        </w:rPr>
        <w:t xml:space="preserve">Quito, </w:t>
      </w:r>
      <w:r>
        <w:rPr>
          <w:rFonts w:ascii="Palatino Linotype" w:hAnsi="Palatino Linotype"/>
          <w:sz w:val="22"/>
          <w:szCs w:val="22"/>
        </w:rPr>
        <w:t xml:space="preserve">xx </w:t>
      </w:r>
      <w:r w:rsidRPr="00634ADD">
        <w:rPr>
          <w:rFonts w:ascii="Palatino Linotype" w:hAnsi="Palatino Linotype"/>
          <w:sz w:val="22"/>
          <w:szCs w:val="22"/>
        </w:rPr>
        <w:t xml:space="preserve">de </w:t>
      </w:r>
      <w:proofErr w:type="spellStart"/>
      <w:r>
        <w:rPr>
          <w:rFonts w:ascii="Palatino Linotype" w:hAnsi="Palatino Linotype"/>
          <w:sz w:val="22"/>
          <w:szCs w:val="22"/>
        </w:rPr>
        <w:t>xxxx</w:t>
      </w:r>
      <w:proofErr w:type="spellEnd"/>
      <w:r>
        <w:rPr>
          <w:rFonts w:ascii="Palatino Linotype" w:hAnsi="Palatino Linotype"/>
          <w:sz w:val="22"/>
          <w:szCs w:val="22"/>
        </w:rPr>
        <w:t xml:space="preserve"> de 2024</w:t>
      </w:r>
      <w:r w:rsidRPr="00634ADD">
        <w:rPr>
          <w:rFonts w:ascii="Palatino Linotype" w:hAnsi="Palatino Linotype"/>
          <w:sz w:val="22"/>
          <w:szCs w:val="22"/>
        </w:rPr>
        <w:t>.</w:t>
      </w:r>
    </w:p>
    <w:p w:rsidR="002A247E" w:rsidRPr="00634ADD" w:rsidRDefault="002A247E" w:rsidP="002A247E">
      <w:pPr>
        <w:jc w:val="both"/>
        <w:rPr>
          <w:rFonts w:ascii="Palatino Linotype" w:hAnsi="Palatino Linotype"/>
          <w:sz w:val="22"/>
          <w:szCs w:val="22"/>
          <w:highlight w:val="yellow"/>
        </w:rPr>
      </w:pPr>
      <w:r w:rsidRPr="00634ADD">
        <w:rPr>
          <w:rFonts w:ascii="Palatino Linotype" w:hAnsi="Palatino Linotype"/>
          <w:sz w:val="22"/>
          <w:szCs w:val="22"/>
          <w:highlight w:val="yellow"/>
        </w:rPr>
        <w:t xml:space="preserve"> </w:t>
      </w:r>
    </w:p>
    <w:p w:rsidR="002A247E" w:rsidRPr="00634ADD" w:rsidRDefault="002A247E" w:rsidP="002A247E">
      <w:pPr>
        <w:jc w:val="both"/>
        <w:rPr>
          <w:rFonts w:ascii="Palatino Linotype" w:hAnsi="Palatino Linotype"/>
          <w:sz w:val="22"/>
          <w:szCs w:val="22"/>
          <w:highlight w:val="yellow"/>
        </w:rPr>
      </w:pPr>
    </w:p>
    <w:p w:rsidR="002A247E" w:rsidRPr="00634ADD" w:rsidRDefault="002A247E" w:rsidP="002A247E">
      <w:pPr>
        <w:jc w:val="both"/>
        <w:rPr>
          <w:rFonts w:ascii="Palatino Linotype" w:hAnsi="Palatino Linotype"/>
          <w:sz w:val="22"/>
          <w:szCs w:val="22"/>
          <w:highlight w:val="yellow"/>
        </w:rPr>
      </w:pPr>
      <w:r w:rsidRPr="00634ADD">
        <w:rPr>
          <w:rFonts w:ascii="Palatino Linotype" w:hAnsi="Palatino Linotype"/>
          <w:sz w:val="22"/>
          <w:szCs w:val="22"/>
          <w:highlight w:val="yellow"/>
        </w:rPr>
        <w:t xml:space="preserve"> </w:t>
      </w:r>
    </w:p>
    <w:p w:rsidR="002A247E" w:rsidRPr="00634ADD" w:rsidRDefault="002A247E" w:rsidP="002A247E">
      <w:pPr>
        <w:jc w:val="center"/>
        <w:rPr>
          <w:rFonts w:ascii="Palatino Linotype" w:hAnsi="Palatino Linotype"/>
          <w:sz w:val="22"/>
          <w:szCs w:val="22"/>
        </w:rPr>
      </w:pPr>
      <w:r w:rsidRPr="00634ADD">
        <w:rPr>
          <w:rFonts w:ascii="Palatino Linotype" w:hAnsi="Palatino Linotype"/>
          <w:sz w:val="22"/>
          <w:szCs w:val="22"/>
        </w:rPr>
        <w:t xml:space="preserve">Dra. </w:t>
      </w:r>
      <w:r w:rsidRPr="00634ADD">
        <w:rPr>
          <w:rFonts w:ascii="Palatino Linotype" w:hAnsi="Palatino Linotype" w:cs="Arial"/>
          <w:color w:val="000000"/>
          <w:sz w:val="22"/>
          <w:szCs w:val="22"/>
          <w:shd w:val="clear" w:color="auto" w:fill="FFFFFF"/>
        </w:rPr>
        <w:t>Libia Rivas Ordóñez</w:t>
      </w:r>
    </w:p>
    <w:p w:rsidR="002A247E" w:rsidRPr="00634ADD" w:rsidRDefault="002A247E" w:rsidP="002A247E">
      <w:pPr>
        <w:ind w:left="5"/>
        <w:jc w:val="center"/>
        <w:rPr>
          <w:rFonts w:ascii="Palatino Linotype" w:hAnsi="Palatino Linotype" w:cs="Arial"/>
          <w:bCs/>
          <w:sz w:val="22"/>
          <w:szCs w:val="22"/>
        </w:rPr>
      </w:pPr>
      <w:r w:rsidRPr="00634ADD">
        <w:rPr>
          <w:rFonts w:ascii="Palatino Linotype" w:hAnsi="Palatino Linotype"/>
          <w:b/>
          <w:sz w:val="22"/>
          <w:szCs w:val="22"/>
          <w:lang w:eastAsia="en-US"/>
        </w:rPr>
        <w:t>SECRETARIA GENERAL DEL CONCEJO METROPOLITANO</w:t>
      </w:r>
    </w:p>
    <w:p w:rsidR="002A247E" w:rsidRPr="00634ADD" w:rsidRDefault="002A247E" w:rsidP="002A247E">
      <w:pPr>
        <w:ind w:left="-5"/>
        <w:jc w:val="both"/>
        <w:rPr>
          <w:rFonts w:ascii="Palatino Linotype" w:eastAsia="Calibri" w:hAnsi="Palatino Linotype"/>
          <w:b/>
          <w:sz w:val="22"/>
          <w:szCs w:val="22"/>
          <w:lang w:eastAsia="en-US"/>
        </w:rPr>
      </w:pPr>
    </w:p>
    <w:p w:rsidR="002A247E" w:rsidRDefault="002A247E" w:rsidP="002A247E"/>
    <w:p w:rsidR="005866F9" w:rsidRDefault="005866F9"/>
    <w:sectPr w:rsidR="005866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7E"/>
    <w:rsid w:val="002A247E"/>
    <w:rsid w:val="002E4D71"/>
    <w:rsid w:val="004A673D"/>
    <w:rsid w:val="005866F9"/>
    <w:rsid w:val="005E518A"/>
    <w:rsid w:val="00A4671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7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A247E"/>
    <w:pPr>
      <w:autoSpaceDE w:val="0"/>
      <w:autoSpaceDN w:val="0"/>
      <w:adjustRightInd w:val="0"/>
      <w:spacing w:after="0" w:line="240" w:lineRule="auto"/>
    </w:pPr>
    <w:rPr>
      <w:rFonts w:ascii="Palatino Linotype" w:hAnsi="Palatino Linotype" w:cs="Palatino Linotype"/>
      <w:color w:val="000000"/>
      <w:sz w:val="24"/>
      <w:szCs w:val="24"/>
      <w:lang w:val="es-ES"/>
    </w:rPr>
  </w:style>
  <w:style w:type="character" w:styleId="Textoennegrita">
    <w:name w:val="Strong"/>
    <w:basedOn w:val="Fuentedeprrafopredeter"/>
    <w:uiPriority w:val="22"/>
    <w:qFormat/>
    <w:rsid w:val="00A4671A"/>
    <w:rPr>
      <w:b/>
      <w:bCs/>
    </w:rPr>
  </w:style>
  <w:style w:type="paragraph" w:styleId="Textodeglobo">
    <w:name w:val="Balloon Text"/>
    <w:basedOn w:val="Normal"/>
    <w:link w:val="TextodegloboCar"/>
    <w:uiPriority w:val="99"/>
    <w:semiHidden/>
    <w:unhideWhenUsed/>
    <w:rsid w:val="002E4D71"/>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D71"/>
    <w:rPr>
      <w:rFonts w:ascii="Tahoma" w:eastAsia="Times New Roman" w:hAnsi="Tahoma" w:cs="Tahoma"/>
      <w:sz w:val="16"/>
      <w:szCs w:val="16"/>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7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A247E"/>
    <w:pPr>
      <w:autoSpaceDE w:val="0"/>
      <w:autoSpaceDN w:val="0"/>
      <w:adjustRightInd w:val="0"/>
      <w:spacing w:after="0" w:line="240" w:lineRule="auto"/>
    </w:pPr>
    <w:rPr>
      <w:rFonts w:ascii="Palatino Linotype" w:hAnsi="Palatino Linotype" w:cs="Palatino Linotype"/>
      <w:color w:val="000000"/>
      <w:sz w:val="24"/>
      <w:szCs w:val="24"/>
      <w:lang w:val="es-ES"/>
    </w:rPr>
  </w:style>
  <w:style w:type="character" w:styleId="Textoennegrita">
    <w:name w:val="Strong"/>
    <w:basedOn w:val="Fuentedeprrafopredeter"/>
    <w:uiPriority w:val="22"/>
    <w:qFormat/>
    <w:rsid w:val="00A4671A"/>
    <w:rPr>
      <w:b/>
      <w:bCs/>
    </w:rPr>
  </w:style>
  <w:style w:type="paragraph" w:styleId="Textodeglobo">
    <w:name w:val="Balloon Text"/>
    <w:basedOn w:val="Normal"/>
    <w:link w:val="TextodegloboCar"/>
    <w:uiPriority w:val="99"/>
    <w:semiHidden/>
    <w:unhideWhenUsed/>
    <w:rsid w:val="002E4D71"/>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D71"/>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2370</Words>
  <Characters>13036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Rolando Ruiz Merino</dc:creator>
  <cp:lastModifiedBy>Rolando Ruiz Merino</cp:lastModifiedBy>
  <cp:revision>3</cp:revision>
  <cp:lastPrinted>2024-01-30T15:25:00Z</cp:lastPrinted>
  <dcterms:created xsi:type="dcterms:W3CDTF">2024-01-29T21:14:00Z</dcterms:created>
  <dcterms:modified xsi:type="dcterms:W3CDTF">2024-01-30T15:34:00Z</dcterms:modified>
</cp:coreProperties>
</file>