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EL CONCEJO METROPOLITANO DE QUITO</w:t>
      </w: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CONSIDERANDO:</w:t>
      </w:r>
    </w:p>
    <w:p w:rsidR="000113AC" w:rsidRPr="00993181"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 el artículo 240 de la Constitución de República del Ecuador, en adelante Constitución, establece: “</w:t>
      </w:r>
      <w:r w:rsidRPr="00993181">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la Constitución de la República del Ecuador en su artículo 266, determina: </w:t>
      </w:r>
      <w:r w:rsidRPr="00993181">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993181">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conforme establece el artículo 87, literal v) del COOTAD, al Concejo Metropolitano le corresponde: </w:t>
      </w:r>
      <w:r w:rsidRPr="00993181">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993181">
        <w:rPr>
          <w:rFonts w:ascii="Palatino Linotype" w:eastAsiaTheme="minorHAnsi" w:hAnsi="Palatino Linotype"/>
          <w:sz w:val="22"/>
          <w:szCs w:val="22"/>
          <w:lang w:eastAsia="en-US"/>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artículo 323 del COOTAD establece: “</w:t>
      </w:r>
      <w:r w:rsidRPr="00993181">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993181">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424 del COOTAD señala: </w:t>
      </w:r>
      <w:r w:rsidRPr="00993181">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472 del COOTAD señala que: </w:t>
      </w:r>
      <w:r w:rsidRPr="00993181">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2410 del el Código Civil Ecuatoriano determina que: </w:t>
      </w:r>
      <w:r w:rsidRPr="00993181">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jc w:val="both"/>
        <w:rPr>
          <w:rFonts w:ascii="Palatino Linotype" w:hAnsi="Palatino Linotype"/>
          <w:sz w:val="22"/>
          <w:szCs w:val="22"/>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lastRenderedPageBreak/>
        <w:t>Que,</w:t>
      </w:r>
      <w:r w:rsidRPr="00993181">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993181">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993181">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993181">
        <w:rPr>
          <w:rFonts w:ascii="Palatino Linotype" w:hAnsi="Palatino Linotype"/>
          <w:i/>
          <w:sz w:val="22"/>
          <w:szCs w:val="22"/>
        </w:rPr>
        <w:t>”</w:t>
      </w:r>
      <w:r w:rsidRPr="00993181">
        <w:rPr>
          <w:rFonts w:ascii="Palatino Linotype" w:hAnsi="Palatino Linotype"/>
          <w:sz w:val="22"/>
          <w:szCs w:val="22"/>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en su artículo 2171, establece: </w:t>
      </w:r>
      <w:r w:rsidRPr="00993181">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7854B8" w:rsidRDefault="000113AC" w:rsidP="007854B8">
      <w:pPr>
        <w:autoSpaceDE w:val="0"/>
        <w:autoSpaceDN w:val="0"/>
        <w:adjustRightInd w:val="0"/>
        <w:ind w:left="708" w:hanging="708"/>
        <w:jc w:val="both"/>
        <w:rPr>
          <w:rFonts w:ascii="Palatino Linotype" w:hAnsi="Palatino Linotype"/>
          <w:color w:val="000000" w:themeColor="text1"/>
          <w:sz w:val="22"/>
          <w:szCs w:val="22"/>
          <w:lang w:val="es-ES"/>
        </w:rPr>
      </w:pPr>
      <w:r w:rsidRPr="00993181">
        <w:rPr>
          <w:rFonts w:ascii="Palatino Linotype" w:eastAsiaTheme="minorHAnsi" w:hAnsi="Palatino Linotype"/>
          <w:b/>
          <w:sz w:val="22"/>
          <w:szCs w:val="22"/>
          <w:lang w:eastAsia="en-US"/>
        </w:rPr>
        <w:t>Que,</w:t>
      </w:r>
      <w:r w:rsidR="004E4064">
        <w:rPr>
          <w:rFonts w:ascii="Palatino Linotype" w:eastAsiaTheme="minorHAnsi" w:hAnsi="Palatino Linotype"/>
          <w:sz w:val="22"/>
          <w:szCs w:val="22"/>
          <w:lang w:eastAsia="en-US"/>
        </w:rPr>
        <w:t xml:space="preserve"> </w:t>
      </w:r>
      <w:r w:rsidR="007854B8">
        <w:rPr>
          <w:rFonts w:ascii="Palatino Linotype" w:eastAsiaTheme="minorHAnsi" w:hAnsi="Palatino Linotype"/>
          <w:sz w:val="22"/>
          <w:szCs w:val="22"/>
          <w:lang w:eastAsia="en-US"/>
        </w:rPr>
        <w:t>m</w:t>
      </w:r>
      <w:r w:rsidR="007854B8" w:rsidRPr="0070654A">
        <w:rPr>
          <w:rFonts w:ascii="Palatino Linotype" w:hAnsi="Palatino Linotype"/>
          <w:color w:val="000000" w:themeColor="text1"/>
          <w:sz w:val="22"/>
          <w:szCs w:val="22"/>
          <w:lang w:val="es-ES"/>
        </w:rPr>
        <w:t>ediante Sentencia dictada el 17 de septiembre del 2012, el Juzgado Séptimo de lo Civil de Pichincha, del Distrito Metropolitano de Quito, declaró que la Prescripción Extraordinaria Adquisitiva de Dominio ha operado a favor de los señores CARDENAS FONSECA WALTER GENARO y ARIAS PICO MARÍA TERESA, respecto del inmueble que consiste en un lote de terreno y edificaciones asentadas en el mismo, signado con el No. Oe8-281, ubicado en la calle Huaynapalcon y Pasaje “A”, de 88,11 metros cuadrados de superficie, parroquia Chilibulo, cantó</w:t>
      </w:r>
      <w:r w:rsidR="00493A79">
        <w:rPr>
          <w:rFonts w:ascii="Palatino Linotype" w:hAnsi="Palatino Linotype"/>
          <w:color w:val="000000" w:themeColor="text1"/>
          <w:sz w:val="22"/>
          <w:szCs w:val="22"/>
          <w:lang w:val="es-ES"/>
        </w:rPr>
        <w:t>n Quito, provincia de Pichincha;</w:t>
      </w:r>
    </w:p>
    <w:p w:rsidR="003144EF" w:rsidRDefault="003144EF" w:rsidP="007854B8">
      <w:pPr>
        <w:autoSpaceDE w:val="0"/>
        <w:autoSpaceDN w:val="0"/>
        <w:adjustRightInd w:val="0"/>
        <w:ind w:left="708" w:hanging="708"/>
        <w:jc w:val="both"/>
        <w:rPr>
          <w:rFonts w:ascii="Palatino Linotype" w:hAnsi="Palatino Linotype"/>
          <w:color w:val="000000" w:themeColor="text1"/>
          <w:sz w:val="22"/>
          <w:szCs w:val="22"/>
          <w:lang w:val="es-ES"/>
        </w:rPr>
      </w:pPr>
    </w:p>
    <w:p w:rsidR="003144EF" w:rsidRPr="00993181" w:rsidRDefault="003144EF" w:rsidP="003144EF">
      <w:pPr>
        <w:autoSpaceDE w:val="0"/>
        <w:autoSpaceDN w:val="0"/>
        <w:adjustRightInd w:val="0"/>
        <w:ind w:left="708" w:hanging="708"/>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mediante oficio Nro.</w:t>
      </w:r>
      <w:r w:rsidRPr="00993181">
        <w:rPr>
          <w:rFonts w:ascii="Palatino Linotype" w:hAnsi="Palatino Linotype"/>
          <w:sz w:val="22"/>
          <w:szCs w:val="22"/>
        </w:rPr>
        <w:t xml:space="preserve"> 2950-2010 de 31 de octubre de 2011</w:t>
      </w:r>
      <w:r w:rsidRPr="00993181">
        <w:rPr>
          <w:rFonts w:ascii="Palatino Linotype" w:eastAsiaTheme="minorHAnsi" w:hAnsi="Palatino Linotype"/>
          <w:sz w:val="22"/>
          <w:szCs w:val="22"/>
          <w:lang w:eastAsia="en-US"/>
        </w:rPr>
        <w:t xml:space="preserve"> la Procuraduría Metropolitana emitió un </w:t>
      </w:r>
      <w:r w:rsidRPr="00993181">
        <w:rPr>
          <w:rFonts w:ascii="Palatino Linotype" w:hAnsi="Palatino Linotype"/>
          <w:sz w:val="22"/>
          <w:szCs w:val="22"/>
        </w:rPr>
        <w:t xml:space="preserve">pronunciamiento en forma general, respecto al marco legal y operativo para todos los casos de </w:t>
      </w:r>
      <w:r w:rsidRPr="00993181">
        <w:rPr>
          <w:rFonts w:ascii="Palatino Linotype" w:eastAsiaTheme="minorHAnsi" w:hAnsi="Palatino Linotype"/>
          <w:sz w:val="22"/>
          <w:szCs w:val="22"/>
          <w:lang w:eastAsia="en-US"/>
        </w:rPr>
        <w:t>prescripción extraordinaria adquisitiva de dominio;</w:t>
      </w:r>
    </w:p>
    <w:p w:rsidR="00372B0E" w:rsidRPr="00893B65" w:rsidRDefault="00372B0E" w:rsidP="00372B0E">
      <w:pPr>
        <w:autoSpaceDE w:val="0"/>
        <w:autoSpaceDN w:val="0"/>
        <w:adjustRightInd w:val="0"/>
        <w:spacing w:line="276" w:lineRule="auto"/>
        <w:ind w:left="708" w:hanging="708"/>
        <w:jc w:val="both"/>
        <w:rPr>
          <w:rFonts w:ascii="Palatino Linotype" w:hAnsi="Palatino Linotype"/>
          <w:i/>
          <w:sz w:val="22"/>
          <w:szCs w:val="22"/>
        </w:rPr>
      </w:pPr>
    </w:p>
    <w:p w:rsidR="00F1475B" w:rsidRPr="0070654A" w:rsidRDefault="00D24C41" w:rsidP="000022D4">
      <w:pPr>
        <w:autoSpaceDE w:val="0"/>
        <w:autoSpaceDN w:val="0"/>
        <w:adjustRightInd w:val="0"/>
        <w:ind w:left="708" w:hanging="708"/>
        <w:jc w:val="both"/>
        <w:rPr>
          <w:rFonts w:ascii="Palatino Linotype" w:eastAsiaTheme="minorHAnsi" w:hAnsi="Palatino Linotype" w:cs="Calibri"/>
          <w:i/>
          <w:color w:val="000000" w:themeColor="text1"/>
          <w:sz w:val="22"/>
          <w:szCs w:val="22"/>
          <w:lang w:val="es-ES" w:eastAsia="en-US"/>
        </w:rPr>
      </w:pPr>
      <w:r w:rsidRPr="004F29ED">
        <w:rPr>
          <w:rFonts w:ascii="Palatino Linotype" w:hAnsi="Palatino Linotype"/>
          <w:b/>
          <w:sz w:val="22"/>
          <w:szCs w:val="22"/>
        </w:rPr>
        <w:lastRenderedPageBreak/>
        <w:t xml:space="preserve">Que, </w:t>
      </w:r>
      <w:r w:rsidR="00F1475B">
        <w:rPr>
          <w:rFonts w:ascii="Palatino Linotype" w:hAnsi="Palatino Linotype"/>
          <w:color w:val="000000" w:themeColor="text1"/>
          <w:sz w:val="22"/>
          <w:szCs w:val="22"/>
        </w:rPr>
        <w:t>m</w:t>
      </w:r>
      <w:r w:rsidR="00F1475B" w:rsidRPr="0070654A">
        <w:rPr>
          <w:rFonts w:ascii="Palatino Linotype" w:hAnsi="Palatino Linotype"/>
          <w:color w:val="000000" w:themeColor="text1"/>
          <w:sz w:val="22"/>
          <w:szCs w:val="22"/>
        </w:rPr>
        <w:t xml:space="preserve">ediante </w:t>
      </w:r>
      <w:r w:rsidR="00F1475B" w:rsidRPr="0070654A">
        <w:rPr>
          <w:rFonts w:ascii="Palatino Linotype" w:hAnsi="Palatino Linotype"/>
          <w:color w:val="000000" w:themeColor="text1"/>
          <w:sz w:val="22"/>
          <w:szCs w:val="22"/>
          <w:lang w:val="es-ES"/>
        </w:rPr>
        <w:t>memorando No. AZEA-UGU-2019-127 de 3 de junio de 2019, el Arq. Dino Cruz, Responsable de la Unidad de Gestión Urbana de la Administración Zonal Eloy Alfaro, emite su informe técnico en</w:t>
      </w:r>
      <w:r w:rsidR="00F1475B">
        <w:rPr>
          <w:rFonts w:ascii="Palatino Linotype" w:hAnsi="Palatino Linotype"/>
          <w:color w:val="000000" w:themeColor="text1"/>
          <w:sz w:val="22"/>
          <w:szCs w:val="22"/>
          <w:lang w:val="es-ES"/>
        </w:rPr>
        <w:t xml:space="preserve"> el que manifestó lo siguiente: </w:t>
      </w:r>
    </w:p>
    <w:p w:rsidR="00F1475B" w:rsidRPr="0070654A" w:rsidRDefault="00F1475B" w:rsidP="00F1475B">
      <w:pPr>
        <w:autoSpaceDE w:val="0"/>
        <w:autoSpaceDN w:val="0"/>
        <w:adjustRightInd w:val="0"/>
        <w:ind w:left="708"/>
        <w:jc w:val="both"/>
        <w:rPr>
          <w:rFonts w:ascii="Palatino Linotype" w:hAnsi="Palatino Linotype"/>
          <w:color w:val="000000" w:themeColor="text1"/>
          <w:sz w:val="22"/>
          <w:szCs w:val="22"/>
          <w:lang w:val="es-ES"/>
        </w:rPr>
      </w:pPr>
    </w:p>
    <w:p w:rsidR="00F1475B" w:rsidRPr="0070654A" w:rsidRDefault="00F1475B" w:rsidP="00F1475B">
      <w:pPr>
        <w:autoSpaceDE w:val="0"/>
        <w:autoSpaceDN w:val="0"/>
        <w:adjustRightInd w:val="0"/>
        <w:ind w:left="708"/>
        <w:jc w:val="both"/>
        <w:rPr>
          <w:rFonts w:ascii="Palatino Linotype" w:hAnsi="Palatino Linotype"/>
          <w:b/>
          <w:bCs/>
          <w:i/>
          <w:color w:val="000000" w:themeColor="text1"/>
          <w:sz w:val="22"/>
          <w:szCs w:val="22"/>
          <w:lang w:val="es-ES"/>
        </w:rPr>
      </w:pPr>
      <w:r w:rsidRPr="0070654A">
        <w:rPr>
          <w:rFonts w:ascii="Palatino Linotype" w:hAnsi="Palatino Linotype"/>
          <w:i/>
          <w:color w:val="000000" w:themeColor="text1"/>
          <w:sz w:val="22"/>
          <w:szCs w:val="22"/>
          <w:lang w:val="es-ES"/>
        </w:rPr>
        <w:t>“</w:t>
      </w:r>
      <w:r>
        <w:rPr>
          <w:rFonts w:ascii="Palatino Linotype" w:hAnsi="Palatino Linotype"/>
          <w:i/>
          <w:color w:val="000000" w:themeColor="text1"/>
          <w:sz w:val="22"/>
          <w:szCs w:val="22"/>
          <w:lang w:val="es-ES"/>
        </w:rPr>
        <w:t xml:space="preserve">(…) </w:t>
      </w:r>
      <w:r w:rsidRPr="0070654A">
        <w:rPr>
          <w:rFonts w:ascii="Palatino Linotype" w:hAnsi="Palatino Linotype"/>
          <w:i/>
          <w:color w:val="000000" w:themeColor="text1"/>
          <w:sz w:val="22"/>
          <w:szCs w:val="22"/>
          <w:lang w:val="es-ES"/>
        </w:rPr>
        <w:t xml:space="preserve">Con lo expuesto se desprende que el predio en mención, </w:t>
      </w:r>
      <w:r w:rsidRPr="0070654A">
        <w:rPr>
          <w:rFonts w:ascii="Palatino Linotype" w:hAnsi="Palatino Linotype"/>
          <w:b/>
          <w:bCs/>
          <w:i/>
          <w:color w:val="000000" w:themeColor="text1"/>
          <w:sz w:val="22"/>
          <w:szCs w:val="22"/>
          <w:lang w:val="es-ES"/>
        </w:rPr>
        <w:t xml:space="preserve">NO cumple con las AREAS MINIMAS ESTABLECIDAS EN LA ORDENANZA, </w:t>
      </w:r>
      <w:r w:rsidRPr="0070654A">
        <w:rPr>
          <w:rFonts w:ascii="Palatino Linotype" w:hAnsi="Palatino Linotype"/>
          <w:i/>
          <w:color w:val="000000" w:themeColor="text1"/>
          <w:sz w:val="22"/>
          <w:szCs w:val="22"/>
          <w:lang w:val="es-ES"/>
        </w:rPr>
        <w:t>por lo tanto será el concejo</w:t>
      </w:r>
      <w:r w:rsidRPr="0070654A">
        <w:rPr>
          <w:rFonts w:ascii="Palatino Linotype" w:hAnsi="Palatino Linotype"/>
          <w:b/>
          <w:bCs/>
          <w:i/>
          <w:color w:val="000000" w:themeColor="text1"/>
          <w:sz w:val="22"/>
          <w:szCs w:val="22"/>
          <w:lang w:val="es-ES"/>
        </w:rPr>
        <w:t xml:space="preserve"> </w:t>
      </w:r>
      <w:r w:rsidRPr="0070654A">
        <w:rPr>
          <w:rFonts w:ascii="Palatino Linotype" w:hAnsi="Palatino Linotype"/>
          <w:i/>
          <w:color w:val="000000" w:themeColor="text1"/>
          <w:sz w:val="22"/>
          <w:szCs w:val="22"/>
          <w:lang w:val="es-ES"/>
        </w:rPr>
        <w:t>metropolitano quien dictamine el trámite correspondiente a seguir, además se adjunta</w:t>
      </w:r>
      <w:r w:rsidRPr="0070654A">
        <w:rPr>
          <w:rFonts w:ascii="Palatino Linotype" w:hAnsi="Palatino Linotype"/>
          <w:b/>
          <w:bCs/>
          <w:i/>
          <w:color w:val="000000" w:themeColor="text1"/>
          <w:sz w:val="22"/>
          <w:szCs w:val="22"/>
          <w:lang w:val="es-ES"/>
        </w:rPr>
        <w:t xml:space="preserve"> </w:t>
      </w:r>
      <w:r w:rsidRPr="0070654A">
        <w:rPr>
          <w:rFonts w:ascii="Palatino Linotype" w:hAnsi="Palatino Linotype"/>
          <w:i/>
          <w:color w:val="000000" w:themeColor="text1"/>
          <w:sz w:val="22"/>
          <w:szCs w:val="22"/>
          <w:lang w:val="es-ES"/>
        </w:rPr>
        <w:t>copia de la consulta hecha a la Procuraduría Metropolitana en el año 2011, donde se</w:t>
      </w:r>
      <w:r w:rsidRPr="0070654A">
        <w:rPr>
          <w:rFonts w:ascii="Palatino Linotype" w:hAnsi="Palatino Linotype"/>
          <w:b/>
          <w:bCs/>
          <w:i/>
          <w:color w:val="000000" w:themeColor="text1"/>
          <w:sz w:val="22"/>
          <w:szCs w:val="22"/>
          <w:lang w:val="es-ES"/>
        </w:rPr>
        <w:t xml:space="preserve"> </w:t>
      </w:r>
      <w:r w:rsidRPr="0070654A">
        <w:rPr>
          <w:rFonts w:ascii="Palatino Linotype" w:hAnsi="Palatino Linotype"/>
          <w:i/>
          <w:color w:val="000000" w:themeColor="text1"/>
          <w:sz w:val="22"/>
          <w:szCs w:val="22"/>
          <w:lang w:val="es-ES"/>
        </w:rPr>
        <w:t>describe los artículos aplica</w:t>
      </w:r>
      <w:r w:rsidR="00F66680">
        <w:rPr>
          <w:rFonts w:ascii="Palatino Linotype" w:hAnsi="Palatino Linotype"/>
          <w:i/>
          <w:color w:val="000000" w:themeColor="text1"/>
          <w:sz w:val="22"/>
          <w:szCs w:val="22"/>
          <w:lang w:val="es-ES"/>
        </w:rPr>
        <w:t>tivos para dichas competencias”;</w:t>
      </w:r>
    </w:p>
    <w:p w:rsidR="00F1475B" w:rsidRPr="0070654A" w:rsidRDefault="00F1475B" w:rsidP="00F1475B">
      <w:pPr>
        <w:autoSpaceDE w:val="0"/>
        <w:autoSpaceDN w:val="0"/>
        <w:adjustRightInd w:val="0"/>
        <w:jc w:val="both"/>
        <w:rPr>
          <w:rFonts w:ascii="Palatino Linotype" w:eastAsiaTheme="minorHAnsi" w:hAnsi="Palatino Linotype"/>
          <w:i/>
          <w:color w:val="000000" w:themeColor="text1"/>
          <w:sz w:val="22"/>
          <w:szCs w:val="22"/>
          <w:lang w:val="es-ES" w:eastAsia="en-US"/>
        </w:rPr>
      </w:pPr>
    </w:p>
    <w:p w:rsidR="00B9427A" w:rsidRPr="0070654A" w:rsidRDefault="000022D4" w:rsidP="00AD7AF2">
      <w:pPr>
        <w:autoSpaceDE w:val="0"/>
        <w:autoSpaceDN w:val="0"/>
        <w:adjustRightInd w:val="0"/>
        <w:ind w:left="708" w:hanging="708"/>
        <w:jc w:val="both"/>
        <w:rPr>
          <w:rFonts w:ascii="Palatino Linotype" w:hAnsi="Palatino Linotype"/>
          <w:color w:val="000000" w:themeColor="text1"/>
          <w:sz w:val="22"/>
          <w:szCs w:val="22"/>
        </w:rPr>
      </w:pPr>
      <w:r>
        <w:rPr>
          <w:rFonts w:ascii="Palatino Linotype" w:hAnsi="Palatino Linotype"/>
          <w:b/>
          <w:sz w:val="22"/>
          <w:szCs w:val="22"/>
        </w:rPr>
        <w:t xml:space="preserve">Que, </w:t>
      </w:r>
      <w:r w:rsidR="00B9427A">
        <w:rPr>
          <w:rFonts w:ascii="Palatino Linotype" w:hAnsi="Palatino Linotype"/>
          <w:color w:val="000000" w:themeColor="text1"/>
          <w:sz w:val="22"/>
          <w:szCs w:val="22"/>
        </w:rPr>
        <w:t>m</w:t>
      </w:r>
      <w:r w:rsidR="00B9427A" w:rsidRPr="0070654A">
        <w:rPr>
          <w:rFonts w:ascii="Palatino Linotype" w:hAnsi="Palatino Linotype"/>
          <w:color w:val="000000" w:themeColor="text1"/>
          <w:sz w:val="22"/>
          <w:szCs w:val="22"/>
        </w:rPr>
        <w:t>ediante</w:t>
      </w:r>
      <w:r w:rsidR="00B9427A" w:rsidRPr="0070654A">
        <w:rPr>
          <w:rFonts w:ascii="Palatino Linotype" w:eastAsiaTheme="minorHAnsi" w:hAnsi="Palatino Linotype"/>
          <w:color w:val="000000" w:themeColor="text1"/>
          <w:sz w:val="22"/>
          <w:szCs w:val="22"/>
          <w:lang w:val="es-ES" w:eastAsia="en-US"/>
        </w:rPr>
        <w:t xml:space="preserve"> memorando </w:t>
      </w:r>
      <w:r w:rsidR="00B9427A" w:rsidRPr="0070654A">
        <w:rPr>
          <w:rFonts w:ascii="Palatino Linotype" w:eastAsiaTheme="minorHAnsi" w:hAnsi="Palatino Linotype"/>
          <w:bCs/>
          <w:color w:val="000000" w:themeColor="text1"/>
          <w:sz w:val="22"/>
          <w:szCs w:val="22"/>
          <w:lang w:val="es-ES" w:eastAsia="en-US"/>
        </w:rPr>
        <w:t xml:space="preserve">Nro. GADDMQ-AZEA-DGT-UGU-2022-0017-M </w:t>
      </w:r>
      <w:r w:rsidR="00B9427A" w:rsidRPr="0070654A">
        <w:rPr>
          <w:rFonts w:ascii="Palatino Linotype" w:eastAsiaTheme="minorHAnsi" w:hAnsi="Palatino Linotype"/>
          <w:color w:val="000000" w:themeColor="text1"/>
          <w:sz w:val="22"/>
          <w:szCs w:val="22"/>
          <w:lang w:val="es-ES" w:eastAsia="en-US"/>
        </w:rPr>
        <w:t xml:space="preserve">de 13 de enero de 2022, la </w:t>
      </w:r>
      <w:r w:rsidR="00B9427A" w:rsidRPr="0070654A">
        <w:rPr>
          <w:rFonts w:ascii="Palatino Linotype" w:eastAsiaTheme="minorHAnsi" w:hAnsi="Palatino Linotype"/>
          <w:bCs/>
          <w:color w:val="000000" w:themeColor="text1"/>
          <w:sz w:val="22"/>
          <w:szCs w:val="22"/>
          <w:lang w:val="es-ES" w:eastAsia="en-US"/>
        </w:rPr>
        <w:t>Arq. Marcelo Edwin Ati Pilaquinga</w:t>
      </w:r>
      <w:r w:rsidR="00B9427A" w:rsidRPr="0070654A">
        <w:rPr>
          <w:rFonts w:ascii="Palatino Linotype" w:eastAsiaTheme="minorHAnsi" w:hAnsi="Palatino Linotype"/>
          <w:color w:val="000000" w:themeColor="text1"/>
          <w:sz w:val="22"/>
          <w:szCs w:val="22"/>
          <w:lang w:val="es-ES" w:eastAsia="en-US"/>
        </w:rPr>
        <w:t xml:space="preserve"> Responsable de la Unidad de Gestión Urbana Administración Zonal Eloy Alfaro, </w:t>
      </w:r>
      <w:r w:rsidR="00B9427A" w:rsidRPr="0070654A">
        <w:rPr>
          <w:rFonts w:ascii="Palatino Linotype" w:hAnsi="Palatino Linotype"/>
          <w:color w:val="000000" w:themeColor="text1"/>
          <w:sz w:val="22"/>
          <w:szCs w:val="22"/>
        </w:rPr>
        <w:t>señala:</w:t>
      </w:r>
    </w:p>
    <w:p w:rsidR="00B9427A" w:rsidRPr="0070654A" w:rsidRDefault="00B9427A" w:rsidP="00B9427A">
      <w:pPr>
        <w:autoSpaceDE w:val="0"/>
        <w:autoSpaceDN w:val="0"/>
        <w:adjustRightInd w:val="0"/>
        <w:rPr>
          <w:rFonts w:ascii="Palatino Linotype" w:hAnsi="Palatino Linotype"/>
          <w:color w:val="000000" w:themeColor="text1"/>
          <w:sz w:val="22"/>
          <w:szCs w:val="22"/>
        </w:rPr>
      </w:pPr>
    </w:p>
    <w:p w:rsidR="00B9427A" w:rsidRPr="0070654A" w:rsidRDefault="00B9427A" w:rsidP="00B9427A">
      <w:pPr>
        <w:tabs>
          <w:tab w:val="left" w:pos="284"/>
        </w:tabs>
        <w:ind w:left="708"/>
        <w:jc w:val="both"/>
        <w:rPr>
          <w:rFonts w:ascii="Palatino Linotype" w:eastAsiaTheme="minorHAnsi" w:hAnsi="Palatino Linotype"/>
          <w:i/>
          <w:color w:val="000000" w:themeColor="text1"/>
          <w:sz w:val="22"/>
          <w:szCs w:val="22"/>
          <w:lang w:val="es-ES" w:eastAsia="en-US"/>
        </w:rPr>
      </w:pPr>
      <w:r w:rsidRPr="0070654A">
        <w:rPr>
          <w:rFonts w:ascii="Palatino Linotype" w:eastAsiaTheme="minorHAnsi" w:hAnsi="Palatino Linotype"/>
          <w:i/>
          <w:color w:val="000000" w:themeColor="text1"/>
          <w:sz w:val="22"/>
          <w:szCs w:val="22"/>
          <w:lang w:val="es-ES" w:eastAsia="en-US"/>
        </w:rPr>
        <w:t xml:space="preserve">“Al respecto y una vez que la Unidad Desconcentrada de Catastros, mediante memorando Nro. GADDMQ-AZEA-DGHT-UC-2021-0015-M, (ver informe adjunto).nos envía los valores, del avalúo del terreno y valor del AIVA, lo cual nos permite determinar el valor a cancelar por parte de los señores, </w:t>
      </w:r>
      <w:r w:rsidRPr="0070654A">
        <w:rPr>
          <w:rFonts w:ascii="Palatino Linotype" w:eastAsiaTheme="minorHAnsi" w:hAnsi="Palatino Linotype"/>
          <w:bCs/>
          <w:i/>
          <w:color w:val="000000" w:themeColor="text1"/>
          <w:sz w:val="22"/>
          <w:szCs w:val="22"/>
          <w:lang w:val="es-ES" w:eastAsia="en-US"/>
        </w:rPr>
        <w:t>MARÍA</w:t>
      </w:r>
      <w:r w:rsidRPr="0070654A">
        <w:rPr>
          <w:rFonts w:ascii="Palatino Linotype" w:eastAsiaTheme="minorHAnsi" w:hAnsi="Palatino Linotype"/>
          <w:i/>
          <w:color w:val="000000" w:themeColor="text1"/>
          <w:sz w:val="22"/>
          <w:szCs w:val="22"/>
          <w:lang w:val="es-ES" w:eastAsia="en-US"/>
        </w:rPr>
        <w:t xml:space="preserve"> </w:t>
      </w:r>
      <w:r w:rsidRPr="0070654A">
        <w:rPr>
          <w:rFonts w:ascii="Palatino Linotype" w:eastAsiaTheme="minorHAnsi" w:hAnsi="Palatino Linotype"/>
          <w:bCs/>
          <w:i/>
          <w:color w:val="000000" w:themeColor="text1"/>
          <w:sz w:val="22"/>
          <w:szCs w:val="22"/>
          <w:lang w:val="es-ES" w:eastAsia="en-US"/>
        </w:rPr>
        <w:t>TERESA ARIAS PICO y el Ing. WALTER GENARO CARDENAS FONSECA, mismo que se agregará a los</w:t>
      </w:r>
      <w:r w:rsidRPr="0070654A">
        <w:rPr>
          <w:rFonts w:ascii="Palatino Linotype" w:eastAsiaTheme="minorHAnsi" w:hAnsi="Palatino Linotype"/>
          <w:i/>
          <w:color w:val="000000" w:themeColor="text1"/>
          <w:sz w:val="22"/>
          <w:szCs w:val="22"/>
          <w:lang w:val="es-ES" w:eastAsia="en-US"/>
        </w:rPr>
        <w:t xml:space="preserve"> </w:t>
      </w:r>
      <w:r w:rsidRPr="0070654A">
        <w:rPr>
          <w:rFonts w:ascii="Palatino Linotype" w:eastAsiaTheme="minorHAnsi" w:hAnsi="Palatino Linotype"/>
          <w:bCs/>
          <w:i/>
          <w:color w:val="000000" w:themeColor="text1"/>
          <w:sz w:val="22"/>
          <w:szCs w:val="22"/>
          <w:lang w:val="es-ES" w:eastAsia="en-US"/>
        </w:rPr>
        <w:t>informes enviados anteriormente, indicando el valor que corresponde al 15% por contribución del área útil</w:t>
      </w:r>
      <w:r w:rsidRPr="0070654A">
        <w:rPr>
          <w:rFonts w:ascii="Palatino Linotype" w:eastAsiaTheme="minorHAnsi" w:hAnsi="Palatino Linotype"/>
          <w:i/>
          <w:color w:val="000000" w:themeColor="text1"/>
          <w:sz w:val="22"/>
          <w:szCs w:val="22"/>
          <w:lang w:val="es-ES" w:eastAsia="en-US"/>
        </w:rPr>
        <w:t xml:space="preserve"> </w:t>
      </w:r>
      <w:r w:rsidRPr="0070654A">
        <w:rPr>
          <w:rFonts w:ascii="Palatino Linotype" w:eastAsiaTheme="minorHAnsi" w:hAnsi="Palatino Linotype"/>
          <w:bCs/>
          <w:i/>
          <w:color w:val="000000" w:themeColor="text1"/>
          <w:sz w:val="22"/>
          <w:szCs w:val="22"/>
          <w:lang w:val="es-ES" w:eastAsia="en-US"/>
        </w:rPr>
        <w:t>adjudicada, el cual se detalla a continuación.</w:t>
      </w:r>
    </w:p>
    <w:p w:rsidR="00B9427A" w:rsidRPr="0070654A" w:rsidRDefault="00B9427A" w:rsidP="00B9427A">
      <w:pPr>
        <w:tabs>
          <w:tab w:val="left" w:pos="284"/>
        </w:tabs>
        <w:jc w:val="both"/>
        <w:rPr>
          <w:rFonts w:ascii="Palatino Linotype" w:eastAsiaTheme="minorHAnsi" w:hAnsi="Palatino Linotype"/>
          <w:bCs/>
          <w:i/>
          <w:color w:val="000000" w:themeColor="text1"/>
          <w:sz w:val="22"/>
          <w:szCs w:val="22"/>
          <w:lang w:val="es-ES" w:eastAsia="en-US"/>
        </w:rPr>
      </w:pPr>
      <w:r w:rsidRPr="0070654A">
        <w:rPr>
          <w:rFonts w:ascii="Palatino Linotype" w:eastAsiaTheme="minorHAnsi" w:hAnsi="Palatino Linotype"/>
          <w:bCs/>
          <w:i/>
          <w:color w:val="000000" w:themeColor="text1"/>
          <w:sz w:val="22"/>
          <w:szCs w:val="22"/>
          <w:lang w:val="es-ES" w:eastAsia="en-US"/>
        </w:rPr>
        <w:tab/>
      </w:r>
      <w:r w:rsidRPr="0070654A">
        <w:rPr>
          <w:rFonts w:ascii="Palatino Linotype" w:eastAsiaTheme="minorHAnsi" w:hAnsi="Palatino Linotype"/>
          <w:bCs/>
          <w:i/>
          <w:color w:val="000000" w:themeColor="text1"/>
          <w:sz w:val="22"/>
          <w:szCs w:val="22"/>
          <w:lang w:val="es-ES" w:eastAsia="en-US"/>
        </w:rPr>
        <w:tab/>
      </w:r>
    </w:p>
    <w:p w:rsidR="00B9427A" w:rsidRPr="0070654A" w:rsidRDefault="00B9427A" w:rsidP="00B9427A">
      <w:pPr>
        <w:tabs>
          <w:tab w:val="left" w:pos="284"/>
        </w:tabs>
        <w:jc w:val="both"/>
        <w:rPr>
          <w:rFonts w:ascii="Palatino Linotype" w:eastAsiaTheme="minorHAnsi" w:hAnsi="Palatino Linotype"/>
          <w:bCs/>
          <w:i/>
          <w:color w:val="000000" w:themeColor="text1"/>
          <w:sz w:val="22"/>
          <w:szCs w:val="22"/>
          <w:lang w:val="es-ES" w:eastAsia="en-US"/>
        </w:rPr>
      </w:pPr>
      <w:r w:rsidRPr="0070654A">
        <w:rPr>
          <w:rFonts w:ascii="Palatino Linotype" w:eastAsiaTheme="minorHAnsi" w:hAnsi="Palatino Linotype"/>
          <w:bCs/>
          <w:i/>
          <w:color w:val="000000" w:themeColor="text1"/>
          <w:sz w:val="22"/>
          <w:szCs w:val="22"/>
          <w:lang w:val="es-ES" w:eastAsia="en-US"/>
        </w:rPr>
        <w:tab/>
      </w:r>
      <w:r w:rsidRPr="0070654A">
        <w:rPr>
          <w:rFonts w:ascii="Palatino Linotype" w:eastAsiaTheme="minorHAnsi" w:hAnsi="Palatino Linotype"/>
          <w:bCs/>
          <w:i/>
          <w:color w:val="000000" w:themeColor="text1"/>
          <w:sz w:val="22"/>
          <w:szCs w:val="22"/>
          <w:lang w:val="es-ES" w:eastAsia="en-US"/>
        </w:rPr>
        <w:tab/>
        <w:t>Área de terreno: 145,00 m2</w:t>
      </w:r>
    </w:p>
    <w:p w:rsidR="00B9427A" w:rsidRPr="0070654A" w:rsidRDefault="00B9427A" w:rsidP="00B9427A">
      <w:pPr>
        <w:tabs>
          <w:tab w:val="left" w:pos="284"/>
        </w:tabs>
        <w:jc w:val="both"/>
        <w:rPr>
          <w:rFonts w:ascii="Palatino Linotype" w:eastAsiaTheme="minorHAnsi" w:hAnsi="Palatino Linotype"/>
          <w:bCs/>
          <w:i/>
          <w:color w:val="000000" w:themeColor="text1"/>
          <w:sz w:val="22"/>
          <w:szCs w:val="22"/>
          <w:lang w:val="es-ES" w:eastAsia="en-US"/>
        </w:rPr>
      </w:pPr>
      <w:r w:rsidRPr="0070654A">
        <w:rPr>
          <w:rFonts w:ascii="Palatino Linotype" w:eastAsiaTheme="minorHAnsi" w:hAnsi="Palatino Linotype"/>
          <w:bCs/>
          <w:i/>
          <w:color w:val="000000" w:themeColor="text1"/>
          <w:sz w:val="22"/>
          <w:szCs w:val="22"/>
          <w:lang w:val="es-ES" w:eastAsia="en-US"/>
        </w:rPr>
        <w:tab/>
      </w:r>
      <w:r w:rsidRPr="0070654A">
        <w:rPr>
          <w:rFonts w:ascii="Palatino Linotype" w:eastAsiaTheme="minorHAnsi" w:hAnsi="Palatino Linotype"/>
          <w:bCs/>
          <w:i/>
          <w:color w:val="000000" w:themeColor="text1"/>
          <w:sz w:val="22"/>
          <w:szCs w:val="22"/>
          <w:lang w:val="es-ES" w:eastAsia="en-US"/>
        </w:rPr>
        <w:tab/>
        <w:t>Avalúo del terreno: $ 15.660,00</w:t>
      </w:r>
    </w:p>
    <w:p w:rsidR="00B9427A" w:rsidRPr="0070654A" w:rsidRDefault="00B9427A" w:rsidP="00B9427A">
      <w:pPr>
        <w:tabs>
          <w:tab w:val="left" w:pos="284"/>
        </w:tabs>
        <w:jc w:val="both"/>
        <w:rPr>
          <w:rFonts w:ascii="Palatino Linotype" w:eastAsiaTheme="minorHAnsi" w:hAnsi="Palatino Linotype"/>
          <w:bCs/>
          <w:i/>
          <w:color w:val="000000" w:themeColor="text1"/>
          <w:sz w:val="22"/>
          <w:szCs w:val="22"/>
          <w:lang w:val="es-ES" w:eastAsia="en-US"/>
        </w:rPr>
      </w:pPr>
      <w:r w:rsidRPr="0070654A">
        <w:rPr>
          <w:rFonts w:ascii="Palatino Linotype" w:eastAsiaTheme="minorHAnsi" w:hAnsi="Palatino Linotype"/>
          <w:bCs/>
          <w:i/>
          <w:color w:val="000000" w:themeColor="text1"/>
          <w:sz w:val="22"/>
          <w:szCs w:val="22"/>
          <w:lang w:val="es-ES" w:eastAsia="en-US"/>
        </w:rPr>
        <w:tab/>
      </w:r>
      <w:r w:rsidRPr="0070654A">
        <w:rPr>
          <w:rFonts w:ascii="Palatino Linotype" w:eastAsiaTheme="minorHAnsi" w:hAnsi="Palatino Linotype"/>
          <w:bCs/>
          <w:i/>
          <w:color w:val="000000" w:themeColor="text1"/>
          <w:sz w:val="22"/>
          <w:szCs w:val="22"/>
          <w:lang w:val="es-ES" w:eastAsia="en-US"/>
        </w:rPr>
        <w:tab/>
        <w:t>Valor del m2: $ 108.00 c/m2</w:t>
      </w:r>
    </w:p>
    <w:p w:rsidR="00B9427A" w:rsidRPr="0070654A" w:rsidRDefault="00B9427A" w:rsidP="00B9427A">
      <w:pPr>
        <w:tabs>
          <w:tab w:val="left" w:pos="284"/>
        </w:tabs>
        <w:jc w:val="both"/>
        <w:rPr>
          <w:rFonts w:ascii="Palatino Linotype" w:eastAsiaTheme="minorHAnsi" w:hAnsi="Palatino Linotype"/>
          <w:bCs/>
          <w:i/>
          <w:color w:val="000000" w:themeColor="text1"/>
          <w:sz w:val="22"/>
          <w:szCs w:val="22"/>
          <w:lang w:val="es-ES" w:eastAsia="en-US"/>
        </w:rPr>
      </w:pPr>
      <w:r w:rsidRPr="0070654A">
        <w:rPr>
          <w:rFonts w:ascii="Palatino Linotype" w:eastAsiaTheme="minorHAnsi" w:hAnsi="Palatino Linotype"/>
          <w:bCs/>
          <w:i/>
          <w:color w:val="000000" w:themeColor="text1"/>
          <w:sz w:val="22"/>
          <w:szCs w:val="22"/>
          <w:lang w:val="es-ES" w:eastAsia="en-US"/>
        </w:rPr>
        <w:tab/>
      </w:r>
      <w:r w:rsidRPr="0070654A">
        <w:rPr>
          <w:rFonts w:ascii="Palatino Linotype" w:eastAsiaTheme="minorHAnsi" w:hAnsi="Palatino Linotype"/>
          <w:bCs/>
          <w:i/>
          <w:color w:val="000000" w:themeColor="text1"/>
          <w:sz w:val="22"/>
          <w:szCs w:val="22"/>
          <w:lang w:val="es-ES" w:eastAsia="en-US"/>
        </w:rPr>
        <w:tab/>
        <w:t>Valor del AIVA: $ No Indica</w:t>
      </w:r>
    </w:p>
    <w:p w:rsidR="00B9427A" w:rsidRPr="0070654A" w:rsidRDefault="00B9427A" w:rsidP="00B9427A">
      <w:pPr>
        <w:tabs>
          <w:tab w:val="left" w:pos="284"/>
        </w:tabs>
        <w:jc w:val="both"/>
        <w:rPr>
          <w:rFonts w:ascii="Palatino Linotype" w:eastAsiaTheme="minorHAnsi" w:hAnsi="Palatino Linotype"/>
          <w:bCs/>
          <w:i/>
          <w:color w:val="000000" w:themeColor="text1"/>
          <w:sz w:val="22"/>
          <w:szCs w:val="22"/>
          <w:lang w:val="es-ES" w:eastAsia="en-US"/>
        </w:rPr>
      </w:pPr>
      <w:r w:rsidRPr="0070654A">
        <w:rPr>
          <w:rFonts w:ascii="Palatino Linotype" w:eastAsiaTheme="minorHAnsi" w:hAnsi="Palatino Linotype"/>
          <w:bCs/>
          <w:i/>
          <w:color w:val="000000" w:themeColor="text1"/>
          <w:sz w:val="22"/>
          <w:szCs w:val="22"/>
          <w:lang w:val="es-ES" w:eastAsia="en-US"/>
        </w:rPr>
        <w:tab/>
      </w:r>
      <w:r w:rsidRPr="0070654A">
        <w:rPr>
          <w:rFonts w:ascii="Palatino Linotype" w:eastAsiaTheme="minorHAnsi" w:hAnsi="Palatino Linotype"/>
          <w:bCs/>
          <w:i/>
          <w:color w:val="000000" w:themeColor="text1"/>
          <w:sz w:val="22"/>
          <w:szCs w:val="22"/>
          <w:lang w:val="es-ES" w:eastAsia="en-US"/>
        </w:rPr>
        <w:tab/>
        <w:t>Área Útil Adjudicada: 88.11 m2</w:t>
      </w:r>
    </w:p>
    <w:p w:rsidR="00B9427A" w:rsidRPr="0070654A" w:rsidRDefault="00B9427A" w:rsidP="00B9427A">
      <w:pPr>
        <w:tabs>
          <w:tab w:val="left" w:pos="284"/>
        </w:tabs>
        <w:jc w:val="both"/>
        <w:rPr>
          <w:rFonts w:ascii="Palatino Linotype" w:eastAsiaTheme="minorHAnsi" w:hAnsi="Palatino Linotype"/>
          <w:bCs/>
          <w:i/>
          <w:color w:val="000000" w:themeColor="text1"/>
          <w:sz w:val="22"/>
          <w:szCs w:val="22"/>
          <w:lang w:val="es-ES" w:eastAsia="en-US"/>
        </w:rPr>
      </w:pPr>
      <w:r w:rsidRPr="0070654A">
        <w:rPr>
          <w:rFonts w:ascii="Palatino Linotype" w:eastAsiaTheme="minorHAnsi" w:hAnsi="Palatino Linotype"/>
          <w:bCs/>
          <w:i/>
          <w:color w:val="000000" w:themeColor="text1"/>
          <w:sz w:val="22"/>
          <w:szCs w:val="22"/>
          <w:lang w:val="es-ES" w:eastAsia="en-US"/>
        </w:rPr>
        <w:tab/>
      </w:r>
      <w:r w:rsidRPr="0070654A">
        <w:rPr>
          <w:rFonts w:ascii="Palatino Linotype" w:eastAsiaTheme="minorHAnsi" w:hAnsi="Palatino Linotype"/>
          <w:bCs/>
          <w:i/>
          <w:color w:val="000000" w:themeColor="text1"/>
          <w:sz w:val="22"/>
          <w:szCs w:val="22"/>
          <w:lang w:val="es-ES" w:eastAsia="en-US"/>
        </w:rPr>
        <w:tab/>
        <w:t>15% del Área adjudicada: 13.22 m2</w:t>
      </w:r>
    </w:p>
    <w:p w:rsidR="00B9427A" w:rsidRPr="0070654A" w:rsidRDefault="00B9427A" w:rsidP="00B9427A">
      <w:pPr>
        <w:tabs>
          <w:tab w:val="left" w:pos="284"/>
        </w:tabs>
        <w:jc w:val="both"/>
        <w:rPr>
          <w:rFonts w:ascii="Palatino Linotype" w:hAnsi="Palatino Linotype"/>
          <w:color w:val="000000" w:themeColor="text1"/>
          <w:sz w:val="22"/>
          <w:szCs w:val="22"/>
        </w:rPr>
      </w:pPr>
      <w:r w:rsidRPr="0070654A">
        <w:rPr>
          <w:rFonts w:ascii="Palatino Linotype" w:eastAsiaTheme="minorHAnsi" w:hAnsi="Palatino Linotype"/>
          <w:bCs/>
          <w:i/>
          <w:color w:val="000000" w:themeColor="text1"/>
          <w:sz w:val="22"/>
          <w:szCs w:val="22"/>
          <w:lang w:val="es-ES" w:eastAsia="en-US"/>
        </w:rPr>
        <w:tab/>
      </w:r>
      <w:r w:rsidRPr="0070654A">
        <w:rPr>
          <w:rFonts w:ascii="Palatino Linotype" w:eastAsiaTheme="minorHAnsi" w:hAnsi="Palatino Linotype"/>
          <w:bCs/>
          <w:i/>
          <w:color w:val="000000" w:themeColor="text1"/>
          <w:sz w:val="22"/>
          <w:szCs w:val="22"/>
          <w:lang w:val="es-ES" w:eastAsia="en-US"/>
        </w:rPr>
        <w:tab/>
        <w:t>Valor a cancelar 13.22 X 108 =</w:t>
      </w:r>
      <w:r w:rsidRPr="0070654A">
        <w:rPr>
          <w:rFonts w:ascii="Palatino Linotype" w:eastAsiaTheme="minorHAnsi" w:hAnsi="Palatino Linotype"/>
          <w:b/>
          <w:bCs/>
          <w:i/>
          <w:color w:val="000000" w:themeColor="text1"/>
          <w:sz w:val="22"/>
          <w:szCs w:val="22"/>
          <w:lang w:val="es-ES" w:eastAsia="en-US"/>
        </w:rPr>
        <w:t xml:space="preserve"> $ </w:t>
      </w:r>
      <w:r w:rsidRPr="0070654A">
        <w:rPr>
          <w:rFonts w:ascii="Palatino Linotype" w:eastAsiaTheme="minorHAnsi" w:hAnsi="Palatino Linotype"/>
          <w:i/>
          <w:color w:val="000000" w:themeColor="text1"/>
          <w:sz w:val="22"/>
          <w:szCs w:val="22"/>
          <w:lang w:val="es-ES" w:eastAsia="en-US"/>
        </w:rPr>
        <w:t>1.427.76 dólares”</w:t>
      </w:r>
      <w:r w:rsidR="00AD7AF2">
        <w:rPr>
          <w:rFonts w:ascii="Palatino Linotype" w:eastAsiaTheme="minorHAnsi" w:hAnsi="Palatino Linotype"/>
          <w:b/>
          <w:bCs/>
          <w:color w:val="000000" w:themeColor="text1"/>
          <w:sz w:val="22"/>
          <w:szCs w:val="22"/>
          <w:lang w:val="es-ES" w:eastAsia="en-US"/>
        </w:rPr>
        <w:t>;</w:t>
      </w:r>
    </w:p>
    <w:p w:rsidR="000113AC" w:rsidRDefault="000113AC" w:rsidP="000113AC">
      <w:pPr>
        <w:autoSpaceDE w:val="0"/>
        <w:autoSpaceDN w:val="0"/>
        <w:adjustRightInd w:val="0"/>
        <w:ind w:left="708" w:hanging="708"/>
        <w:jc w:val="both"/>
        <w:rPr>
          <w:rFonts w:ascii="Palatino Linotype" w:hAnsi="Palatino Linotype"/>
          <w:b/>
          <w:sz w:val="22"/>
          <w:szCs w:val="22"/>
        </w:rPr>
      </w:pPr>
    </w:p>
    <w:p w:rsidR="000113AC" w:rsidRPr="00993181" w:rsidRDefault="000113AC" w:rsidP="000113AC">
      <w:pPr>
        <w:autoSpaceDE w:val="0"/>
        <w:autoSpaceDN w:val="0"/>
        <w:adjustRightInd w:val="0"/>
        <w:spacing w:line="276" w:lineRule="auto"/>
        <w:ind w:left="649" w:hangingChars="295" w:hanging="649"/>
        <w:jc w:val="both"/>
        <w:rPr>
          <w:rFonts w:ascii="Palatino Linotype" w:eastAsiaTheme="minorHAnsi" w:hAnsi="Palatino Linotype"/>
          <w:i/>
          <w:sz w:val="22"/>
          <w:szCs w:val="22"/>
          <w:lang w:eastAsia="en-US"/>
        </w:rPr>
      </w:pPr>
    </w:p>
    <w:p w:rsidR="000113AC" w:rsidRPr="00993181" w:rsidRDefault="000113AC" w:rsidP="000113AC">
      <w:pPr>
        <w:pStyle w:val="Default"/>
        <w:ind w:left="708" w:hanging="708"/>
        <w:jc w:val="both"/>
        <w:rPr>
          <w:sz w:val="22"/>
          <w:szCs w:val="22"/>
        </w:rPr>
      </w:pPr>
      <w:r w:rsidRPr="00993181">
        <w:rPr>
          <w:b/>
          <w:sz w:val="22"/>
          <w:szCs w:val="22"/>
        </w:rPr>
        <w:t>Que,</w:t>
      </w:r>
      <w:r w:rsidRPr="00993181">
        <w:rPr>
          <w:sz w:val="22"/>
          <w:szCs w:val="22"/>
        </w:rPr>
        <w:t xml:space="preserve"> mediante oficio GADDMQ-PM-2021-0396-O de 29 de enero de 2021, el Dr. Edison Yépez Vinueza, Subprocurador Metropolitano, señala: </w:t>
      </w:r>
    </w:p>
    <w:p w:rsidR="000113AC" w:rsidRPr="00993181" w:rsidRDefault="000113AC" w:rsidP="000113AC">
      <w:pPr>
        <w:tabs>
          <w:tab w:val="left" w:pos="426"/>
        </w:tabs>
        <w:ind w:left="1416" w:right="566"/>
        <w:jc w:val="both"/>
        <w:rPr>
          <w:rFonts w:ascii="Palatino Linotype" w:hAnsi="Palatino Linotype"/>
          <w:i/>
          <w:sz w:val="22"/>
          <w:szCs w:val="22"/>
        </w:rPr>
      </w:pP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 xml:space="preserve">En este sentido, corresponde a las Administraciones Zonales determinar en cada caso particular, la aplicación del criterio anteriormente señalado, para lo cual deberá tomar en </w:t>
      </w:r>
      <w:r w:rsidRPr="00993181">
        <w:rPr>
          <w:rFonts w:ascii="Palatino Linotype" w:hAnsi="Palatino Linotype"/>
          <w:i/>
          <w:sz w:val="22"/>
          <w:szCs w:val="22"/>
        </w:rPr>
        <w:lastRenderedPageBreak/>
        <w:t>cuenta en sujeción a la normativa vigente y por tratarse de un fraccionamiento, los parámetros de lote mínimo, frente mínimo y contribución o compensación de áreas verdes.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Pr>
          <w:rFonts w:ascii="Palatino Linotype" w:hAnsi="Palatino Linotype"/>
          <w:i/>
          <w:sz w:val="22"/>
          <w:szCs w:val="22"/>
        </w:rPr>
        <w:t>no de los casos en particular.”;</w:t>
      </w:r>
    </w:p>
    <w:p w:rsidR="005168D0" w:rsidRPr="00803B5D" w:rsidRDefault="005168D0" w:rsidP="000F0D3B">
      <w:pPr>
        <w:pStyle w:val="Default"/>
        <w:ind w:left="708" w:hanging="708"/>
        <w:jc w:val="both"/>
        <w:rPr>
          <w:b/>
          <w:i/>
          <w:sz w:val="22"/>
          <w:szCs w:val="22"/>
        </w:rPr>
      </w:pPr>
    </w:p>
    <w:p w:rsidR="005C1350" w:rsidRPr="0070654A" w:rsidRDefault="009C7AA1" w:rsidP="005C1350">
      <w:pPr>
        <w:pStyle w:val="Default"/>
        <w:ind w:left="708" w:hanging="708"/>
        <w:jc w:val="both"/>
        <w:rPr>
          <w:color w:val="000000" w:themeColor="text1"/>
          <w:sz w:val="22"/>
          <w:szCs w:val="22"/>
        </w:rPr>
      </w:pPr>
      <w:r>
        <w:rPr>
          <w:b/>
          <w:sz w:val="22"/>
          <w:szCs w:val="22"/>
        </w:rPr>
        <w:t xml:space="preserve">Que, </w:t>
      </w:r>
      <w:r w:rsidR="005C1350">
        <w:rPr>
          <w:color w:val="000000" w:themeColor="text1"/>
          <w:sz w:val="22"/>
          <w:szCs w:val="22"/>
        </w:rPr>
        <w:t>m</w:t>
      </w:r>
      <w:r w:rsidR="005C1350" w:rsidRPr="0070654A">
        <w:rPr>
          <w:color w:val="000000" w:themeColor="text1"/>
          <w:sz w:val="22"/>
          <w:szCs w:val="22"/>
        </w:rPr>
        <w:t xml:space="preserve">ediante Informe </w:t>
      </w:r>
      <w:r w:rsidR="005C1350" w:rsidRPr="0070654A">
        <w:rPr>
          <w:color w:val="000000" w:themeColor="text1"/>
          <w:sz w:val="22"/>
          <w:szCs w:val="22"/>
          <w:lang w:val="es-EC"/>
        </w:rPr>
        <w:t>Legal No. 038-DJ-2021, de 27 de enero del 2022</w:t>
      </w:r>
      <w:r w:rsidR="005C1350" w:rsidRPr="0070654A">
        <w:rPr>
          <w:color w:val="000000" w:themeColor="text1"/>
          <w:sz w:val="22"/>
          <w:szCs w:val="22"/>
        </w:rPr>
        <w:t>, el abogado Oscar Jumbo Jumbo, Director de Asesoría Jurídica, emitió su criterio jurídico el mismo que en la parte pertinente, señala:</w:t>
      </w:r>
    </w:p>
    <w:p w:rsidR="005C1350" w:rsidRPr="0070654A" w:rsidRDefault="005C1350" w:rsidP="005C1350">
      <w:pPr>
        <w:pStyle w:val="Default"/>
        <w:jc w:val="both"/>
        <w:rPr>
          <w:i/>
          <w:color w:val="000000" w:themeColor="text1"/>
          <w:sz w:val="22"/>
          <w:szCs w:val="22"/>
          <w:highlight w:val="yellow"/>
        </w:rPr>
      </w:pPr>
    </w:p>
    <w:p w:rsidR="00694D54" w:rsidRDefault="005C1350" w:rsidP="006767EB">
      <w:pPr>
        <w:pStyle w:val="Default"/>
        <w:ind w:left="708"/>
        <w:jc w:val="both"/>
        <w:rPr>
          <w:sz w:val="22"/>
          <w:szCs w:val="22"/>
        </w:rPr>
      </w:pPr>
      <w:r w:rsidRPr="0070654A">
        <w:rPr>
          <w:i/>
          <w:color w:val="000000" w:themeColor="text1"/>
          <w:sz w:val="22"/>
          <w:szCs w:val="22"/>
        </w:rPr>
        <w:t xml:space="preserve">“(… )Por lo expuesto; y, con sustento en el memorando No. GADDMQ-AZEA-DGT-UGU-2022-0017- M, suscrito por el Arq. Marcelo Edwin Ati Pilaquinga, Responsable de la Unidad de Gestión Urbana, quien concluye que </w:t>
      </w:r>
      <w:r w:rsidRPr="0070654A">
        <w:rPr>
          <w:b/>
          <w:bCs/>
          <w:i/>
          <w:color w:val="000000" w:themeColor="text1"/>
          <w:sz w:val="22"/>
          <w:szCs w:val="22"/>
        </w:rPr>
        <w:t xml:space="preserve">"el valor a cancelar 13.22 X 108 = $1427,76 dólares", </w:t>
      </w:r>
      <w:r w:rsidRPr="0070654A">
        <w:rPr>
          <w:i/>
          <w:color w:val="000000" w:themeColor="text1"/>
          <w:sz w:val="22"/>
          <w:szCs w:val="22"/>
        </w:rPr>
        <w:t xml:space="preserve">esta Dirección de Asesoría Jurídica, para dar estricto cumplimiento a la Sentencia dictada el 17 de septiembre del 2012, por el Juez Séptimo de lo Civil de Pichincha, emite </w:t>
      </w:r>
      <w:r w:rsidRPr="0070654A">
        <w:rPr>
          <w:b/>
          <w:bCs/>
          <w:i/>
          <w:color w:val="000000" w:themeColor="text1"/>
          <w:sz w:val="22"/>
          <w:szCs w:val="22"/>
        </w:rPr>
        <w:t>INFORME LEGAL</w:t>
      </w:r>
      <w:r w:rsidRPr="0070654A">
        <w:rPr>
          <w:i/>
          <w:color w:val="000000" w:themeColor="text1"/>
          <w:sz w:val="22"/>
          <w:szCs w:val="22"/>
        </w:rPr>
        <w:t xml:space="preserve"> </w:t>
      </w:r>
      <w:r w:rsidRPr="0070654A">
        <w:rPr>
          <w:b/>
          <w:bCs/>
          <w:i/>
          <w:color w:val="000000" w:themeColor="text1"/>
          <w:sz w:val="22"/>
          <w:szCs w:val="22"/>
        </w:rPr>
        <w:t xml:space="preserve">FAVORABLE </w:t>
      </w:r>
      <w:r w:rsidRPr="0070654A">
        <w:rPr>
          <w:i/>
          <w:color w:val="000000" w:themeColor="text1"/>
          <w:sz w:val="22"/>
          <w:szCs w:val="22"/>
        </w:rPr>
        <w:t xml:space="preserve">para que el Concejo Metropolitano, en acatamiento de la sentencia que es de cumplimiento obligatorio, conforme lo dispone el numeral 4 del artículo 86 de la Constitución, autorice la Partición Judicial del lote de terreno con predio No. 586074, ubicado en la parroquia Chilibulo, Cantón Quito, cambiando las condiciones de este inmueble en particular, estableciendo </w:t>
      </w:r>
      <w:r w:rsidRPr="0070654A">
        <w:rPr>
          <w:i/>
          <w:color w:val="000000" w:themeColor="text1"/>
          <w:sz w:val="22"/>
          <w:szCs w:val="22"/>
          <w:lang w:val="es-EC"/>
        </w:rPr>
        <w:t>una excepción a las condiciones generales.”</w:t>
      </w:r>
      <w:r w:rsidR="00CF561D">
        <w:rPr>
          <w:i/>
          <w:color w:val="000000" w:themeColor="text1"/>
          <w:sz w:val="22"/>
          <w:szCs w:val="22"/>
          <w:lang w:val="es-EC"/>
        </w:rPr>
        <w:t>;</w:t>
      </w:r>
    </w:p>
    <w:p w:rsidR="003144EF" w:rsidRPr="004A0BE9" w:rsidRDefault="003144EF" w:rsidP="003144EF">
      <w:pPr>
        <w:pStyle w:val="Default"/>
        <w:ind w:left="708" w:hanging="708"/>
        <w:jc w:val="both"/>
        <w:rPr>
          <w:b/>
          <w:sz w:val="22"/>
          <w:szCs w:val="22"/>
        </w:rPr>
      </w:pPr>
    </w:p>
    <w:p w:rsidR="000113AC" w:rsidRPr="00993181" w:rsidRDefault="000113AC" w:rsidP="000113AC">
      <w:pPr>
        <w:pStyle w:val="Default"/>
        <w:ind w:left="708" w:hanging="708"/>
        <w:jc w:val="both"/>
        <w:rPr>
          <w:sz w:val="22"/>
          <w:szCs w:val="22"/>
        </w:rPr>
      </w:pPr>
      <w:r w:rsidRPr="004A0BE9">
        <w:rPr>
          <w:b/>
          <w:sz w:val="22"/>
          <w:szCs w:val="22"/>
        </w:rPr>
        <w:t xml:space="preserve">Que, </w:t>
      </w:r>
      <w:r w:rsidRPr="00993181">
        <w:rPr>
          <w:sz w:val="22"/>
          <w:szCs w:val="22"/>
        </w:rPr>
        <w:tab/>
        <w:t>la Comisión de Uso de Su</w:t>
      </w:r>
      <w:r w:rsidR="00C31F94">
        <w:rPr>
          <w:sz w:val="22"/>
          <w:szCs w:val="22"/>
        </w:rPr>
        <w:t xml:space="preserve">elo en sesión ordinaria Nro. </w:t>
      </w:r>
      <w:r w:rsidR="00061B14">
        <w:rPr>
          <w:sz w:val="22"/>
          <w:szCs w:val="22"/>
        </w:rPr>
        <w:t>139</w:t>
      </w:r>
      <w:r w:rsidRPr="00993181">
        <w:rPr>
          <w:sz w:val="22"/>
          <w:szCs w:val="22"/>
        </w:rPr>
        <w:t xml:space="preserve">, de </w:t>
      </w:r>
      <w:r w:rsidR="00061B14">
        <w:rPr>
          <w:sz w:val="22"/>
          <w:szCs w:val="22"/>
        </w:rPr>
        <w:t xml:space="preserve">28 </w:t>
      </w:r>
      <w:r w:rsidRPr="00993181">
        <w:rPr>
          <w:sz w:val="22"/>
          <w:szCs w:val="22"/>
        </w:rPr>
        <w:t xml:space="preserve">de </w:t>
      </w:r>
      <w:r w:rsidR="00061B14">
        <w:rPr>
          <w:sz w:val="22"/>
          <w:szCs w:val="22"/>
        </w:rPr>
        <w:t>marzo de 2022</w:t>
      </w:r>
      <w:r w:rsidRPr="00993181">
        <w:rPr>
          <w:sz w:val="22"/>
          <w:szCs w:val="22"/>
        </w:rPr>
        <w:t xml:space="preserve">,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061B14">
        <w:rPr>
          <w:rFonts w:ascii="Palatino Linotype" w:eastAsiaTheme="minorHAnsi" w:hAnsi="Palatino Linotype"/>
          <w:sz w:val="22"/>
          <w:szCs w:val="22"/>
          <w:lang w:eastAsia="en-US"/>
        </w:rPr>
        <w:t>2</w:t>
      </w:r>
      <w:r w:rsidR="007A32EC">
        <w:rPr>
          <w:rFonts w:ascii="Palatino Linotype" w:eastAsiaTheme="minorHAnsi" w:hAnsi="Palatino Linotype"/>
          <w:sz w:val="22"/>
          <w:szCs w:val="22"/>
          <w:lang w:eastAsia="en-US"/>
        </w:rPr>
        <w:t>-</w:t>
      </w:r>
      <w:r w:rsidR="00061B14">
        <w:rPr>
          <w:rFonts w:ascii="Palatino Linotype" w:eastAsiaTheme="minorHAnsi" w:hAnsi="Palatino Linotype"/>
          <w:sz w:val="22"/>
          <w:szCs w:val="22"/>
          <w:lang w:eastAsia="en-US"/>
        </w:rPr>
        <w:t>035</w:t>
      </w:r>
      <w:r w:rsidRPr="00993181">
        <w:rPr>
          <w:rFonts w:ascii="Palatino Linotype" w:eastAsiaTheme="minorHAnsi" w:hAnsi="Palatino Linotype"/>
          <w:sz w:val="22"/>
          <w:szCs w:val="22"/>
          <w:lang w:eastAsia="en-US"/>
        </w:rPr>
        <w:t xml:space="preserve">, emitido por la Comisión de Uso de Suelo;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lastRenderedPageBreak/>
        <w:t xml:space="preserve">En ejercicio de las atribuciones previstas en el artículo 240 de la Constitución de la República; y artículos 87 literal a) y 323 del Código Orgánico de Organización Territorial, Autonomía y Descentralización. </w:t>
      </w: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RESUELVE:</w:t>
      </w:r>
    </w:p>
    <w:p w:rsidR="000113AC" w:rsidRPr="00993181" w:rsidRDefault="000113AC" w:rsidP="000113AC">
      <w:pPr>
        <w:autoSpaceDE w:val="0"/>
        <w:autoSpaceDN w:val="0"/>
        <w:adjustRightInd w:val="0"/>
        <w:spacing w:line="276" w:lineRule="auto"/>
        <w:jc w:val="center"/>
        <w:rPr>
          <w:rFonts w:ascii="Palatino Linotype" w:hAnsi="Palatino Linotype"/>
          <w:sz w:val="22"/>
          <w:szCs w:val="22"/>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Artículo 1.-</w:t>
      </w:r>
      <w:r w:rsidRPr="00993181">
        <w:rPr>
          <w:rFonts w:ascii="Palatino Linotype" w:eastAsiaTheme="minorHAnsi" w:hAnsi="Palatino Linotype"/>
          <w:sz w:val="22"/>
          <w:szCs w:val="22"/>
          <w:lang w:eastAsia="en-US"/>
        </w:rPr>
        <w:t xml:space="preserve"> Acoger el informe Nr</w:t>
      </w:r>
      <w:r w:rsidR="00061B14">
        <w:rPr>
          <w:rFonts w:ascii="Palatino Linotype" w:eastAsiaTheme="minorHAnsi" w:hAnsi="Palatino Linotype"/>
          <w:sz w:val="22"/>
          <w:szCs w:val="22"/>
          <w:lang w:eastAsia="en-US"/>
        </w:rPr>
        <w:t>o. IC-CUS-2022</w:t>
      </w:r>
      <w:r w:rsidRPr="00993181">
        <w:rPr>
          <w:rFonts w:ascii="Palatino Linotype" w:eastAsiaTheme="minorHAnsi" w:hAnsi="Palatino Linotype"/>
          <w:sz w:val="22"/>
          <w:szCs w:val="22"/>
          <w:lang w:eastAsia="en-US"/>
        </w:rPr>
        <w:t>-</w:t>
      </w:r>
      <w:r w:rsidR="00061B14">
        <w:rPr>
          <w:rFonts w:ascii="Palatino Linotype" w:eastAsiaTheme="minorHAnsi" w:hAnsi="Palatino Linotype"/>
          <w:sz w:val="22"/>
          <w:szCs w:val="22"/>
          <w:lang w:eastAsia="en-US"/>
        </w:rPr>
        <w:t>035</w:t>
      </w:r>
      <w:r w:rsidRPr="00993181">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excepción a las condiciones generales.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0350C3" w:rsidRPr="00704417">
        <w:rPr>
          <w:rFonts w:ascii="Palatino Linotype" w:eastAsiaTheme="minorHAnsi" w:hAnsi="Palatino Linotype"/>
          <w:sz w:val="22"/>
          <w:szCs w:val="22"/>
          <w:lang w:eastAsia="en-US"/>
        </w:rPr>
        <w:t xml:space="preserve">los señores </w:t>
      </w:r>
      <w:r w:rsidR="001203A0" w:rsidRPr="0070654A">
        <w:rPr>
          <w:rFonts w:ascii="Palatino Linotype" w:hAnsi="Palatino Linotype"/>
          <w:color w:val="000000" w:themeColor="text1"/>
          <w:sz w:val="22"/>
          <w:szCs w:val="22"/>
          <w:lang w:val="es-ES"/>
        </w:rPr>
        <w:t>Cárdenas Fonseca Walter Genaro y Arias Pico María Teresa</w:t>
      </w:r>
      <w:r w:rsidRPr="00704417">
        <w:rPr>
          <w:rFonts w:ascii="Palatino Linotype" w:eastAsiaTheme="minorHAnsi" w:hAnsi="Palatino Linotype"/>
          <w:sz w:val="22"/>
          <w:szCs w:val="22"/>
          <w:lang w:eastAsia="en-US"/>
        </w:rPr>
        <w:t>,</w:t>
      </w:r>
      <w:r w:rsidRPr="00993181">
        <w:rPr>
          <w:rFonts w:ascii="Palatino Linotype" w:eastAsiaTheme="minorHAnsi" w:hAnsi="Palatino Linotype"/>
          <w:sz w:val="22"/>
          <w:szCs w:val="22"/>
          <w:lang w:eastAsia="en-US"/>
        </w:rPr>
        <w:t xml:space="preserve"> deberá</w:t>
      </w:r>
      <w:r w:rsidR="000350C3">
        <w:rPr>
          <w:rFonts w:ascii="Palatino Linotype" w:eastAsiaTheme="minorHAnsi" w:hAnsi="Palatino Linotype"/>
          <w:sz w:val="22"/>
          <w:szCs w:val="22"/>
          <w:lang w:eastAsia="en-US"/>
        </w:rPr>
        <w:t>n</w:t>
      </w:r>
      <w:r w:rsidRPr="00993181">
        <w:rPr>
          <w:rFonts w:ascii="Palatino Linotype" w:eastAsiaTheme="minorHAnsi" w:hAnsi="Palatino Linotype"/>
          <w:sz w:val="22"/>
          <w:szCs w:val="22"/>
          <w:lang w:eastAsia="en-US"/>
        </w:rPr>
        <w:t xml:space="preserve"> compensar en valor monetario, la contribución del 15% del área útil adjudicada, que, de acuerdo al cálculo realizado por la Administración Zonal, corresponde al valor de </w:t>
      </w:r>
      <w:r w:rsidR="00F7765D" w:rsidRPr="00704417">
        <w:rPr>
          <w:rFonts w:ascii="Palatino Linotype" w:eastAsiaTheme="minorHAnsi" w:hAnsi="Palatino Linotype"/>
          <w:sz w:val="22"/>
          <w:szCs w:val="22"/>
          <w:lang w:eastAsia="en-US"/>
        </w:rPr>
        <w:t xml:space="preserve">$ </w:t>
      </w:r>
      <w:r w:rsidR="008A28F7" w:rsidRPr="008A28F7">
        <w:rPr>
          <w:bCs/>
          <w:color w:val="000000" w:themeColor="text1"/>
          <w:sz w:val="22"/>
          <w:szCs w:val="22"/>
        </w:rPr>
        <w:t>1427,76</w:t>
      </w:r>
      <w:r w:rsidR="008A28F7">
        <w:rPr>
          <w:bCs/>
          <w:color w:val="000000" w:themeColor="text1"/>
          <w:sz w:val="22"/>
          <w:szCs w:val="22"/>
        </w:rPr>
        <w:t xml:space="preserve"> </w:t>
      </w:r>
      <w:r w:rsidRPr="00993181">
        <w:rPr>
          <w:rFonts w:ascii="Palatino Linotype" w:eastAsiaTheme="minorHAnsi" w:hAnsi="Palatino Linotype"/>
          <w:sz w:val="22"/>
          <w:szCs w:val="22"/>
          <w:lang w:eastAsia="en-US"/>
        </w:rPr>
        <w:t xml:space="preserve">dólares. </w:t>
      </w:r>
      <w:bookmarkStart w:id="0" w:name="_GoBack"/>
      <w:bookmarkEnd w:id="0"/>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 xml:space="preserve">Artículo 2.- </w:t>
      </w:r>
      <w:r w:rsidRPr="00993181">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993181"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Disposición Final.-</w:t>
      </w:r>
      <w:r w:rsidRPr="00993181">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sz w:val="22"/>
          <w:szCs w:val="22"/>
        </w:rPr>
        <w:t xml:space="preserve">Dada en la sesión del Concejo Metropolitano de Quito, el ……….. </w:t>
      </w:r>
    </w:p>
    <w:p w:rsidR="000113AC" w:rsidRPr="00993181" w:rsidRDefault="000113AC" w:rsidP="000113AC">
      <w:pPr>
        <w:spacing w:line="276" w:lineRule="auto"/>
        <w:ind w:left="-5"/>
        <w:jc w:val="both"/>
        <w:rPr>
          <w:rFonts w:ascii="Palatino Linotype" w:hAnsi="Palatino Linotype"/>
          <w:sz w:val="22"/>
          <w:szCs w:val="22"/>
        </w:rPr>
      </w:pPr>
    </w:p>
    <w:p w:rsidR="000113AC" w:rsidRPr="00993181" w:rsidRDefault="000113AC" w:rsidP="000113AC">
      <w:pPr>
        <w:spacing w:line="276" w:lineRule="auto"/>
        <w:ind w:left="-5" w:right="-143"/>
        <w:jc w:val="both"/>
        <w:rPr>
          <w:rFonts w:ascii="Palatino Linotype" w:hAnsi="Palatino Linotype"/>
          <w:sz w:val="22"/>
          <w:szCs w:val="22"/>
        </w:rPr>
      </w:pPr>
      <w:r w:rsidRPr="00993181">
        <w:rPr>
          <w:rFonts w:ascii="Palatino Linotype" w:hAnsi="Palatino Linotype"/>
          <w:b/>
          <w:sz w:val="22"/>
          <w:szCs w:val="22"/>
        </w:rPr>
        <w:t xml:space="preserve">Alcaldía del Distrito Metropolitano. - </w:t>
      </w:r>
      <w:r w:rsidRPr="00993181">
        <w:rPr>
          <w:rFonts w:ascii="Palatino Linotype" w:hAnsi="Palatino Linotype"/>
          <w:sz w:val="22"/>
          <w:szCs w:val="22"/>
        </w:rPr>
        <w:t>Distrito Metropolitano de Quito, ………..</w:t>
      </w:r>
    </w:p>
    <w:p w:rsidR="000113AC" w:rsidRPr="00993181" w:rsidRDefault="000113AC" w:rsidP="000113AC">
      <w:pPr>
        <w:spacing w:line="276" w:lineRule="auto"/>
        <w:jc w:val="both"/>
        <w:rPr>
          <w:rFonts w:ascii="Palatino Linotype" w:hAnsi="Palatino Linotype"/>
          <w:sz w:val="22"/>
          <w:szCs w:val="22"/>
        </w:rPr>
      </w:pP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b/>
          <w:sz w:val="22"/>
          <w:szCs w:val="22"/>
        </w:rPr>
        <w:t>EJECÚTESE:</w:t>
      </w: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r w:rsidRPr="00993181">
        <w:rPr>
          <w:rFonts w:ascii="Palatino Linotype" w:hAnsi="Palatino Linotype"/>
          <w:sz w:val="22"/>
          <w:szCs w:val="22"/>
        </w:rPr>
        <w:t>Dr. Santiago Guarderas Izquierdo</w:t>
      </w:r>
    </w:p>
    <w:p w:rsidR="000113AC" w:rsidRPr="00993181"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993181">
        <w:rPr>
          <w:rFonts w:ascii="Palatino Linotype" w:eastAsia="Palatino Linotype" w:hAnsi="Palatino Linotype" w:cs="Palatino Linotype"/>
          <w:b/>
          <w:color w:val="000000"/>
          <w:sz w:val="22"/>
          <w:szCs w:val="22"/>
          <w:lang w:eastAsia="es-EC"/>
        </w:rPr>
        <w:t>ALCALDE DEL DISTRITO METROPOLITANO DE QUITO</w:t>
      </w:r>
    </w:p>
    <w:p w:rsidR="000113AC" w:rsidRPr="00993181" w:rsidRDefault="000113AC" w:rsidP="000113AC">
      <w:pPr>
        <w:spacing w:line="276" w:lineRule="auto"/>
        <w:jc w:val="center"/>
        <w:rPr>
          <w:rFonts w:ascii="Palatino Linotype" w:hAnsi="Palatino Linotype"/>
          <w:sz w:val="22"/>
          <w:szCs w:val="22"/>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b/>
          <w:sz w:val="22"/>
          <w:szCs w:val="22"/>
        </w:rPr>
        <w:lastRenderedPageBreak/>
        <w:t>CERTIFICO,</w:t>
      </w:r>
      <w:r w:rsidRPr="00993181">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993181" w:rsidRDefault="000113AC" w:rsidP="000113AC">
      <w:pPr>
        <w:spacing w:line="276" w:lineRule="auto"/>
        <w:jc w:val="both"/>
        <w:rPr>
          <w:rFonts w:ascii="Palatino Linotype" w:hAnsi="Palatino Linotype"/>
          <w:sz w:val="22"/>
          <w:szCs w:val="22"/>
        </w:rPr>
      </w:pPr>
      <w:r w:rsidRPr="00993181">
        <w:rPr>
          <w:rFonts w:ascii="Palatino Linotype" w:hAnsi="Palatino Linotype"/>
          <w:b/>
          <w:sz w:val="22"/>
          <w:szCs w:val="22"/>
        </w:rPr>
        <w:t xml:space="preserve"> </w:t>
      </w:r>
    </w:p>
    <w:p w:rsidR="000113AC" w:rsidRPr="00993181" w:rsidRDefault="000113AC" w:rsidP="000113AC">
      <w:pPr>
        <w:spacing w:line="276" w:lineRule="auto"/>
        <w:ind w:left="-5"/>
        <w:jc w:val="both"/>
        <w:rPr>
          <w:rFonts w:ascii="Palatino Linotype" w:hAnsi="Palatino Linotype"/>
          <w:sz w:val="22"/>
          <w:szCs w:val="22"/>
          <w:highlight w:val="yellow"/>
        </w:rPr>
      </w:pPr>
      <w:r w:rsidRPr="00993181">
        <w:rPr>
          <w:rFonts w:ascii="Palatino Linotype" w:hAnsi="Palatino Linotype"/>
          <w:b/>
          <w:sz w:val="22"/>
          <w:szCs w:val="22"/>
        </w:rPr>
        <w:t xml:space="preserve">Lo certifico. - </w:t>
      </w:r>
      <w:r w:rsidR="00754E1F">
        <w:rPr>
          <w:rFonts w:ascii="Palatino Linotype" w:hAnsi="Palatino Linotype"/>
          <w:sz w:val="22"/>
          <w:szCs w:val="22"/>
        </w:rPr>
        <w:t>Distrito Metropolitano de Quito</w:t>
      </w:r>
      <w:r w:rsidRPr="00993181">
        <w:rPr>
          <w:rFonts w:ascii="Palatino Linotype" w:hAnsi="Palatino Linotype"/>
          <w:sz w:val="22"/>
          <w:szCs w:val="22"/>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both"/>
        <w:rPr>
          <w:rFonts w:ascii="Palatino Linotype" w:hAnsi="Palatino Linotype"/>
          <w:sz w:val="22"/>
          <w:szCs w:val="22"/>
          <w:highlight w:val="yellow"/>
        </w:rPr>
      </w:pP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sz w:val="22"/>
          <w:szCs w:val="22"/>
        </w:rPr>
        <w:t>Abg. Pablo Santillán Paredes</w:t>
      </w:r>
    </w:p>
    <w:p w:rsidR="000113AC" w:rsidRPr="00993181" w:rsidRDefault="000113AC" w:rsidP="000113AC">
      <w:pPr>
        <w:spacing w:line="276" w:lineRule="auto"/>
        <w:jc w:val="center"/>
        <w:rPr>
          <w:rFonts w:ascii="Palatino Linotype" w:eastAsia="Calibri" w:hAnsi="Palatino Linotype"/>
          <w:b/>
          <w:sz w:val="22"/>
          <w:szCs w:val="22"/>
          <w:lang w:eastAsia="en-US"/>
        </w:rPr>
      </w:pPr>
      <w:r w:rsidRPr="00993181">
        <w:rPr>
          <w:rFonts w:ascii="Palatino Linotype" w:eastAsia="Calibri" w:hAnsi="Palatino Linotype"/>
          <w:b/>
          <w:sz w:val="22"/>
          <w:szCs w:val="22"/>
          <w:lang w:eastAsia="en-US"/>
        </w:rPr>
        <w:t>SECRETARIO GENERAL DEL CONCEJO METROPOLITANO DE QUITO</w:t>
      </w:r>
    </w:p>
    <w:p w:rsidR="000113AC" w:rsidRPr="00993181" w:rsidRDefault="000113AC" w:rsidP="000113AC">
      <w:pPr>
        <w:pStyle w:val="Sinespaciado"/>
        <w:jc w:val="center"/>
        <w:rPr>
          <w:rFonts w:ascii="Palatino Linotype" w:hAnsi="Palatino Linotype"/>
          <w:b/>
          <w:sz w:val="22"/>
          <w:szCs w:val="22"/>
        </w:rPr>
      </w:pPr>
    </w:p>
    <w:p w:rsidR="000113AC" w:rsidRPr="00993181" w:rsidRDefault="000113AC" w:rsidP="000113AC">
      <w:pPr>
        <w:rPr>
          <w:rFonts w:ascii="Palatino Linotype" w:hAnsi="Palatino Linotype"/>
          <w:sz w:val="22"/>
          <w:szCs w:val="22"/>
        </w:rPr>
      </w:pPr>
    </w:p>
    <w:p w:rsidR="000113AC" w:rsidRPr="006231E1" w:rsidRDefault="000113AC" w:rsidP="000113AC"/>
    <w:p w:rsidR="00A70E2E" w:rsidRDefault="00A70E2E"/>
    <w:sectPr w:rsidR="00A70E2E"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32" w:rsidRDefault="00D50F32">
      <w:r>
        <w:separator/>
      </w:r>
    </w:p>
  </w:endnote>
  <w:endnote w:type="continuationSeparator" w:id="0">
    <w:p w:rsidR="00D50F32" w:rsidRDefault="00D5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8A28F7">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8A28F7">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D50F32">
            <w:pPr>
              <w:pStyle w:val="Piedepgina"/>
              <w:jc w:val="right"/>
              <w:rPr>
                <w:rFonts w:ascii="Palatino Linotype" w:hAnsi="Palatino Linotype"/>
                <w:sz w:val="20"/>
                <w:szCs w:val="20"/>
              </w:rPr>
            </w:pPr>
          </w:p>
        </w:sdtContent>
      </w:sdt>
    </w:sdtContent>
  </w:sdt>
  <w:p w:rsidR="005D2467" w:rsidRPr="008479FB" w:rsidRDefault="00D50F32">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32" w:rsidRDefault="00D50F32">
      <w:r>
        <w:separator/>
      </w:r>
    </w:p>
  </w:footnote>
  <w:footnote w:type="continuationSeparator" w:id="0">
    <w:p w:rsidR="00D50F32" w:rsidRDefault="00D50F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D50F32"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D50F32"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D50F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113AC"/>
    <w:rsid w:val="000320FA"/>
    <w:rsid w:val="000350C3"/>
    <w:rsid w:val="00061B14"/>
    <w:rsid w:val="000F0D3B"/>
    <w:rsid w:val="001203A0"/>
    <w:rsid w:val="001A37F6"/>
    <w:rsid w:val="001F18A5"/>
    <w:rsid w:val="002E3F59"/>
    <w:rsid w:val="003057C1"/>
    <w:rsid w:val="00311483"/>
    <w:rsid w:val="003144EF"/>
    <w:rsid w:val="00372B0E"/>
    <w:rsid w:val="00462DF6"/>
    <w:rsid w:val="00493A79"/>
    <w:rsid w:val="0049515C"/>
    <w:rsid w:val="004E4064"/>
    <w:rsid w:val="004F29ED"/>
    <w:rsid w:val="005168D0"/>
    <w:rsid w:val="005839EA"/>
    <w:rsid w:val="005A184C"/>
    <w:rsid w:val="005C1350"/>
    <w:rsid w:val="005D7A61"/>
    <w:rsid w:val="005F4329"/>
    <w:rsid w:val="0060538D"/>
    <w:rsid w:val="00606CEF"/>
    <w:rsid w:val="00626F33"/>
    <w:rsid w:val="00630C41"/>
    <w:rsid w:val="006767EB"/>
    <w:rsid w:val="00694D54"/>
    <w:rsid w:val="006F2BAD"/>
    <w:rsid w:val="00704417"/>
    <w:rsid w:val="00722F25"/>
    <w:rsid w:val="00754E1F"/>
    <w:rsid w:val="00757FA6"/>
    <w:rsid w:val="007854B8"/>
    <w:rsid w:val="007A32EC"/>
    <w:rsid w:val="0085024D"/>
    <w:rsid w:val="008532E8"/>
    <w:rsid w:val="008A28F7"/>
    <w:rsid w:val="009906BE"/>
    <w:rsid w:val="009C7AA1"/>
    <w:rsid w:val="009D3508"/>
    <w:rsid w:val="00A43B85"/>
    <w:rsid w:val="00A53CCA"/>
    <w:rsid w:val="00A666D4"/>
    <w:rsid w:val="00A70E2E"/>
    <w:rsid w:val="00AD7AF2"/>
    <w:rsid w:val="00B9427A"/>
    <w:rsid w:val="00C31F94"/>
    <w:rsid w:val="00C70B8C"/>
    <w:rsid w:val="00CD56D1"/>
    <w:rsid w:val="00CF561D"/>
    <w:rsid w:val="00D24C41"/>
    <w:rsid w:val="00D50F32"/>
    <w:rsid w:val="00DC7143"/>
    <w:rsid w:val="00DF169C"/>
    <w:rsid w:val="00DF190B"/>
    <w:rsid w:val="00EA3F70"/>
    <w:rsid w:val="00EB28B4"/>
    <w:rsid w:val="00ED0FE0"/>
    <w:rsid w:val="00F1475B"/>
    <w:rsid w:val="00F23370"/>
    <w:rsid w:val="00F66680"/>
    <w:rsid w:val="00F776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B3D"/>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2209</Words>
  <Characters>12151</Characters>
  <Application>Microsoft Office Word</Application>
  <DocSecurity>0</DocSecurity>
  <Lines>101</Lines>
  <Paragraphs>28</Paragraphs>
  <ScaleCrop>false</ScaleCrop>
  <Company>HP Inc.</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72</cp:revision>
  <dcterms:created xsi:type="dcterms:W3CDTF">2022-08-17T20:37:00Z</dcterms:created>
  <dcterms:modified xsi:type="dcterms:W3CDTF">2022-08-18T01:39:00Z</dcterms:modified>
</cp:coreProperties>
</file>