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4BB" w:rsidRDefault="009714BB" w:rsidP="009714BB">
      <w:pPr>
        <w:jc w:val="both"/>
        <w:rPr>
          <w:rFonts w:ascii="Helvetica" w:hAnsi="Helvetica" w:cs="Helvetica"/>
          <w:sz w:val="20"/>
          <w:szCs w:val="20"/>
          <w:lang w:val="es-ES"/>
        </w:rPr>
      </w:pPr>
    </w:p>
    <w:p w:rsidR="009714BB" w:rsidRDefault="009714BB" w:rsidP="009714BB">
      <w:pPr>
        <w:jc w:val="both"/>
        <w:rPr>
          <w:rFonts w:ascii="Helvetica" w:hAnsi="Helvetica" w:cs="Helvetica"/>
          <w:sz w:val="20"/>
          <w:szCs w:val="20"/>
          <w:lang w:val="es-ES"/>
        </w:rPr>
      </w:pPr>
    </w:p>
    <w:p w:rsidR="009714BB" w:rsidRPr="00FD5C21" w:rsidRDefault="009714BB" w:rsidP="009714BB">
      <w:pPr>
        <w:adjustRightInd w:val="0"/>
        <w:jc w:val="center"/>
        <w:rPr>
          <w:rFonts w:ascii="Palatino Linotype" w:eastAsiaTheme="minorHAnsi" w:hAnsi="Palatino Linotype"/>
          <w:b/>
          <w:lang w:val="es-ES"/>
        </w:rPr>
      </w:pPr>
      <w:r w:rsidRPr="00FD5C21">
        <w:rPr>
          <w:rFonts w:ascii="Palatino Linotype" w:eastAsiaTheme="minorHAnsi" w:hAnsi="Palatino Linotype"/>
          <w:b/>
          <w:lang w:val="es-ES"/>
        </w:rPr>
        <w:t>EL CONCEJO METROPOLITANO DE QUITO</w:t>
      </w:r>
    </w:p>
    <w:p w:rsidR="009714BB" w:rsidRPr="00FD5C21" w:rsidRDefault="009714BB" w:rsidP="009714BB">
      <w:pPr>
        <w:adjustRightInd w:val="0"/>
        <w:jc w:val="center"/>
        <w:rPr>
          <w:rFonts w:ascii="Palatino Linotype" w:eastAsiaTheme="minorHAnsi" w:hAnsi="Palatino Linotype"/>
          <w:b/>
          <w:lang w:val="es-ES"/>
        </w:rPr>
      </w:pPr>
    </w:p>
    <w:p w:rsidR="009714BB" w:rsidRPr="00FD5C21" w:rsidRDefault="009714BB" w:rsidP="009714BB">
      <w:pPr>
        <w:adjustRightInd w:val="0"/>
        <w:jc w:val="center"/>
        <w:rPr>
          <w:rFonts w:ascii="Palatino Linotype" w:eastAsiaTheme="minorHAnsi" w:hAnsi="Palatino Linotype"/>
          <w:b/>
          <w:lang w:val="es-ES"/>
        </w:rPr>
      </w:pPr>
      <w:r w:rsidRPr="00FD5C21">
        <w:rPr>
          <w:rFonts w:ascii="Palatino Linotype" w:eastAsiaTheme="minorHAnsi" w:hAnsi="Palatino Linotype"/>
          <w:b/>
          <w:lang w:val="es-ES"/>
        </w:rPr>
        <w:t>CONSIDERANDO:</w:t>
      </w:r>
    </w:p>
    <w:p w:rsidR="009714BB" w:rsidRPr="00FD5C21" w:rsidRDefault="009714BB" w:rsidP="009714BB">
      <w:pPr>
        <w:adjustRightInd w:val="0"/>
        <w:jc w:val="center"/>
        <w:rPr>
          <w:rFonts w:ascii="Palatino Linotype" w:eastAsiaTheme="minorHAnsi" w:hAnsi="Palatino Linotype"/>
          <w:b/>
          <w:lang w:val="es-ES"/>
        </w:rPr>
      </w:pPr>
    </w:p>
    <w:p w:rsidR="009714BB" w:rsidRPr="00FD5C21" w:rsidRDefault="009714BB" w:rsidP="009714BB">
      <w:pPr>
        <w:adjustRightInd w:val="0"/>
        <w:ind w:left="705" w:hanging="705"/>
        <w:jc w:val="both"/>
        <w:rPr>
          <w:rFonts w:ascii="Palatino Linotype" w:eastAsiaTheme="minorHAnsi" w:hAnsi="Palatino Linotype"/>
          <w:i/>
          <w:iCs/>
          <w:lang w:val="es-ES"/>
        </w:rPr>
      </w:pPr>
      <w:r w:rsidRPr="00FD5C21">
        <w:rPr>
          <w:rFonts w:ascii="Palatino Linotype" w:eastAsiaTheme="minorHAnsi" w:hAnsi="Palatino Linotype"/>
          <w:b/>
          <w:bCs/>
          <w:lang w:val="es-ES"/>
        </w:rPr>
        <w:t>Que</w:t>
      </w:r>
      <w:r w:rsidRPr="00FD5C21">
        <w:rPr>
          <w:rFonts w:ascii="Palatino Linotype" w:eastAsiaTheme="minorHAnsi" w:hAnsi="Palatino Linotype"/>
          <w:lang w:val="es-ES"/>
        </w:rPr>
        <w:t xml:space="preserve"> </w:t>
      </w:r>
      <w:r w:rsidRPr="00FD5C21">
        <w:rPr>
          <w:rFonts w:ascii="Palatino Linotype" w:eastAsiaTheme="minorHAnsi" w:hAnsi="Palatino Linotype"/>
          <w:lang w:val="es-ES"/>
        </w:rPr>
        <w:tab/>
        <w:t xml:space="preserve"> el artículo 240 de la Constitución de República del Ecuador, en adelante Constitución, establece: “</w:t>
      </w:r>
      <w:r w:rsidRPr="00FD5C21">
        <w:rPr>
          <w:rFonts w:ascii="Palatino Linotype" w:eastAsiaTheme="minorHAnsi" w:hAnsi="Palatino Linotype"/>
          <w:i/>
          <w:iCs/>
          <w:lang w:val="es-E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9714BB" w:rsidRPr="00FD5C21" w:rsidRDefault="009714BB" w:rsidP="009714BB">
      <w:pPr>
        <w:adjustRightInd w:val="0"/>
        <w:ind w:left="709" w:hanging="709"/>
        <w:jc w:val="both"/>
        <w:rPr>
          <w:rFonts w:ascii="Palatino Linotype" w:eastAsiaTheme="minorHAnsi" w:hAnsi="Palatino Linotype"/>
          <w:lang w:val="es-ES"/>
        </w:rPr>
      </w:pPr>
    </w:p>
    <w:p w:rsidR="009714BB" w:rsidRPr="00FD5C21" w:rsidRDefault="009714BB" w:rsidP="009714BB">
      <w:pPr>
        <w:adjustRightInd w:val="0"/>
        <w:ind w:left="709" w:hanging="709"/>
        <w:jc w:val="both"/>
        <w:rPr>
          <w:rFonts w:ascii="Palatino Linotype" w:eastAsiaTheme="minorHAnsi" w:hAnsi="Palatino Linotype"/>
          <w:lang w:val="es-ES"/>
        </w:rPr>
      </w:pPr>
      <w:r w:rsidRPr="00FD5C21">
        <w:rPr>
          <w:rFonts w:ascii="Palatino Linotype" w:eastAsiaTheme="minorHAnsi" w:hAnsi="Palatino Linotype"/>
          <w:b/>
          <w:lang w:val="es-ES"/>
        </w:rPr>
        <w:t>Que</w:t>
      </w:r>
      <w:r w:rsidRPr="00FD5C21">
        <w:rPr>
          <w:rFonts w:ascii="Palatino Linotype" w:eastAsiaTheme="minorHAnsi" w:hAnsi="Palatino Linotype"/>
          <w:lang w:val="es-ES"/>
        </w:rPr>
        <w:t xml:space="preserve"> </w:t>
      </w:r>
      <w:r w:rsidRPr="00FD5C21">
        <w:rPr>
          <w:rFonts w:ascii="Palatino Linotype" w:eastAsiaTheme="minorHAnsi" w:hAnsi="Palatino Linotype"/>
          <w:lang w:val="es-ES"/>
        </w:rPr>
        <w:tab/>
        <w:t xml:space="preserve">la Constitución de la República del Ecuador en su artículo 266, determina: </w:t>
      </w:r>
      <w:r w:rsidRPr="00FD5C21">
        <w:rPr>
          <w:rFonts w:ascii="Palatino Linotype" w:eastAsiaTheme="minorHAnsi" w:hAnsi="Palatino Linotype"/>
          <w:i/>
          <w:lang w:val="es-E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FD5C21">
        <w:rPr>
          <w:rFonts w:ascii="Palatino Linotype" w:eastAsiaTheme="minorHAnsi" w:hAnsi="Palatino Linotype"/>
          <w:lang w:val="es-ES"/>
        </w:rPr>
        <w:t>;</w:t>
      </w:r>
    </w:p>
    <w:p w:rsidR="009714BB" w:rsidRPr="00FD5C21" w:rsidRDefault="009714BB" w:rsidP="009714BB">
      <w:pPr>
        <w:adjustRightInd w:val="0"/>
        <w:ind w:left="709" w:hanging="709"/>
        <w:jc w:val="both"/>
        <w:rPr>
          <w:rFonts w:ascii="Palatino Linotype" w:eastAsiaTheme="minorHAnsi" w:hAnsi="Palatino Linotype"/>
          <w:lang w:val="es-ES"/>
        </w:rPr>
      </w:pPr>
    </w:p>
    <w:p w:rsidR="009714BB" w:rsidRPr="00FD5C21" w:rsidRDefault="009714BB" w:rsidP="009714BB">
      <w:pPr>
        <w:adjustRightInd w:val="0"/>
        <w:ind w:left="709" w:hanging="709"/>
        <w:jc w:val="both"/>
        <w:rPr>
          <w:rFonts w:ascii="Palatino Linotype" w:eastAsiaTheme="minorHAnsi" w:hAnsi="Palatino Linotype"/>
          <w:i/>
          <w:lang w:val="es-ES"/>
        </w:rPr>
      </w:pPr>
      <w:r w:rsidRPr="00FD5C21">
        <w:rPr>
          <w:rFonts w:ascii="Palatino Linotype" w:eastAsiaTheme="minorHAnsi" w:hAnsi="Palatino Linotype"/>
          <w:b/>
          <w:bCs/>
          <w:lang w:val="es-ES"/>
        </w:rPr>
        <w:t>Que</w:t>
      </w:r>
      <w:r w:rsidRPr="00FD5C21">
        <w:rPr>
          <w:rFonts w:ascii="Palatino Linotype" w:eastAsiaTheme="minorHAnsi" w:hAnsi="Palatino Linotype"/>
          <w:lang w:val="es-ES"/>
        </w:rPr>
        <w:tab/>
        <w:t xml:space="preserve">el literal c) del artículo 84, del Código Orgánico de Organización Territorial, Autonomía y Descentralización, en adelante COOTAD, manifiesta: </w:t>
      </w:r>
      <w:r w:rsidRPr="00FD5C21">
        <w:rPr>
          <w:rFonts w:ascii="Palatino Linotype" w:eastAsiaTheme="minorHAnsi" w:hAnsi="Palatino Linotype"/>
          <w:i/>
          <w:lang w:val="es-E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9714BB" w:rsidRPr="00FD5C21" w:rsidRDefault="009714BB" w:rsidP="009714BB">
      <w:pPr>
        <w:adjustRightInd w:val="0"/>
        <w:ind w:left="709" w:hanging="709"/>
        <w:jc w:val="both"/>
        <w:rPr>
          <w:rFonts w:ascii="Palatino Linotype" w:eastAsiaTheme="minorHAnsi" w:hAnsi="Palatino Linotype"/>
          <w:lang w:val="es-ES"/>
        </w:rPr>
      </w:pPr>
    </w:p>
    <w:p w:rsidR="009714BB" w:rsidRPr="00FD5C21" w:rsidRDefault="009714BB" w:rsidP="009714BB">
      <w:pPr>
        <w:adjustRightInd w:val="0"/>
        <w:ind w:left="709" w:hanging="709"/>
        <w:jc w:val="both"/>
        <w:rPr>
          <w:rFonts w:ascii="Palatino Linotype" w:eastAsiaTheme="minorHAnsi" w:hAnsi="Palatino Linotype"/>
          <w:lang w:val="es-ES"/>
        </w:rPr>
      </w:pPr>
      <w:r w:rsidRPr="00FD5C21">
        <w:rPr>
          <w:rFonts w:ascii="Palatino Linotype" w:eastAsiaTheme="minorHAnsi" w:hAnsi="Palatino Linotype"/>
          <w:b/>
          <w:lang w:val="es-ES"/>
        </w:rPr>
        <w:t>Que</w:t>
      </w:r>
      <w:r w:rsidRPr="00FD5C21">
        <w:rPr>
          <w:rFonts w:ascii="Palatino Linotype" w:eastAsiaTheme="minorHAnsi" w:hAnsi="Palatino Linotype"/>
          <w:lang w:val="es-ES"/>
        </w:rPr>
        <w:t xml:space="preserve"> </w:t>
      </w:r>
      <w:r w:rsidRPr="00FD5C21">
        <w:rPr>
          <w:rFonts w:ascii="Palatino Linotype" w:eastAsiaTheme="minorHAnsi" w:hAnsi="Palatino Linotype"/>
          <w:lang w:val="es-ES"/>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rsidR="009714BB" w:rsidRPr="00FD5C21" w:rsidRDefault="009714BB" w:rsidP="009714BB">
      <w:pPr>
        <w:adjustRightInd w:val="0"/>
        <w:ind w:left="709" w:hanging="709"/>
        <w:jc w:val="both"/>
        <w:rPr>
          <w:rFonts w:ascii="Palatino Linotype" w:eastAsiaTheme="minorHAnsi" w:hAnsi="Palatino Linotype"/>
          <w:lang w:val="es-ES"/>
        </w:rPr>
      </w:pPr>
    </w:p>
    <w:p w:rsidR="009714BB" w:rsidRPr="00FD5C21" w:rsidRDefault="009714BB" w:rsidP="009714BB">
      <w:pPr>
        <w:adjustRightInd w:val="0"/>
        <w:ind w:left="709" w:hanging="709"/>
        <w:jc w:val="both"/>
        <w:rPr>
          <w:rFonts w:ascii="Palatino Linotype" w:eastAsiaTheme="minorHAnsi" w:hAnsi="Palatino Linotype"/>
          <w:lang w:val="es-ES"/>
        </w:rPr>
      </w:pPr>
      <w:r w:rsidRPr="00FD5C21">
        <w:rPr>
          <w:rFonts w:ascii="Palatino Linotype" w:eastAsiaTheme="minorHAnsi" w:hAnsi="Palatino Linotype"/>
          <w:b/>
          <w:lang w:val="es-ES"/>
        </w:rPr>
        <w:t>Que</w:t>
      </w:r>
      <w:r w:rsidRPr="00FD5C21">
        <w:rPr>
          <w:rFonts w:ascii="Palatino Linotype" w:eastAsiaTheme="minorHAnsi" w:hAnsi="Palatino Linotype"/>
          <w:lang w:val="es-ES"/>
        </w:rPr>
        <w:t xml:space="preserve"> </w:t>
      </w:r>
      <w:r w:rsidRPr="00FD5C21">
        <w:rPr>
          <w:rFonts w:ascii="Palatino Linotype" w:eastAsiaTheme="minorHAnsi" w:hAnsi="Palatino Linotype"/>
          <w:lang w:val="es-ES"/>
        </w:rPr>
        <w:tab/>
        <w:t xml:space="preserve">conforme establece el artículo 87, literal v) del COOTAD, al Concejo Metropolitano le corresponde: </w:t>
      </w:r>
      <w:r w:rsidRPr="00FD5C21">
        <w:rPr>
          <w:rFonts w:ascii="Palatino Linotype" w:eastAsiaTheme="minorHAnsi" w:hAnsi="Palatino Linotype"/>
          <w:i/>
          <w:lang w:val="es-ES"/>
        </w:rPr>
        <w:t>“… v) Regular y controlar el uso del suelo en el territorio del distrito metropolitano, de conformidad con las leyes sobre la materia, y establecer el régimen urbanístico de la tierra”;</w:t>
      </w:r>
      <w:r w:rsidRPr="00FD5C21">
        <w:rPr>
          <w:rFonts w:ascii="Palatino Linotype" w:eastAsiaTheme="minorHAnsi" w:hAnsi="Palatino Linotype"/>
          <w:lang w:val="es-ES"/>
        </w:rPr>
        <w:t xml:space="preserve"> </w:t>
      </w:r>
    </w:p>
    <w:p w:rsidR="009714BB" w:rsidRPr="00FD5C21" w:rsidRDefault="009714BB" w:rsidP="009714BB">
      <w:pPr>
        <w:adjustRightInd w:val="0"/>
        <w:ind w:left="709" w:hanging="709"/>
        <w:jc w:val="both"/>
        <w:rPr>
          <w:rFonts w:ascii="Palatino Linotype" w:eastAsiaTheme="minorHAnsi" w:hAnsi="Palatino Linotype"/>
          <w:lang w:val="es-ES"/>
        </w:rPr>
      </w:pPr>
    </w:p>
    <w:p w:rsidR="009714BB" w:rsidRPr="00FD5C21" w:rsidRDefault="009714BB" w:rsidP="009714BB">
      <w:pPr>
        <w:adjustRightInd w:val="0"/>
        <w:ind w:left="709" w:hanging="709"/>
        <w:jc w:val="both"/>
        <w:rPr>
          <w:rFonts w:ascii="Palatino Linotype" w:eastAsiaTheme="minorHAnsi" w:hAnsi="Palatino Linotype"/>
          <w:i/>
          <w:iCs/>
          <w:lang w:val="es-ES"/>
        </w:rPr>
      </w:pPr>
      <w:r w:rsidRPr="00FD5C21">
        <w:rPr>
          <w:rFonts w:ascii="Palatino Linotype" w:eastAsiaTheme="minorHAnsi" w:hAnsi="Palatino Linotype"/>
          <w:b/>
          <w:bCs/>
          <w:lang w:val="es-ES"/>
        </w:rPr>
        <w:t>Que</w:t>
      </w:r>
      <w:r w:rsidRPr="00FD5C21">
        <w:rPr>
          <w:rFonts w:ascii="Palatino Linotype" w:eastAsiaTheme="minorHAnsi" w:hAnsi="Palatino Linotype"/>
          <w:lang w:val="es-ES"/>
        </w:rPr>
        <w:t xml:space="preserve"> </w:t>
      </w:r>
      <w:r w:rsidRPr="00FD5C21">
        <w:rPr>
          <w:rFonts w:ascii="Palatino Linotype" w:eastAsiaTheme="minorHAnsi" w:hAnsi="Palatino Linotype"/>
          <w:lang w:val="es-ES"/>
        </w:rPr>
        <w:tab/>
        <w:t>el artículo 323 del COOTAD establece: “</w:t>
      </w:r>
      <w:r w:rsidRPr="00FD5C21">
        <w:rPr>
          <w:rFonts w:ascii="Palatino Linotype" w:eastAsiaTheme="minorHAnsi" w:hAnsi="Palatino Linotype"/>
          <w:i/>
          <w:iCs/>
          <w:lang w:val="es-ES"/>
        </w:rPr>
        <w:t>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9714BB" w:rsidRPr="00FD5C21" w:rsidRDefault="009714BB" w:rsidP="009714BB">
      <w:pPr>
        <w:adjustRightInd w:val="0"/>
        <w:ind w:left="709" w:hanging="709"/>
        <w:jc w:val="both"/>
        <w:rPr>
          <w:rFonts w:ascii="Palatino Linotype" w:eastAsiaTheme="minorHAnsi" w:hAnsi="Palatino Linotype"/>
          <w:lang w:val="es-ES"/>
        </w:rPr>
      </w:pPr>
    </w:p>
    <w:p w:rsidR="009714BB" w:rsidRPr="00FD5C21" w:rsidRDefault="009714BB" w:rsidP="009714BB">
      <w:pPr>
        <w:adjustRightInd w:val="0"/>
        <w:ind w:left="709" w:hanging="709"/>
        <w:jc w:val="both"/>
        <w:rPr>
          <w:rFonts w:ascii="Palatino Linotype" w:eastAsiaTheme="minorHAnsi" w:hAnsi="Palatino Linotype"/>
          <w:lang w:val="es-ES"/>
        </w:rPr>
      </w:pPr>
      <w:r w:rsidRPr="00FD5C21">
        <w:rPr>
          <w:rFonts w:ascii="Palatino Linotype" w:eastAsiaTheme="minorHAnsi" w:hAnsi="Palatino Linotype"/>
          <w:b/>
          <w:lang w:val="es-ES"/>
        </w:rPr>
        <w:t>Que</w:t>
      </w:r>
      <w:r w:rsidRPr="00FD5C21">
        <w:rPr>
          <w:rFonts w:ascii="Palatino Linotype" w:eastAsiaTheme="minorHAnsi" w:hAnsi="Palatino Linotype"/>
          <w:lang w:val="es-ES"/>
        </w:rPr>
        <w:tab/>
        <w:t xml:space="preserve">el artículo 326 del COOTAD determina que los órganos legislativos de los </w:t>
      </w:r>
      <w:r w:rsidRPr="00FD5C21">
        <w:rPr>
          <w:rFonts w:ascii="Palatino Linotype" w:eastAsiaTheme="minorHAnsi" w:hAnsi="Palatino Linotype"/>
          <w:lang w:val="es-ES"/>
        </w:rPr>
        <w:lastRenderedPageBreak/>
        <w:t xml:space="preserve">gobiernos autónomos descentralizados conformarán comisiones de trabajo las que emitirán conclusiones y recomendaciones que serán consideradas como base para la discusión y aprobación de sus decisiones; </w:t>
      </w:r>
    </w:p>
    <w:p w:rsidR="009714BB" w:rsidRPr="00FD5C21" w:rsidRDefault="009714BB" w:rsidP="009714BB">
      <w:pPr>
        <w:adjustRightInd w:val="0"/>
        <w:ind w:left="709" w:hanging="709"/>
        <w:jc w:val="both"/>
        <w:rPr>
          <w:rFonts w:ascii="Palatino Linotype" w:eastAsiaTheme="minorHAnsi" w:hAnsi="Palatino Linotype"/>
          <w:lang w:val="es-ES"/>
        </w:rPr>
      </w:pPr>
    </w:p>
    <w:p w:rsidR="009714BB" w:rsidRPr="00FD5C21" w:rsidRDefault="009714BB" w:rsidP="009714BB">
      <w:pPr>
        <w:adjustRightInd w:val="0"/>
        <w:ind w:left="709" w:hanging="709"/>
        <w:jc w:val="both"/>
        <w:rPr>
          <w:rFonts w:ascii="Palatino Linotype" w:eastAsiaTheme="minorHAnsi" w:hAnsi="Palatino Linotype"/>
          <w:i/>
          <w:lang w:val="es-ES"/>
        </w:rPr>
      </w:pPr>
      <w:r w:rsidRPr="00FD5C21">
        <w:rPr>
          <w:rFonts w:ascii="Palatino Linotype" w:eastAsiaTheme="minorHAnsi" w:hAnsi="Palatino Linotype"/>
          <w:b/>
          <w:lang w:val="es-ES"/>
        </w:rPr>
        <w:t>Que</w:t>
      </w:r>
      <w:r w:rsidRPr="00FD5C21">
        <w:rPr>
          <w:rFonts w:ascii="Palatino Linotype" w:eastAsiaTheme="minorHAnsi" w:hAnsi="Palatino Linotype"/>
          <w:lang w:val="es-ES"/>
        </w:rPr>
        <w:tab/>
        <w:t xml:space="preserve">el artículo 424 del COOTAD señala: </w:t>
      </w:r>
      <w:r w:rsidRPr="00FD5C21">
        <w:rPr>
          <w:rFonts w:ascii="Palatino Linotype" w:eastAsiaTheme="minorHAnsi" w:hAnsi="Palatino Linotype"/>
          <w:i/>
          <w:lang w:val="es-ES"/>
        </w:rPr>
        <w:t xml:space="preserve">“Área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 (...)”; </w:t>
      </w:r>
    </w:p>
    <w:p w:rsidR="009714BB" w:rsidRPr="00FD5C21" w:rsidRDefault="009714BB" w:rsidP="009714BB">
      <w:pPr>
        <w:adjustRightInd w:val="0"/>
        <w:ind w:left="709" w:hanging="709"/>
        <w:jc w:val="both"/>
        <w:rPr>
          <w:rFonts w:ascii="Palatino Linotype" w:eastAsiaTheme="minorHAnsi" w:hAnsi="Palatino Linotype"/>
          <w:i/>
          <w:lang w:val="es-ES"/>
        </w:rPr>
      </w:pPr>
    </w:p>
    <w:p w:rsidR="009714BB" w:rsidRPr="00FD5C21" w:rsidRDefault="009714BB" w:rsidP="009714BB">
      <w:pPr>
        <w:adjustRightInd w:val="0"/>
        <w:ind w:left="709" w:hanging="709"/>
        <w:jc w:val="both"/>
        <w:rPr>
          <w:rFonts w:ascii="Palatino Linotype" w:eastAsiaTheme="minorHAnsi" w:hAnsi="Palatino Linotype"/>
          <w:lang w:val="es-ES"/>
        </w:rPr>
      </w:pPr>
      <w:r w:rsidRPr="00FD5C21">
        <w:rPr>
          <w:rFonts w:ascii="Palatino Linotype" w:eastAsiaTheme="minorHAnsi" w:hAnsi="Palatino Linotype"/>
          <w:b/>
          <w:lang w:val="es-ES"/>
        </w:rPr>
        <w:t>Que</w:t>
      </w:r>
      <w:r w:rsidRPr="00FD5C21">
        <w:rPr>
          <w:rFonts w:ascii="Palatino Linotype" w:eastAsiaTheme="minorHAnsi" w:hAnsi="Palatino Linotype"/>
          <w:lang w:val="es-ES"/>
        </w:rPr>
        <w:tab/>
        <w:t xml:space="preserve">el artículo 472 del COOTAD señala que: </w:t>
      </w:r>
      <w:r w:rsidRPr="00FD5C21">
        <w:rPr>
          <w:rFonts w:ascii="Palatino Linotype" w:eastAsiaTheme="minorHAnsi" w:hAnsi="Palatino Linotype"/>
          <w:i/>
          <w:lang w:val="es-E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FD5C21">
        <w:rPr>
          <w:rFonts w:ascii="Palatino Linotype" w:eastAsiaTheme="minorHAnsi" w:hAnsi="Palatino Linotype"/>
          <w:lang w:val="es-ES"/>
        </w:rPr>
        <w:t>;</w:t>
      </w:r>
    </w:p>
    <w:p w:rsidR="009714BB" w:rsidRPr="00FD5C21" w:rsidRDefault="009714BB" w:rsidP="009714BB">
      <w:pPr>
        <w:adjustRightInd w:val="0"/>
        <w:ind w:left="709" w:hanging="709"/>
        <w:jc w:val="both"/>
        <w:rPr>
          <w:rFonts w:ascii="Palatino Linotype" w:eastAsiaTheme="minorHAnsi" w:hAnsi="Palatino Linotype"/>
          <w:lang w:val="es-ES"/>
        </w:rPr>
      </w:pPr>
    </w:p>
    <w:p w:rsidR="009714BB" w:rsidRPr="00FD5C21" w:rsidRDefault="009714BB" w:rsidP="009714BB">
      <w:pPr>
        <w:adjustRightInd w:val="0"/>
        <w:ind w:left="709" w:hanging="709"/>
        <w:jc w:val="both"/>
        <w:rPr>
          <w:rFonts w:ascii="Palatino Linotype" w:eastAsiaTheme="minorHAnsi" w:hAnsi="Palatino Linotype"/>
          <w:lang w:val="es-ES"/>
        </w:rPr>
      </w:pPr>
      <w:r w:rsidRPr="00FD5C21">
        <w:rPr>
          <w:rFonts w:ascii="Palatino Linotype" w:eastAsiaTheme="minorHAnsi" w:hAnsi="Palatino Linotype"/>
          <w:b/>
          <w:lang w:val="es-ES"/>
        </w:rPr>
        <w:t>Que</w:t>
      </w:r>
      <w:r w:rsidRPr="00FD5C21">
        <w:rPr>
          <w:rFonts w:ascii="Palatino Linotype" w:eastAsiaTheme="minorHAnsi" w:hAnsi="Palatino Linotype"/>
          <w:lang w:val="es-ES"/>
        </w:rPr>
        <w:tab/>
        <w:t xml:space="preserve">el artículo 473 del COOTAD señala que: </w:t>
      </w:r>
      <w:r w:rsidRPr="00FD5C21">
        <w:rPr>
          <w:rFonts w:ascii="Palatino Linotype" w:eastAsiaTheme="minorHAnsi" w:hAnsi="Palatino Linotype"/>
          <w:i/>
          <w:lang w:val="es-ES"/>
        </w:rPr>
        <w:t>“En el caso de partición judicial de inmuebles, los jueces ordenarán que se cite con la demanda a la municipalidad del cantón o distrito metropolitano y no se podrá realizar la partición sino con informe favorable del respectivo concejo. Si de hecho se realiza la partición, será nula. En el caso de partición extrajudicial, los interesados pedirán al gobierno municipal o metropolitano la autorización respectiva, sin la cual no podrá realizarse la partición.”</w:t>
      </w:r>
      <w:r w:rsidRPr="00FD5C21">
        <w:rPr>
          <w:rFonts w:ascii="Palatino Linotype" w:eastAsiaTheme="minorHAnsi" w:hAnsi="Palatino Linotype"/>
          <w:lang w:val="es-ES"/>
        </w:rPr>
        <w:t>;</w:t>
      </w:r>
    </w:p>
    <w:p w:rsidR="009714BB" w:rsidRPr="00FD5C21" w:rsidRDefault="009714BB" w:rsidP="009714BB">
      <w:pPr>
        <w:adjustRightInd w:val="0"/>
        <w:ind w:left="709" w:hanging="709"/>
        <w:jc w:val="both"/>
        <w:rPr>
          <w:rFonts w:ascii="Palatino Linotype" w:eastAsiaTheme="minorHAnsi" w:hAnsi="Palatino Linotype"/>
          <w:lang w:val="es-ES"/>
        </w:rPr>
      </w:pPr>
    </w:p>
    <w:p w:rsidR="009714BB" w:rsidRPr="00FD5C21" w:rsidRDefault="009714BB" w:rsidP="009714BB">
      <w:pPr>
        <w:adjustRightInd w:val="0"/>
        <w:ind w:left="709" w:hanging="709"/>
        <w:jc w:val="both"/>
        <w:rPr>
          <w:rFonts w:ascii="Palatino Linotype" w:eastAsiaTheme="minorHAnsi" w:hAnsi="Palatino Linotype"/>
          <w:i/>
          <w:lang w:val="es-ES"/>
        </w:rPr>
      </w:pPr>
      <w:r w:rsidRPr="00FD5C21">
        <w:rPr>
          <w:rFonts w:ascii="Palatino Linotype" w:eastAsiaTheme="minorHAnsi" w:hAnsi="Palatino Linotype"/>
          <w:b/>
          <w:lang w:val="es-ES"/>
        </w:rPr>
        <w:t>Que</w:t>
      </w:r>
      <w:r w:rsidRPr="00FD5C21">
        <w:rPr>
          <w:rFonts w:ascii="Palatino Linotype" w:eastAsiaTheme="minorHAnsi" w:hAnsi="Palatino Linotype"/>
          <w:lang w:val="es-ES"/>
        </w:rPr>
        <w:tab/>
        <w:t xml:space="preserve">el artículo 2410 del Código Civil Ecuatoriano determina que: </w:t>
      </w:r>
      <w:r w:rsidRPr="00FD5C21">
        <w:rPr>
          <w:rFonts w:ascii="Palatino Linotype" w:eastAsiaTheme="minorHAnsi" w:hAnsi="Palatino Linotype"/>
          <w:i/>
          <w:lang w:val="es-ES"/>
        </w:rPr>
        <w:t xml:space="preserve">“dominio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 </w:t>
      </w:r>
    </w:p>
    <w:p w:rsidR="009714BB" w:rsidRPr="00FD5C21" w:rsidRDefault="009714BB" w:rsidP="009714BB">
      <w:pPr>
        <w:adjustRightInd w:val="0"/>
        <w:jc w:val="both"/>
        <w:rPr>
          <w:rFonts w:ascii="Palatino Linotype" w:hAnsi="Palatino Linotype"/>
          <w:lang w:val="es-ES"/>
        </w:rPr>
      </w:pPr>
    </w:p>
    <w:p w:rsidR="009714BB" w:rsidRPr="00FD5C21" w:rsidRDefault="009714BB" w:rsidP="009714BB">
      <w:pPr>
        <w:adjustRightInd w:val="0"/>
        <w:ind w:left="709" w:hanging="709"/>
        <w:jc w:val="both"/>
        <w:rPr>
          <w:rFonts w:ascii="Palatino Linotype" w:eastAsiaTheme="minorHAnsi" w:hAnsi="Palatino Linotype"/>
          <w:lang w:val="es-ES"/>
        </w:rPr>
      </w:pPr>
      <w:r w:rsidRPr="00FD5C21">
        <w:rPr>
          <w:rFonts w:ascii="Palatino Linotype" w:eastAsiaTheme="minorHAnsi" w:hAnsi="Palatino Linotype"/>
          <w:b/>
          <w:lang w:val="es-ES"/>
        </w:rPr>
        <w:t>Que</w:t>
      </w:r>
      <w:r w:rsidRPr="00FD5C21">
        <w:rPr>
          <w:rFonts w:ascii="Palatino Linotype" w:eastAsiaTheme="minorHAnsi" w:hAnsi="Palatino Linotype"/>
          <w:b/>
          <w:lang w:val="es-ES"/>
        </w:rPr>
        <w:tab/>
      </w:r>
      <w:r w:rsidRPr="00FD5C21">
        <w:rPr>
          <w:rFonts w:ascii="Palatino Linotype" w:eastAsiaTheme="minorHAnsi" w:hAnsi="Palatino Linotype"/>
          <w:lang w:val="es-ES"/>
        </w:rPr>
        <w:t>el numeral 1, del artículo 2 de la Ley de Régimen para el Distrito Metropolitano de Quito, determina, como finalidad, que el Municipio del Distrito Metropolitano de Quito: “</w:t>
      </w:r>
      <w:r w:rsidRPr="00FD5C21">
        <w:rPr>
          <w:rFonts w:ascii="Palatino Linotype" w:eastAsiaTheme="minorHAnsi" w:hAnsi="Palatino Linotype"/>
          <w:i/>
          <w:iCs/>
          <w:lang w:val="es-E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FD5C21">
        <w:rPr>
          <w:rFonts w:ascii="Palatino Linotype" w:eastAsiaTheme="minorHAnsi" w:hAnsi="Palatino Linotype"/>
          <w:lang w:val="es-ES"/>
        </w:rPr>
        <w:t>;</w:t>
      </w:r>
    </w:p>
    <w:p w:rsidR="009714BB" w:rsidRPr="00FD5C21" w:rsidRDefault="009714BB" w:rsidP="009714BB">
      <w:pPr>
        <w:adjustRightInd w:val="0"/>
        <w:ind w:left="709" w:hanging="709"/>
        <w:jc w:val="both"/>
        <w:rPr>
          <w:rFonts w:ascii="Palatino Linotype" w:eastAsiaTheme="minorHAnsi" w:hAnsi="Palatino Linotype"/>
          <w:lang w:val="es-ES"/>
        </w:rPr>
      </w:pPr>
    </w:p>
    <w:p w:rsidR="009714BB" w:rsidRPr="00FD5C21" w:rsidRDefault="009714BB" w:rsidP="009714BB">
      <w:pPr>
        <w:adjustRightInd w:val="0"/>
        <w:ind w:left="709" w:hanging="709"/>
        <w:jc w:val="both"/>
        <w:rPr>
          <w:rFonts w:ascii="Palatino Linotype" w:hAnsi="Palatino Linotype"/>
          <w:lang w:val="es-ES"/>
        </w:rPr>
      </w:pPr>
      <w:r w:rsidRPr="00FD5C21">
        <w:rPr>
          <w:rFonts w:ascii="Palatino Linotype" w:eastAsiaTheme="minorHAnsi" w:hAnsi="Palatino Linotype"/>
          <w:b/>
          <w:lang w:val="es-ES"/>
        </w:rPr>
        <w:t>Que</w:t>
      </w:r>
      <w:r w:rsidRPr="00FD5C21">
        <w:rPr>
          <w:rFonts w:ascii="Palatino Linotype" w:eastAsiaTheme="minorHAnsi" w:hAnsi="Palatino Linotype"/>
          <w:lang w:val="es-ES"/>
        </w:rPr>
        <w:t xml:space="preserve"> </w:t>
      </w:r>
      <w:r w:rsidRPr="00FD5C21">
        <w:rPr>
          <w:rFonts w:ascii="Palatino Linotype" w:eastAsiaTheme="minorHAnsi" w:hAnsi="Palatino Linotype"/>
          <w:lang w:val="es-ES"/>
        </w:rPr>
        <w:tab/>
        <w:t xml:space="preserve">el Código Municipal para el Distrito Metropolitano de Quito, en adelante Código Municipal, en su artículo 2556, establece que: </w:t>
      </w:r>
      <w:r w:rsidRPr="00FD5C21">
        <w:rPr>
          <w:rFonts w:ascii="Palatino Linotype" w:eastAsiaTheme="minorHAnsi" w:hAnsi="Palatino Linotype"/>
          <w:i/>
          <w:lang w:val="es-ES"/>
        </w:rPr>
        <w:t xml:space="preserve">“Los proyectos de subdivisión tienen </w:t>
      </w:r>
      <w:r w:rsidRPr="00FD5C21">
        <w:rPr>
          <w:rFonts w:ascii="Palatino Linotype" w:eastAsiaTheme="minorHAnsi" w:hAnsi="Palatino Linotype"/>
          <w:i/>
          <w:lang w:val="es-ES"/>
        </w:rPr>
        <w:lastRenderedPageBreak/>
        <w:t>por finalidad dividir y habilitar lotes, conforme el aprovechamiento urbanístico establecido en el Plan de Uso y Gestión del Suelo y planes urbanísticos complementarios. En todos los casos deberá observarse el lote mínimo establecido en la normativa vigente.”;</w:t>
      </w:r>
    </w:p>
    <w:p w:rsidR="009714BB" w:rsidRPr="00FD5C21" w:rsidRDefault="009714BB" w:rsidP="009714BB">
      <w:pPr>
        <w:adjustRightInd w:val="0"/>
        <w:ind w:left="709" w:hanging="709"/>
        <w:jc w:val="both"/>
        <w:rPr>
          <w:rFonts w:ascii="Palatino Linotype" w:hAnsi="Palatino Linotype"/>
          <w:lang w:val="es-ES"/>
        </w:rPr>
      </w:pPr>
    </w:p>
    <w:p w:rsidR="009714BB" w:rsidRPr="00FD5C21" w:rsidRDefault="009714BB" w:rsidP="009714BB">
      <w:pPr>
        <w:adjustRightInd w:val="0"/>
        <w:ind w:left="709" w:hanging="709"/>
        <w:jc w:val="both"/>
        <w:rPr>
          <w:rFonts w:ascii="Palatino Linotype" w:eastAsiaTheme="minorHAnsi" w:hAnsi="Palatino Linotype"/>
          <w:i/>
          <w:lang w:val="es-ES"/>
        </w:rPr>
      </w:pPr>
      <w:r w:rsidRPr="00FD5C21">
        <w:rPr>
          <w:rFonts w:ascii="Palatino Linotype" w:eastAsiaTheme="minorHAnsi" w:hAnsi="Palatino Linotype"/>
          <w:b/>
          <w:lang w:val="es-ES"/>
        </w:rPr>
        <w:t>Que</w:t>
      </w:r>
      <w:r w:rsidRPr="00FD5C21">
        <w:rPr>
          <w:rFonts w:ascii="Palatino Linotype" w:eastAsiaTheme="minorHAnsi" w:hAnsi="Palatino Linotype"/>
          <w:lang w:val="es-ES"/>
        </w:rPr>
        <w:t xml:space="preserve"> </w:t>
      </w:r>
      <w:r w:rsidRPr="00FD5C21">
        <w:rPr>
          <w:rFonts w:ascii="Palatino Linotype" w:eastAsiaTheme="minorHAnsi" w:hAnsi="Palatino Linotype"/>
          <w:lang w:val="es-ES"/>
        </w:rPr>
        <w:tab/>
        <w:t xml:space="preserve">el Código Municipal en su artículo 2567 establece: </w:t>
      </w:r>
      <w:r w:rsidRPr="00FD5C21">
        <w:rPr>
          <w:rFonts w:ascii="Palatino Linotype" w:eastAsiaTheme="minorHAnsi" w:hAnsi="Palatino Linotype"/>
          <w:i/>
          <w:lang w:val="es-ES"/>
        </w:rPr>
        <w:t>“En Particiones judiciales de inmuebles con áreas inferiores a 3000.00 m2, si la contribución del 15% del área verde y área comunitaria en forma de cesión gratuita y obligatoria es menor al lote mínimo asignado en la edificabilidad vigente, el administrado compensará el equivalente al 15% en valor monetario según el avalúo catastral actualizado. En el caso de la sentencia ejecutoriada dictada dentro del juicio de prescripción extraordinaria adquisitiva de dominio, de una parte, de un lote que obliga a un fraccionamiento, se deberá calcular el aporte del 15% del área útil adquirida mediante sentencia. (…)”</w:t>
      </w:r>
      <w:r w:rsidRPr="00FD5C21">
        <w:rPr>
          <w:rFonts w:ascii="Palatino Linotype" w:eastAsiaTheme="minorHAnsi" w:hAnsi="Palatino Linotype"/>
          <w:lang w:val="es-ES"/>
        </w:rPr>
        <w:t>;</w:t>
      </w:r>
      <w:r w:rsidRPr="00FD5C21">
        <w:rPr>
          <w:rFonts w:ascii="Palatino Linotype" w:eastAsiaTheme="minorHAnsi" w:hAnsi="Palatino Linotype"/>
          <w:i/>
          <w:lang w:val="es-ES"/>
        </w:rPr>
        <w:t xml:space="preserve">  </w:t>
      </w:r>
    </w:p>
    <w:p w:rsidR="009714BB" w:rsidRPr="00FD5C21" w:rsidRDefault="009714BB" w:rsidP="009714BB">
      <w:pPr>
        <w:adjustRightInd w:val="0"/>
        <w:ind w:left="709" w:hanging="709"/>
        <w:jc w:val="both"/>
        <w:rPr>
          <w:rFonts w:ascii="Palatino Linotype" w:eastAsiaTheme="minorHAnsi" w:hAnsi="Palatino Linotype"/>
          <w:highlight w:val="yellow"/>
          <w:lang w:val="es-ES"/>
        </w:rPr>
      </w:pPr>
    </w:p>
    <w:p w:rsidR="009714BB" w:rsidRPr="00FD5C21" w:rsidRDefault="009714BB" w:rsidP="009714BB">
      <w:pPr>
        <w:adjustRightInd w:val="0"/>
        <w:ind w:left="708" w:hanging="708"/>
        <w:jc w:val="both"/>
        <w:rPr>
          <w:rFonts w:ascii="Palatino Linotype" w:eastAsiaTheme="minorHAnsi" w:hAnsi="Palatino Linotype"/>
          <w:lang w:val="es-ES"/>
        </w:rPr>
      </w:pPr>
      <w:r w:rsidRPr="00FD5C21">
        <w:rPr>
          <w:rFonts w:ascii="Palatino Linotype" w:eastAsiaTheme="minorHAnsi" w:hAnsi="Palatino Linotype"/>
          <w:b/>
          <w:lang w:val="es-ES"/>
        </w:rPr>
        <w:t>Que</w:t>
      </w:r>
      <w:r w:rsidRPr="00FD5C21">
        <w:rPr>
          <w:rFonts w:ascii="Palatino Linotype" w:eastAsiaTheme="minorHAnsi" w:hAnsi="Palatino Linotype"/>
          <w:lang w:val="es-ES"/>
        </w:rPr>
        <w:tab/>
        <w:t>mediante oficio Nro.</w:t>
      </w:r>
      <w:r w:rsidRPr="00FD5C21">
        <w:rPr>
          <w:rFonts w:ascii="Palatino Linotype" w:hAnsi="Palatino Linotype"/>
          <w:lang w:val="es-ES"/>
        </w:rPr>
        <w:t xml:space="preserve"> 2950-2010 de 31 de octubre de 2011</w:t>
      </w:r>
      <w:r w:rsidRPr="00FD5C21">
        <w:rPr>
          <w:rFonts w:ascii="Palatino Linotype" w:eastAsiaTheme="minorHAnsi" w:hAnsi="Palatino Linotype"/>
          <w:lang w:val="es-ES"/>
        </w:rPr>
        <w:t xml:space="preserve"> la Procuraduría Metropolitana emitió un </w:t>
      </w:r>
      <w:r w:rsidRPr="00FD5C21">
        <w:rPr>
          <w:rFonts w:ascii="Palatino Linotype" w:hAnsi="Palatino Linotype"/>
          <w:lang w:val="es-ES"/>
        </w:rPr>
        <w:t xml:space="preserve">pronunciamiento en forma general, respecto al marco legal y operativo para todos los casos de </w:t>
      </w:r>
      <w:r w:rsidRPr="00FD5C21">
        <w:rPr>
          <w:rFonts w:ascii="Palatino Linotype" w:eastAsiaTheme="minorHAnsi" w:hAnsi="Palatino Linotype"/>
          <w:lang w:val="es-ES"/>
        </w:rPr>
        <w:t>prescripción extraordinaria adquisitiva de dominio;</w:t>
      </w:r>
    </w:p>
    <w:p w:rsidR="009714BB" w:rsidRPr="00FD5C21" w:rsidRDefault="009714BB" w:rsidP="009714BB">
      <w:pPr>
        <w:adjustRightInd w:val="0"/>
        <w:ind w:left="708" w:hanging="708"/>
        <w:jc w:val="both"/>
        <w:rPr>
          <w:rFonts w:ascii="Palatino Linotype" w:eastAsiaTheme="minorHAnsi" w:hAnsi="Palatino Linotype"/>
          <w:lang w:val="es-ES"/>
        </w:rPr>
      </w:pPr>
    </w:p>
    <w:p w:rsidR="009714BB" w:rsidRPr="00587A5A" w:rsidRDefault="009714BB" w:rsidP="009714BB">
      <w:pPr>
        <w:pStyle w:val="Default"/>
        <w:ind w:left="708" w:hanging="708"/>
        <w:jc w:val="both"/>
        <w:rPr>
          <w:sz w:val="22"/>
          <w:szCs w:val="22"/>
        </w:rPr>
      </w:pPr>
      <w:proofErr w:type="gramStart"/>
      <w:r w:rsidRPr="00587A5A">
        <w:rPr>
          <w:b/>
          <w:sz w:val="22"/>
          <w:szCs w:val="22"/>
        </w:rPr>
        <w:t xml:space="preserve">Que  </w:t>
      </w:r>
      <w:r w:rsidRPr="00587A5A">
        <w:rPr>
          <w:sz w:val="22"/>
          <w:szCs w:val="22"/>
        </w:rPr>
        <w:t>mediante</w:t>
      </w:r>
      <w:proofErr w:type="gramEnd"/>
      <w:r w:rsidRPr="00587A5A">
        <w:rPr>
          <w:sz w:val="22"/>
          <w:szCs w:val="22"/>
        </w:rPr>
        <w:t xml:space="preserve"> Sentencia dictada el </w:t>
      </w:r>
      <w:r w:rsidRPr="008567E3">
        <w:rPr>
          <w:rFonts w:ascii="Helvetica" w:hAnsi="Helvetica" w:cs="Helvetica"/>
          <w:sz w:val="20"/>
          <w:szCs w:val="20"/>
          <w:lang w:eastAsia="es-ES"/>
        </w:rPr>
        <w:t>17 de septiembre del 2012, el Juzgado Séptimo de lo Civil de Pichincha, del Distrito Metropolitano de Quito</w:t>
      </w:r>
      <w:r w:rsidRPr="00587A5A">
        <w:rPr>
          <w:sz w:val="22"/>
          <w:szCs w:val="22"/>
        </w:rPr>
        <w:t xml:space="preserve">, dentro del juicio </w:t>
      </w:r>
      <w:r>
        <w:rPr>
          <w:sz w:val="22"/>
          <w:szCs w:val="22"/>
        </w:rPr>
        <w:t>DE PRESCRIPCIÓN EXTRAORDINARIA DE DOMINIO</w:t>
      </w:r>
      <w:r w:rsidRPr="00587A5A">
        <w:rPr>
          <w:sz w:val="22"/>
          <w:szCs w:val="22"/>
        </w:rPr>
        <w:t>, declaró que la prescripción Extraordinaria Adquisitiva de Dominio ha operado a favor de</w:t>
      </w:r>
      <w:r>
        <w:rPr>
          <w:sz w:val="22"/>
          <w:szCs w:val="22"/>
        </w:rPr>
        <w:t xml:space="preserve">l señor WALTER GENARO CARDENAS FONSECA </w:t>
      </w:r>
      <w:r w:rsidRPr="00587A5A">
        <w:rPr>
          <w:sz w:val="22"/>
          <w:szCs w:val="22"/>
        </w:rPr>
        <w:t xml:space="preserve">, </w:t>
      </w:r>
      <w:r>
        <w:rPr>
          <w:sz w:val="22"/>
          <w:szCs w:val="22"/>
        </w:rPr>
        <w:t>ordena “se acepta la demanda, cuyos linderos, dimensiones y superficie constan detallados en el considerando séptimo de esta resolución”. U</w:t>
      </w:r>
      <w:r w:rsidRPr="00587A5A">
        <w:rPr>
          <w:sz w:val="22"/>
          <w:szCs w:val="22"/>
        </w:rPr>
        <w:t xml:space="preserve">bicado en la calle </w:t>
      </w:r>
      <w:r>
        <w:rPr>
          <w:sz w:val="22"/>
          <w:szCs w:val="22"/>
        </w:rPr>
        <w:t>S10g – OE8-281</w:t>
      </w:r>
      <w:r w:rsidRPr="00587A5A">
        <w:rPr>
          <w:sz w:val="22"/>
          <w:szCs w:val="22"/>
        </w:rPr>
        <w:t>;</w:t>
      </w:r>
    </w:p>
    <w:p w:rsidR="009714BB" w:rsidRPr="00FD5C21" w:rsidRDefault="009714BB" w:rsidP="009714BB">
      <w:pPr>
        <w:adjustRightInd w:val="0"/>
        <w:ind w:left="708" w:hanging="708"/>
        <w:jc w:val="both"/>
        <w:rPr>
          <w:rFonts w:ascii="Palatino Linotype" w:eastAsiaTheme="minorHAnsi" w:hAnsi="Palatino Linotype"/>
          <w:b/>
          <w:lang w:val="es-ES"/>
        </w:rPr>
      </w:pPr>
    </w:p>
    <w:p w:rsidR="009714BB" w:rsidRPr="00FD5C21" w:rsidRDefault="009714BB" w:rsidP="009714BB">
      <w:pPr>
        <w:spacing w:after="160" w:line="259" w:lineRule="auto"/>
        <w:ind w:left="708" w:hanging="708"/>
        <w:jc w:val="both"/>
        <w:rPr>
          <w:rFonts w:ascii="Palatino Linotype" w:hAnsi="Palatino Linotype" w:cs="Palatino Linotype"/>
          <w:lang w:val="es-ES" w:eastAsia="es-EC"/>
        </w:rPr>
      </w:pPr>
      <w:r w:rsidRPr="00FD5C21">
        <w:rPr>
          <w:rFonts w:ascii="Palatino Linotype" w:hAnsi="Palatino Linotype"/>
          <w:b/>
          <w:lang w:val="es-ES"/>
        </w:rPr>
        <w:t>Que</w:t>
      </w:r>
      <w:r w:rsidRPr="00FD5C21">
        <w:rPr>
          <w:rFonts w:ascii="Palatino Linotype" w:hAnsi="Palatino Linotype"/>
          <w:lang w:val="es-ES"/>
        </w:rPr>
        <w:t xml:space="preserve"> </w:t>
      </w:r>
      <w:r w:rsidRPr="00FD5C21">
        <w:rPr>
          <w:rFonts w:ascii="Palatino Linotype" w:hAnsi="Palatino Linotype" w:cs="Palatino Linotype"/>
          <w:lang w:val="es-ES" w:eastAsia="es-EC"/>
        </w:rPr>
        <w:t xml:space="preserve">mediante </w:t>
      </w:r>
      <w:r>
        <w:rPr>
          <w:rFonts w:ascii="Palatino Linotype" w:hAnsi="Palatino Linotype" w:cs="Palatino Linotype"/>
          <w:lang w:val="es-ES" w:eastAsia="es-EC"/>
        </w:rPr>
        <w:t xml:space="preserve">Memorando GADDMQ-SGCM-2023-0707-M DE 16 DE AGOSTO DE 2023, de 16 de agosto 2023, la Dra. Libia Rivas Ordóñez, Secretaria del Concejo Metropolitano, </w:t>
      </w:r>
      <w:r w:rsidRPr="00FD5C21">
        <w:rPr>
          <w:rFonts w:ascii="Palatino Linotype" w:hAnsi="Palatino Linotype" w:cs="Palatino Linotype"/>
          <w:lang w:val="es-ES" w:eastAsia="es-EC"/>
        </w:rPr>
        <w:t xml:space="preserve">solicita a la Administración Zonal Eloy Alfaro </w:t>
      </w:r>
      <w:r>
        <w:rPr>
          <w:rFonts w:ascii="Palatino Linotype" w:hAnsi="Palatino Linotype" w:cs="Palatino Linotype"/>
          <w:lang w:val="es-ES" w:eastAsia="es-EC"/>
        </w:rPr>
        <w:t xml:space="preserve">actualizar los informes tanto técnico como legal y </w:t>
      </w:r>
      <w:r w:rsidRPr="00FD5C21">
        <w:rPr>
          <w:rFonts w:ascii="Palatino Linotype" w:hAnsi="Palatino Linotype" w:cs="Palatino Linotype"/>
          <w:lang w:val="es-ES" w:eastAsia="es-EC"/>
        </w:rPr>
        <w:t xml:space="preserve">se dé trámite a </w:t>
      </w:r>
      <w:r>
        <w:rPr>
          <w:rFonts w:ascii="Palatino Linotype" w:hAnsi="Palatino Linotype" w:cs="Palatino Linotype"/>
          <w:lang w:val="es-ES" w:eastAsia="es-EC"/>
        </w:rPr>
        <w:t>la</w:t>
      </w:r>
      <w:r w:rsidRPr="00FD5C21">
        <w:rPr>
          <w:rFonts w:ascii="Palatino Linotype" w:hAnsi="Palatino Linotype" w:cs="Palatino Linotype"/>
          <w:lang w:val="es-ES" w:eastAsia="es-EC"/>
        </w:rPr>
        <w:t xml:space="preserve"> solicitud de ingreso de prescripción extraordinaria adquisitiva de dominio; </w:t>
      </w:r>
    </w:p>
    <w:p w:rsidR="009714BB" w:rsidRPr="00587A5A" w:rsidRDefault="009714BB" w:rsidP="009714BB">
      <w:pPr>
        <w:pStyle w:val="Default"/>
        <w:ind w:left="708" w:hanging="708"/>
        <w:jc w:val="both"/>
        <w:rPr>
          <w:b/>
          <w:sz w:val="22"/>
          <w:szCs w:val="22"/>
        </w:rPr>
      </w:pPr>
    </w:p>
    <w:p w:rsidR="009714BB" w:rsidRPr="00587A5A" w:rsidRDefault="009714BB" w:rsidP="009714BB">
      <w:pPr>
        <w:pStyle w:val="Default"/>
        <w:ind w:left="708" w:hanging="708"/>
        <w:jc w:val="both"/>
        <w:rPr>
          <w:sz w:val="22"/>
          <w:szCs w:val="22"/>
        </w:rPr>
      </w:pPr>
      <w:r w:rsidRPr="00587A5A">
        <w:rPr>
          <w:b/>
          <w:sz w:val="22"/>
          <w:szCs w:val="22"/>
        </w:rPr>
        <w:t>Que</w:t>
      </w:r>
      <w:r w:rsidRPr="00587A5A">
        <w:rPr>
          <w:sz w:val="22"/>
          <w:szCs w:val="22"/>
        </w:rPr>
        <w:tab/>
        <w:t xml:space="preserve">mediante oficio GADDMQ-PM-2021-0396-O de 29 de enero de 2021, el Dr. Edison Yépez </w:t>
      </w:r>
      <w:proofErr w:type="spellStart"/>
      <w:r w:rsidRPr="00587A5A">
        <w:rPr>
          <w:sz w:val="22"/>
          <w:szCs w:val="22"/>
        </w:rPr>
        <w:t>Vinueza</w:t>
      </w:r>
      <w:proofErr w:type="spellEnd"/>
      <w:r w:rsidRPr="00587A5A">
        <w:rPr>
          <w:sz w:val="22"/>
          <w:szCs w:val="22"/>
        </w:rPr>
        <w:t xml:space="preserve">, Subprocurador Metropolitano, señala:  </w:t>
      </w:r>
    </w:p>
    <w:p w:rsidR="009714BB" w:rsidRPr="00FD5C21" w:rsidRDefault="009714BB" w:rsidP="009714BB">
      <w:pPr>
        <w:tabs>
          <w:tab w:val="left" w:pos="426"/>
        </w:tabs>
        <w:ind w:left="1416" w:right="566"/>
        <w:jc w:val="both"/>
        <w:rPr>
          <w:rFonts w:ascii="Palatino Linotype" w:hAnsi="Palatino Linotype"/>
          <w:i/>
          <w:lang w:val="es-ES"/>
        </w:rPr>
      </w:pPr>
    </w:p>
    <w:p w:rsidR="009714BB" w:rsidRPr="00FD5C21" w:rsidRDefault="009714BB" w:rsidP="009714BB">
      <w:pPr>
        <w:tabs>
          <w:tab w:val="left" w:pos="284"/>
        </w:tabs>
        <w:ind w:left="708"/>
        <w:jc w:val="both"/>
        <w:rPr>
          <w:rFonts w:ascii="Palatino Linotype" w:hAnsi="Palatino Linotype"/>
          <w:i/>
          <w:lang w:val="es-ES"/>
        </w:rPr>
      </w:pPr>
      <w:r w:rsidRPr="00FD5C21">
        <w:rPr>
          <w:rFonts w:ascii="Palatino Linotype" w:hAnsi="Palatino Linotype"/>
          <w:i/>
          <w:lang w:val="es-ES"/>
        </w:rPr>
        <w:t xml:space="preserve">“(…) Mediante oficio No. 2950-2010 de 31 de octubre de 2011, la Procuraduría Metropolitana absuelve la consulta planteada por la Secretaría de Coordinación Territorial y Participación </w:t>
      </w:r>
      <w:proofErr w:type="spellStart"/>
      <w:r w:rsidRPr="00FD5C21">
        <w:rPr>
          <w:rFonts w:ascii="Palatino Linotype" w:hAnsi="Palatino Linotype"/>
          <w:i/>
          <w:lang w:val="es-ES"/>
        </w:rPr>
        <w:t>gCiudadana</w:t>
      </w:r>
      <w:proofErr w:type="spellEnd"/>
      <w:r w:rsidRPr="00FD5C21">
        <w:rPr>
          <w:rFonts w:ascii="Palatino Linotype" w:hAnsi="Palatino Linotype"/>
          <w:i/>
          <w:lang w:val="es-ES"/>
        </w:rPr>
        <w:t>, para los casos de fraccionamiento producidos a causa de las sentencias dictadas en juicios de prescripción adquisitiva de dominio y se pronunció respecto del procedimiento a seguir para el cumplimiento y ejecución de dichas sentencias.</w:t>
      </w:r>
    </w:p>
    <w:p w:rsidR="009714BB" w:rsidRPr="00FD5C21" w:rsidRDefault="009714BB" w:rsidP="009714BB">
      <w:pPr>
        <w:tabs>
          <w:tab w:val="left" w:pos="284"/>
        </w:tabs>
        <w:ind w:left="708"/>
        <w:jc w:val="both"/>
        <w:rPr>
          <w:rFonts w:ascii="Palatino Linotype" w:hAnsi="Palatino Linotype"/>
          <w:i/>
          <w:lang w:val="es-ES"/>
        </w:rPr>
      </w:pPr>
      <w:r w:rsidRPr="00FD5C21">
        <w:rPr>
          <w:rFonts w:ascii="Palatino Linotype" w:hAnsi="Palatino Linotype"/>
          <w:i/>
          <w:lang w:val="es-ES"/>
        </w:rPr>
        <w:t>En este sentido, corresponde a las Administraciones Zonales determinar en cada caso particular, la aplicación del criterio anteriormente señalado, para lo cual deberá tomar en cuenta en sujeción a la normativa vigente y por tratarse de un fraccionamiento, los parámetros de lote mínimo, frente mínimo y contribución o compensación de áreas verdes.</w:t>
      </w:r>
    </w:p>
    <w:p w:rsidR="009714BB" w:rsidRPr="00FD5C21" w:rsidRDefault="009714BB" w:rsidP="009714BB">
      <w:pPr>
        <w:tabs>
          <w:tab w:val="left" w:pos="284"/>
        </w:tabs>
        <w:ind w:left="708"/>
        <w:jc w:val="both"/>
        <w:rPr>
          <w:rFonts w:ascii="Palatino Linotype" w:hAnsi="Palatino Linotype"/>
          <w:i/>
          <w:lang w:val="es-ES"/>
        </w:rPr>
      </w:pPr>
      <w:r w:rsidRPr="00FD5C21">
        <w:rPr>
          <w:rFonts w:ascii="Palatino Linotype" w:hAnsi="Palatino Linotype"/>
          <w:i/>
          <w:lang w:val="es-ES"/>
        </w:rPr>
        <w:t xml:space="preserve">En el evento de que la subdivisión que se genere con la ejecución de la sentencia no cumpla </w:t>
      </w:r>
      <w:r w:rsidRPr="00FD5C21">
        <w:rPr>
          <w:rFonts w:ascii="Palatino Linotype" w:hAnsi="Palatino Linotype"/>
          <w:i/>
          <w:lang w:val="es-ES"/>
        </w:rPr>
        <w:lastRenderedPageBreak/>
        <w:t>con los parámetros de zonificación respecto a lote y frente mínimos, se remitirá el expediente con los informes de la Administración Zonal, para conocimiento y resolución del Concejo Metropolitano.</w:t>
      </w:r>
    </w:p>
    <w:p w:rsidR="009714BB" w:rsidRPr="00FD5C21" w:rsidRDefault="009714BB" w:rsidP="009714BB">
      <w:pPr>
        <w:tabs>
          <w:tab w:val="left" w:pos="284"/>
        </w:tabs>
        <w:ind w:left="708"/>
        <w:jc w:val="both"/>
        <w:rPr>
          <w:rFonts w:ascii="Palatino Linotype" w:hAnsi="Palatino Linotype"/>
          <w:i/>
          <w:lang w:val="es-ES"/>
        </w:rPr>
      </w:pPr>
      <w:r w:rsidRPr="00FD5C21">
        <w:rPr>
          <w:rFonts w:ascii="Palatino Linotype" w:hAnsi="Palatino Linotype"/>
          <w:i/>
          <w:lang w:val="es-ES"/>
        </w:rPr>
        <w:t>Por lo expuesto, las Administraciones Zonales de acuerdo al régimen jurídico aplicable realizarán el análisis de cumplimiento de los parámetros de zonificación y de la contribución o compensación del área verde, e informarán al Concejo Metropolitano, según los supuestos fácticos que presenten cada uno de los casos en particular”;</w:t>
      </w:r>
    </w:p>
    <w:p w:rsidR="009714BB" w:rsidRPr="00FD5C21" w:rsidRDefault="009714BB" w:rsidP="009714BB">
      <w:pPr>
        <w:jc w:val="both"/>
        <w:rPr>
          <w:rFonts w:ascii="Palatino Linotype" w:hAnsi="Palatino Linotype"/>
          <w:i/>
          <w:lang w:val="es-ES"/>
        </w:rPr>
      </w:pPr>
    </w:p>
    <w:p w:rsidR="009714BB" w:rsidRPr="00587A5A" w:rsidRDefault="009714BB" w:rsidP="009714BB">
      <w:pPr>
        <w:ind w:left="708" w:hanging="708"/>
        <w:jc w:val="both"/>
        <w:rPr>
          <w:rFonts w:ascii="Palatino Linotype" w:hAnsi="Palatino Linotype"/>
          <w:lang w:val="es-ES_tradnl"/>
        </w:rPr>
      </w:pPr>
      <w:r w:rsidRPr="00FD5C21">
        <w:rPr>
          <w:rFonts w:ascii="Palatino Linotype" w:hAnsi="Palatino Linotype"/>
          <w:b/>
          <w:lang w:val="es-ES"/>
        </w:rPr>
        <w:t>Que</w:t>
      </w:r>
      <w:r w:rsidRPr="00FD5C21">
        <w:rPr>
          <w:rFonts w:ascii="Palatino Linotype" w:hAnsi="Palatino Linotype"/>
          <w:lang w:val="es-ES"/>
        </w:rPr>
        <w:t>, m</w:t>
      </w:r>
      <w:proofErr w:type="spellStart"/>
      <w:r w:rsidRPr="00587A5A">
        <w:rPr>
          <w:rFonts w:ascii="Palatino Linotype" w:hAnsi="Palatino Linotype"/>
          <w:lang w:val="es-ES_tradnl"/>
        </w:rPr>
        <w:t>ediante</w:t>
      </w:r>
      <w:proofErr w:type="spellEnd"/>
      <w:r w:rsidRPr="00587A5A">
        <w:rPr>
          <w:rFonts w:ascii="Palatino Linotype" w:hAnsi="Palatino Linotype"/>
          <w:lang w:val="es-ES_tradnl"/>
        </w:rPr>
        <w:t xml:space="preserve"> memorando Nro. GADDMQ-AZEA-DGT-UGU-202</w:t>
      </w:r>
      <w:r>
        <w:rPr>
          <w:rFonts w:ascii="Palatino Linotype" w:hAnsi="Palatino Linotype"/>
          <w:lang w:val="es-ES_tradnl"/>
        </w:rPr>
        <w:t>3</w:t>
      </w:r>
      <w:r w:rsidRPr="00587A5A">
        <w:rPr>
          <w:rFonts w:ascii="Palatino Linotype" w:hAnsi="Palatino Linotype"/>
          <w:lang w:val="es-ES_tradnl"/>
        </w:rPr>
        <w:t>-021</w:t>
      </w:r>
      <w:r>
        <w:rPr>
          <w:rFonts w:ascii="Palatino Linotype" w:hAnsi="Palatino Linotype"/>
          <w:lang w:val="es-ES_tradnl"/>
        </w:rPr>
        <w:t>0</w:t>
      </w:r>
      <w:r w:rsidRPr="00587A5A">
        <w:rPr>
          <w:rFonts w:ascii="Palatino Linotype" w:hAnsi="Palatino Linotype"/>
          <w:lang w:val="es-ES_tradnl"/>
        </w:rPr>
        <w:t xml:space="preserve">-M, de </w:t>
      </w:r>
      <w:r>
        <w:rPr>
          <w:rFonts w:ascii="Palatino Linotype" w:hAnsi="Palatino Linotype"/>
          <w:lang w:val="es-ES_tradnl"/>
        </w:rPr>
        <w:t>22</w:t>
      </w:r>
      <w:r w:rsidRPr="00587A5A">
        <w:rPr>
          <w:rFonts w:ascii="Palatino Linotype" w:hAnsi="Palatino Linotype"/>
          <w:lang w:val="es-ES_tradnl"/>
        </w:rPr>
        <w:t xml:space="preserve"> de </w:t>
      </w:r>
      <w:r>
        <w:rPr>
          <w:rFonts w:ascii="Palatino Linotype" w:hAnsi="Palatino Linotype"/>
          <w:lang w:val="es-ES_tradnl"/>
        </w:rPr>
        <w:t xml:space="preserve">septiembre </w:t>
      </w:r>
      <w:r w:rsidRPr="00587A5A">
        <w:rPr>
          <w:rFonts w:ascii="Palatino Linotype" w:hAnsi="Palatino Linotype"/>
          <w:lang w:val="es-ES_tradnl"/>
        </w:rPr>
        <w:t>de 202</w:t>
      </w:r>
      <w:r>
        <w:rPr>
          <w:rFonts w:ascii="Palatino Linotype" w:hAnsi="Palatino Linotype"/>
          <w:lang w:val="es-ES_tradnl"/>
        </w:rPr>
        <w:t>3</w:t>
      </w:r>
      <w:r w:rsidRPr="00587A5A">
        <w:rPr>
          <w:rFonts w:ascii="Palatino Linotype" w:hAnsi="Palatino Linotype"/>
          <w:lang w:val="es-ES_tradnl"/>
        </w:rPr>
        <w:t xml:space="preserve">, el </w:t>
      </w:r>
      <w:r>
        <w:rPr>
          <w:rFonts w:ascii="Palatino Linotype" w:hAnsi="Palatino Linotype"/>
          <w:lang w:val="es-ES_tradnl"/>
        </w:rPr>
        <w:t xml:space="preserve">Ing. Darwin </w:t>
      </w:r>
      <w:proofErr w:type="spellStart"/>
      <w:r>
        <w:rPr>
          <w:rFonts w:ascii="Palatino Linotype" w:hAnsi="Palatino Linotype"/>
          <w:lang w:val="es-ES_tradnl"/>
        </w:rPr>
        <w:t>Wladimir</w:t>
      </w:r>
      <w:proofErr w:type="spellEnd"/>
      <w:r>
        <w:rPr>
          <w:rFonts w:ascii="Palatino Linotype" w:hAnsi="Palatino Linotype"/>
          <w:lang w:val="es-ES_tradnl"/>
        </w:rPr>
        <w:t xml:space="preserve"> </w:t>
      </w:r>
      <w:proofErr w:type="spellStart"/>
      <w:r>
        <w:rPr>
          <w:rFonts w:ascii="Palatino Linotype" w:hAnsi="Palatino Linotype"/>
          <w:lang w:val="es-ES_tradnl"/>
        </w:rPr>
        <w:t>Toapanta</w:t>
      </w:r>
      <w:proofErr w:type="spellEnd"/>
      <w:r>
        <w:rPr>
          <w:rFonts w:ascii="Palatino Linotype" w:hAnsi="Palatino Linotype"/>
          <w:lang w:val="es-ES_tradnl"/>
        </w:rPr>
        <w:t xml:space="preserve"> </w:t>
      </w:r>
      <w:proofErr w:type="spellStart"/>
      <w:r>
        <w:rPr>
          <w:rFonts w:ascii="Palatino Linotype" w:hAnsi="Palatino Linotype"/>
          <w:lang w:val="es-ES_tradnl"/>
        </w:rPr>
        <w:t>Huilca</w:t>
      </w:r>
      <w:proofErr w:type="spellEnd"/>
      <w:r w:rsidRPr="00587A5A">
        <w:rPr>
          <w:rFonts w:ascii="Palatino Linotype" w:hAnsi="Palatino Linotype"/>
          <w:lang w:val="es-ES_tradnl"/>
        </w:rPr>
        <w:t xml:space="preserve">, Responsable de la Unidad de Gestión Urbana de la Administración Zonal Eloy Alfaro, señala: </w:t>
      </w:r>
    </w:p>
    <w:p w:rsidR="009714BB" w:rsidRPr="00587A5A" w:rsidRDefault="009714BB" w:rsidP="009714BB">
      <w:pPr>
        <w:pStyle w:val="Prrafodelista"/>
        <w:ind w:left="1800"/>
        <w:jc w:val="both"/>
        <w:rPr>
          <w:rFonts w:ascii="Palatino Linotype" w:hAnsi="Palatino Linotype"/>
          <w:b/>
          <w:lang w:val="es-ES_tradnl"/>
        </w:rPr>
      </w:pPr>
    </w:p>
    <w:p w:rsidR="009714BB" w:rsidRPr="00587A5A" w:rsidRDefault="009714BB" w:rsidP="009714BB">
      <w:pPr>
        <w:pStyle w:val="Prrafodelista"/>
        <w:ind w:left="1800"/>
        <w:jc w:val="both"/>
        <w:rPr>
          <w:rFonts w:ascii="Palatino Linotype" w:hAnsi="Palatino Linotype"/>
          <w:b/>
          <w:i/>
          <w:lang w:val="es-ES_tradnl"/>
        </w:rPr>
      </w:pPr>
      <w:r w:rsidRPr="00587A5A">
        <w:rPr>
          <w:rFonts w:ascii="Palatino Linotype" w:hAnsi="Palatino Linotype"/>
          <w:b/>
          <w:i/>
          <w:lang w:val="es-ES_tradnl"/>
        </w:rPr>
        <w:t xml:space="preserve">“(…) CONCLUSION </w:t>
      </w:r>
    </w:p>
    <w:p w:rsidR="009714BB" w:rsidRPr="00587A5A" w:rsidRDefault="009714BB" w:rsidP="009714BB">
      <w:pPr>
        <w:pStyle w:val="Prrafodelista"/>
        <w:ind w:left="1800"/>
        <w:jc w:val="both"/>
        <w:rPr>
          <w:rFonts w:ascii="Palatino Linotype" w:hAnsi="Palatino Linotype"/>
          <w:i/>
          <w:lang w:val="es-ES_tradnl"/>
        </w:rPr>
      </w:pPr>
    </w:p>
    <w:p w:rsidR="009714BB" w:rsidRPr="00587A5A" w:rsidRDefault="009714BB" w:rsidP="009714BB">
      <w:pPr>
        <w:pStyle w:val="Prrafodelista"/>
        <w:ind w:left="1800"/>
        <w:jc w:val="both"/>
        <w:rPr>
          <w:rFonts w:ascii="Palatino Linotype" w:hAnsi="Palatino Linotype"/>
          <w:i/>
          <w:lang w:val="es-ES_tradnl"/>
        </w:rPr>
      </w:pPr>
      <w:r w:rsidRPr="00587A5A">
        <w:rPr>
          <w:rFonts w:ascii="Palatino Linotype" w:hAnsi="Palatino Linotype"/>
          <w:i/>
          <w:lang w:val="es-ES_tradnl"/>
        </w:rPr>
        <w:sym w:font="Symbol" w:char="F0B7"/>
      </w:r>
      <w:r w:rsidRPr="00587A5A">
        <w:rPr>
          <w:rFonts w:ascii="Palatino Linotype" w:hAnsi="Palatino Linotype"/>
          <w:i/>
          <w:lang w:val="es-ES_tradnl"/>
        </w:rPr>
        <w:t xml:space="preserve"> Con lo expuesto se desprende que el predio en mención, NO cumple con las ÁREAS MINIMAS ESTABLECIDAS EN LA ORDENANZA, por tanto será el Concejo Metropolitano quien dictamine el trámite correspondiente a seguir, de la consulta hecha a la Procuraduría Metropolitana en el año 2011, se describe los artículos aplicativos para dichas competencias. </w:t>
      </w:r>
    </w:p>
    <w:p w:rsidR="009714BB" w:rsidRPr="00587A5A" w:rsidRDefault="009714BB" w:rsidP="009714BB">
      <w:pPr>
        <w:pStyle w:val="Prrafodelista"/>
        <w:ind w:left="1800"/>
        <w:jc w:val="both"/>
        <w:rPr>
          <w:rFonts w:ascii="Palatino Linotype" w:hAnsi="Palatino Linotype"/>
          <w:i/>
          <w:lang w:val="es-ES_tradnl"/>
        </w:rPr>
      </w:pPr>
    </w:p>
    <w:p w:rsidR="009714BB" w:rsidRPr="00587A5A" w:rsidRDefault="009714BB" w:rsidP="009714BB">
      <w:pPr>
        <w:pStyle w:val="Prrafodelista"/>
        <w:ind w:left="1800"/>
        <w:jc w:val="both"/>
        <w:rPr>
          <w:rFonts w:ascii="Palatino Linotype" w:hAnsi="Palatino Linotype"/>
          <w:i/>
          <w:lang w:val="es-ES_tradnl"/>
        </w:rPr>
      </w:pPr>
      <w:r w:rsidRPr="00587A5A">
        <w:rPr>
          <w:rFonts w:ascii="Palatino Linotype" w:hAnsi="Palatino Linotype"/>
          <w:i/>
          <w:lang w:val="es-ES_tradnl"/>
        </w:rPr>
        <w:t xml:space="preserve">Previo remitir dicho informe se realizó la respectiva consulta sobre la contribución de áreas verdes a la Secretaria de Territorio, Hábitat y Vivienda donde indica lo siguiente: </w:t>
      </w:r>
    </w:p>
    <w:p w:rsidR="009714BB" w:rsidRPr="00587A5A" w:rsidRDefault="009714BB" w:rsidP="009714BB">
      <w:pPr>
        <w:pStyle w:val="Prrafodelista"/>
        <w:ind w:left="1800"/>
        <w:jc w:val="both"/>
        <w:rPr>
          <w:rFonts w:ascii="Palatino Linotype" w:hAnsi="Palatino Linotype"/>
          <w:i/>
          <w:lang w:val="es-ES_tradnl"/>
        </w:rPr>
      </w:pPr>
      <w:r w:rsidRPr="00587A5A">
        <w:rPr>
          <w:rFonts w:ascii="Palatino Linotype" w:hAnsi="Palatino Linotype"/>
          <w:i/>
          <w:lang w:val="es-ES_tradnl"/>
        </w:rPr>
        <w:t xml:space="preserve">En base al CODIGO MUNICIPAL PARA EL DISTRITO METROPOLITANO DE QUITO. </w:t>
      </w:r>
    </w:p>
    <w:p w:rsidR="009714BB" w:rsidRPr="00587A5A" w:rsidRDefault="009714BB" w:rsidP="009714BB">
      <w:pPr>
        <w:pStyle w:val="Prrafodelista"/>
        <w:ind w:left="1800"/>
        <w:jc w:val="both"/>
        <w:rPr>
          <w:rFonts w:ascii="Palatino Linotype" w:hAnsi="Palatino Linotype"/>
          <w:i/>
          <w:lang w:val="es-ES_tradnl"/>
        </w:rPr>
      </w:pPr>
      <w:r w:rsidRPr="00587A5A">
        <w:rPr>
          <w:rFonts w:ascii="Palatino Linotype" w:hAnsi="Palatino Linotype"/>
          <w:i/>
          <w:lang w:val="es-ES_tradnl"/>
        </w:rPr>
        <w:t xml:space="preserve">Articulo IV.1.79.- Supuestos en que la contribución de áreas verdes públicas, para subdivisiones puede ser compensada.- </w:t>
      </w:r>
    </w:p>
    <w:p w:rsidR="009714BB" w:rsidRPr="00587A5A" w:rsidRDefault="009714BB" w:rsidP="009714BB">
      <w:pPr>
        <w:pStyle w:val="Prrafodelista"/>
        <w:ind w:left="1800"/>
        <w:jc w:val="both"/>
        <w:rPr>
          <w:rFonts w:ascii="Palatino Linotype" w:hAnsi="Palatino Linotype"/>
          <w:i/>
          <w:lang w:val="es-ES_tradnl"/>
        </w:rPr>
      </w:pPr>
      <w:r w:rsidRPr="00587A5A">
        <w:rPr>
          <w:rFonts w:ascii="Palatino Linotype" w:hAnsi="Palatino Linotype"/>
          <w:i/>
          <w:lang w:val="es-ES_tradnl"/>
        </w:rPr>
        <w:t xml:space="preserve">(…) </w:t>
      </w:r>
    </w:p>
    <w:p w:rsidR="009714BB" w:rsidRPr="00587A5A" w:rsidRDefault="009714BB" w:rsidP="009714BB">
      <w:pPr>
        <w:pStyle w:val="Prrafodelista"/>
        <w:ind w:left="1800"/>
        <w:jc w:val="both"/>
        <w:rPr>
          <w:rFonts w:ascii="Palatino Linotype" w:hAnsi="Palatino Linotype"/>
          <w:i/>
          <w:lang w:val="es-ES_tradnl"/>
        </w:rPr>
      </w:pPr>
      <w:r w:rsidRPr="00587A5A">
        <w:rPr>
          <w:rFonts w:ascii="Palatino Linotype" w:hAnsi="Palatino Linotype"/>
          <w:i/>
          <w:lang w:val="es-ES_tradnl"/>
        </w:rPr>
        <w:t xml:space="preserve">“En el caso de sentencia ejecutoriada dictada dentro del juicio de Prescripción Extraordinaria de Dominio de una parte de un lote que obliga a un fraccionamiento de conformidad a lo estipulado en el artículo 424 reformado del Código Orgánico de Organización Territorial, Autonomía y Descentralización, se deberá calcular el aporte del 15% del área útil adquirida mediante sentencia. </w:t>
      </w:r>
    </w:p>
    <w:p w:rsidR="009714BB" w:rsidRPr="00587A5A" w:rsidRDefault="009714BB" w:rsidP="009714BB">
      <w:pPr>
        <w:pStyle w:val="Prrafodelista"/>
        <w:ind w:left="1800"/>
        <w:jc w:val="both"/>
        <w:rPr>
          <w:rFonts w:ascii="Palatino Linotype" w:hAnsi="Palatino Linotype"/>
          <w:i/>
          <w:lang w:val="es-ES_tradnl"/>
        </w:rPr>
      </w:pPr>
    </w:p>
    <w:p w:rsidR="009714BB" w:rsidRPr="00587A5A" w:rsidRDefault="009714BB" w:rsidP="009714BB">
      <w:pPr>
        <w:pStyle w:val="Prrafodelista"/>
        <w:ind w:left="1800"/>
        <w:jc w:val="both"/>
        <w:rPr>
          <w:rFonts w:ascii="Palatino Linotype" w:hAnsi="Palatino Linotype"/>
          <w:i/>
          <w:lang w:val="es-ES_tradnl"/>
        </w:rPr>
      </w:pPr>
      <w:r w:rsidRPr="00587A5A">
        <w:rPr>
          <w:rFonts w:ascii="Palatino Linotype" w:hAnsi="Palatino Linotype"/>
          <w:i/>
          <w:lang w:val="es-ES_tradnl"/>
        </w:rPr>
        <w:t>Si el área de la sentencia es inferior a 3000.00m2, la contribución del 15% del área útil adjudicada, deberá ser compensada por el administrado solicitante de la prescripción, este lo realizara con el valor monetario según el avaluó catastral actualizado, siempre que sea menor al lote mínimo asignado en la zonificación vigente.</w:t>
      </w:r>
    </w:p>
    <w:p w:rsidR="009714BB" w:rsidRPr="00587A5A" w:rsidRDefault="009714BB" w:rsidP="009714BB">
      <w:pPr>
        <w:pStyle w:val="Prrafodelista"/>
        <w:ind w:left="1800"/>
        <w:jc w:val="both"/>
        <w:rPr>
          <w:rFonts w:ascii="Palatino Linotype" w:hAnsi="Palatino Linotype"/>
          <w:i/>
          <w:lang w:val="es-ES_tradnl"/>
        </w:rPr>
      </w:pPr>
    </w:p>
    <w:p w:rsidR="009714BB" w:rsidRPr="00FD5C21" w:rsidRDefault="009714BB" w:rsidP="009714BB">
      <w:pPr>
        <w:ind w:left="1800"/>
        <w:rPr>
          <w:rFonts w:ascii="Palatino Linotype" w:hAnsi="Palatino Linotype"/>
          <w:i/>
          <w:lang w:val="es-ES" w:eastAsia="es-EC"/>
        </w:rPr>
      </w:pPr>
      <w:r w:rsidRPr="00FD5C21">
        <w:rPr>
          <w:rFonts w:ascii="Palatino Linotype" w:hAnsi="Palatino Linotype"/>
          <w:i/>
          <w:iCs/>
          <w:color w:val="000000"/>
          <w:lang w:val="es-ES"/>
        </w:rPr>
        <w:t xml:space="preserve">Área Prescrita: </w:t>
      </w:r>
      <w:r>
        <w:rPr>
          <w:rFonts w:ascii="Palatino Linotype" w:hAnsi="Palatino Linotype"/>
          <w:i/>
          <w:iCs/>
          <w:color w:val="000000"/>
          <w:lang w:val="es-ES"/>
        </w:rPr>
        <w:t>88.11</w:t>
      </w:r>
      <w:r w:rsidRPr="00FD5C21">
        <w:rPr>
          <w:rFonts w:ascii="Palatino Linotype" w:hAnsi="Palatino Linotype"/>
          <w:i/>
          <w:iCs/>
          <w:color w:val="000000"/>
          <w:lang w:val="es-ES"/>
        </w:rPr>
        <w:t xml:space="preserve">m2 </w:t>
      </w:r>
    </w:p>
    <w:p w:rsidR="009714BB" w:rsidRPr="00FD5C21" w:rsidRDefault="009714BB" w:rsidP="009714BB">
      <w:pPr>
        <w:ind w:left="1800"/>
        <w:rPr>
          <w:rFonts w:ascii="Palatino Linotype" w:hAnsi="Palatino Linotype"/>
          <w:i/>
          <w:lang w:val="es-ES"/>
        </w:rPr>
      </w:pPr>
      <w:proofErr w:type="spellStart"/>
      <w:r w:rsidRPr="00FD5C21">
        <w:rPr>
          <w:rFonts w:ascii="Palatino Linotype" w:hAnsi="Palatino Linotype"/>
          <w:i/>
          <w:iCs/>
          <w:color w:val="000000"/>
          <w:lang w:val="es-ES"/>
        </w:rPr>
        <w:t>Area</w:t>
      </w:r>
      <w:proofErr w:type="spellEnd"/>
      <w:r w:rsidRPr="00FD5C21">
        <w:rPr>
          <w:rFonts w:ascii="Palatino Linotype" w:hAnsi="Palatino Linotype"/>
          <w:i/>
          <w:iCs/>
          <w:color w:val="000000"/>
          <w:lang w:val="es-ES"/>
        </w:rPr>
        <w:t xml:space="preserve"> contribución 15%: </w:t>
      </w:r>
      <w:r>
        <w:rPr>
          <w:rFonts w:ascii="Palatino Linotype" w:hAnsi="Palatino Linotype"/>
          <w:i/>
          <w:iCs/>
          <w:color w:val="000000"/>
          <w:lang w:val="es-ES"/>
        </w:rPr>
        <w:t xml:space="preserve">  13.216</w:t>
      </w:r>
      <w:r w:rsidRPr="00FD5C21">
        <w:rPr>
          <w:rFonts w:ascii="Palatino Linotype" w:hAnsi="Palatino Linotype"/>
          <w:i/>
          <w:iCs/>
          <w:color w:val="000000"/>
          <w:lang w:val="es-ES"/>
        </w:rPr>
        <w:t xml:space="preserve"> m2 </w:t>
      </w:r>
    </w:p>
    <w:p w:rsidR="009714BB" w:rsidRPr="00FD5C21" w:rsidRDefault="009714BB" w:rsidP="009714BB">
      <w:pPr>
        <w:ind w:left="1800"/>
        <w:rPr>
          <w:rFonts w:ascii="Palatino Linotype" w:hAnsi="Palatino Linotype"/>
          <w:i/>
          <w:lang w:val="es-ES"/>
        </w:rPr>
      </w:pPr>
      <w:r w:rsidRPr="00FD5C21">
        <w:rPr>
          <w:rFonts w:ascii="Palatino Linotype" w:hAnsi="Palatino Linotype"/>
          <w:i/>
          <w:iCs/>
          <w:color w:val="000000"/>
          <w:lang w:val="es-ES"/>
        </w:rPr>
        <w:t xml:space="preserve">Valor /m2 según el Avalúo: </w:t>
      </w:r>
      <w:r>
        <w:rPr>
          <w:rFonts w:ascii="Palatino Linotype" w:hAnsi="Palatino Linotype"/>
          <w:i/>
          <w:iCs/>
          <w:color w:val="000000"/>
          <w:lang w:val="es-ES"/>
        </w:rPr>
        <w:t xml:space="preserve">123.627 </w:t>
      </w:r>
      <w:r w:rsidRPr="00FD5C21">
        <w:rPr>
          <w:rFonts w:ascii="Palatino Linotype" w:hAnsi="Palatino Linotype"/>
          <w:i/>
          <w:iCs/>
          <w:color w:val="000000"/>
          <w:lang w:val="es-ES"/>
        </w:rPr>
        <w:t xml:space="preserve">USD </w:t>
      </w:r>
    </w:p>
    <w:p w:rsidR="009714BB" w:rsidRPr="00587A5A" w:rsidRDefault="009714BB" w:rsidP="009714BB">
      <w:pPr>
        <w:pStyle w:val="Prrafodelista"/>
        <w:ind w:left="1800"/>
        <w:jc w:val="both"/>
        <w:rPr>
          <w:rFonts w:ascii="Palatino Linotype" w:hAnsi="Palatino Linotype"/>
          <w:i/>
          <w:lang w:val="es-ES_tradnl"/>
        </w:rPr>
      </w:pPr>
      <w:r w:rsidRPr="00035E4E">
        <w:rPr>
          <w:rFonts w:ascii="Palatino Linotype" w:hAnsi="Palatino Linotype"/>
          <w:b/>
          <w:bCs/>
          <w:i/>
          <w:iCs/>
          <w:color w:val="000000"/>
          <w:lang w:val="es-ES"/>
        </w:rPr>
        <w:t xml:space="preserve">Calculo estimado: </w:t>
      </w:r>
      <w:r>
        <w:rPr>
          <w:rFonts w:ascii="Palatino Linotype" w:hAnsi="Palatino Linotype"/>
          <w:b/>
          <w:bCs/>
          <w:i/>
          <w:iCs/>
          <w:color w:val="000000"/>
          <w:lang w:val="es-ES"/>
        </w:rPr>
        <w:t xml:space="preserve">1633.93 </w:t>
      </w:r>
      <w:r w:rsidRPr="00035E4E">
        <w:rPr>
          <w:rFonts w:ascii="Palatino Linotype" w:hAnsi="Palatino Linotype"/>
          <w:b/>
          <w:bCs/>
          <w:i/>
          <w:iCs/>
          <w:color w:val="000000"/>
          <w:lang w:val="es-ES"/>
        </w:rPr>
        <w:t>USD”.</w:t>
      </w:r>
    </w:p>
    <w:p w:rsidR="009714BB" w:rsidRPr="00587A5A" w:rsidRDefault="009714BB" w:rsidP="009714BB">
      <w:pPr>
        <w:pStyle w:val="Default"/>
        <w:jc w:val="both"/>
        <w:rPr>
          <w:b/>
          <w:sz w:val="22"/>
          <w:szCs w:val="22"/>
        </w:rPr>
      </w:pPr>
    </w:p>
    <w:p w:rsidR="009714BB" w:rsidRPr="00587A5A" w:rsidRDefault="009714BB" w:rsidP="009714BB">
      <w:pPr>
        <w:ind w:left="708" w:hanging="708"/>
        <w:jc w:val="both"/>
        <w:rPr>
          <w:rFonts w:ascii="Palatino Linotype" w:hAnsi="Palatino Linotype"/>
          <w:lang w:val="es-ES_tradnl"/>
        </w:rPr>
      </w:pPr>
      <w:r w:rsidRPr="00FD5C21">
        <w:rPr>
          <w:rFonts w:ascii="Palatino Linotype" w:hAnsi="Palatino Linotype"/>
          <w:b/>
          <w:lang w:val="es-ES"/>
        </w:rPr>
        <w:t xml:space="preserve">Que, </w:t>
      </w:r>
      <w:r>
        <w:rPr>
          <w:rFonts w:ascii="Palatino Linotype" w:hAnsi="Palatino Linotype"/>
          <w:lang w:val="es-ES_tradnl"/>
        </w:rPr>
        <w:t xml:space="preserve">mediante memorando Nro. GADDMQ-STHV-DMC-UGT-AZEA-2023-0445-M de </w:t>
      </w:r>
      <w:r>
        <w:rPr>
          <w:rFonts w:ascii="Palatino Linotype" w:hAnsi="Palatino Linotype"/>
          <w:lang w:val="es-ES_tradnl"/>
        </w:rPr>
        <w:lastRenderedPageBreak/>
        <w:t>2 de octubre del 2023</w:t>
      </w:r>
      <w:r w:rsidRPr="00587A5A">
        <w:rPr>
          <w:rFonts w:ascii="Palatino Linotype" w:hAnsi="Palatino Linotype"/>
          <w:lang w:val="es-ES_tradnl"/>
        </w:rPr>
        <w:t xml:space="preserve">, emitido por la Arq. </w:t>
      </w:r>
      <w:r>
        <w:rPr>
          <w:rFonts w:ascii="Palatino Linotype" w:hAnsi="Palatino Linotype"/>
          <w:lang w:val="es-ES_tradnl"/>
        </w:rPr>
        <w:t>Lucia Muñoz</w:t>
      </w:r>
      <w:r w:rsidRPr="00587A5A">
        <w:rPr>
          <w:rFonts w:ascii="Palatino Linotype" w:hAnsi="Palatino Linotype"/>
          <w:lang w:val="es-ES_tradnl"/>
        </w:rPr>
        <w:t>, Responsable de la Unidad de Avalúos y Catastros de la Administraci</w:t>
      </w:r>
      <w:r>
        <w:rPr>
          <w:rFonts w:ascii="Palatino Linotype" w:hAnsi="Palatino Linotype"/>
          <w:lang w:val="es-ES_tradnl"/>
        </w:rPr>
        <w:t>ón Zonal Eloy Alfaro.</w:t>
      </w:r>
    </w:p>
    <w:p w:rsidR="009714BB" w:rsidRPr="00587A5A" w:rsidRDefault="009714BB" w:rsidP="009714BB">
      <w:pPr>
        <w:pStyle w:val="Prrafodelista"/>
        <w:ind w:left="1080"/>
        <w:jc w:val="both"/>
        <w:rPr>
          <w:rFonts w:ascii="Palatino Linotype" w:hAnsi="Palatino Linotype"/>
          <w:lang w:val="es-ES_tradnl"/>
        </w:rPr>
      </w:pPr>
    </w:p>
    <w:p w:rsidR="009714BB" w:rsidRPr="00587A5A" w:rsidRDefault="009714BB" w:rsidP="009714BB">
      <w:pPr>
        <w:pStyle w:val="Prrafodelista"/>
        <w:ind w:left="1080"/>
        <w:jc w:val="both"/>
        <w:rPr>
          <w:rFonts w:ascii="Palatino Linotype" w:hAnsi="Palatino Linotype"/>
          <w:i/>
          <w:lang w:val="es-ES_tradnl"/>
        </w:rPr>
      </w:pPr>
    </w:p>
    <w:p w:rsidR="009714BB" w:rsidRPr="00587A5A" w:rsidRDefault="009714BB" w:rsidP="009714BB">
      <w:pPr>
        <w:ind w:left="708" w:hanging="708"/>
        <w:jc w:val="both"/>
        <w:rPr>
          <w:rFonts w:ascii="Palatino Linotype" w:hAnsi="Palatino Linotype"/>
          <w:lang w:val="es-ES_tradnl"/>
        </w:rPr>
      </w:pPr>
      <w:r w:rsidRPr="00FD5C21">
        <w:rPr>
          <w:rFonts w:ascii="Palatino Linotype" w:hAnsi="Palatino Linotype"/>
          <w:b/>
          <w:lang w:val="es-ES"/>
        </w:rPr>
        <w:t xml:space="preserve">Que, </w:t>
      </w:r>
      <w:r>
        <w:rPr>
          <w:rFonts w:ascii="Palatino Linotype" w:hAnsi="Palatino Linotype"/>
          <w:b/>
          <w:lang w:val="es-ES"/>
        </w:rPr>
        <w:t xml:space="preserve"> </w:t>
      </w:r>
      <w:r>
        <w:rPr>
          <w:rFonts w:ascii="Palatino Linotype" w:hAnsi="Palatino Linotype"/>
          <w:b/>
          <w:lang w:val="es-ES"/>
        </w:rPr>
        <w:tab/>
      </w:r>
      <w:r w:rsidRPr="00587A5A">
        <w:rPr>
          <w:rFonts w:ascii="Palatino Linotype" w:hAnsi="Palatino Linotype"/>
          <w:lang w:val="es-ES_tradnl"/>
        </w:rPr>
        <w:t>mediante informe legal Nro. 3</w:t>
      </w:r>
      <w:r>
        <w:rPr>
          <w:rFonts w:ascii="Palatino Linotype" w:hAnsi="Palatino Linotype"/>
          <w:lang w:val="es-ES_tradnl"/>
        </w:rPr>
        <w:t>02</w:t>
      </w:r>
      <w:r w:rsidRPr="00587A5A">
        <w:rPr>
          <w:rFonts w:ascii="Palatino Linotype" w:hAnsi="Palatino Linotype"/>
          <w:lang w:val="es-ES_tradnl"/>
        </w:rPr>
        <w:t>-DJ-2021, de 2</w:t>
      </w:r>
      <w:r>
        <w:rPr>
          <w:rFonts w:ascii="Palatino Linotype" w:hAnsi="Palatino Linotype"/>
          <w:lang w:val="es-ES_tradnl"/>
        </w:rPr>
        <w:t>5</w:t>
      </w:r>
      <w:r w:rsidRPr="00587A5A">
        <w:rPr>
          <w:rFonts w:ascii="Palatino Linotype" w:hAnsi="Palatino Linotype"/>
          <w:lang w:val="es-ES_tradnl"/>
        </w:rPr>
        <w:t xml:space="preserve"> de </w:t>
      </w:r>
      <w:r>
        <w:rPr>
          <w:rFonts w:ascii="Palatino Linotype" w:hAnsi="Palatino Linotype"/>
          <w:lang w:val="es-ES_tradnl"/>
        </w:rPr>
        <w:t xml:space="preserve">septiembre </w:t>
      </w:r>
      <w:r w:rsidRPr="00587A5A">
        <w:rPr>
          <w:rFonts w:ascii="Palatino Linotype" w:hAnsi="Palatino Linotype"/>
          <w:lang w:val="es-ES_tradnl"/>
        </w:rPr>
        <w:t>de 202</w:t>
      </w:r>
      <w:r>
        <w:rPr>
          <w:rFonts w:ascii="Palatino Linotype" w:hAnsi="Palatino Linotype"/>
          <w:lang w:val="es-ES_tradnl"/>
        </w:rPr>
        <w:t>3</w:t>
      </w:r>
      <w:r w:rsidRPr="00587A5A">
        <w:rPr>
          <w:rFonts w:ascii="Palatino Linotype" w:hAnsi="Palatino Linotype"/>
          <w:lang w:val="es-ES_tradnl"/>
        </w:rPr>
        <w:t xml:space="preserve">, la </w:t>
      </w:r>
      <w:r>
        <w:rPr>
          <w:rFonts w:ascii="Palatino Linotype" w:hAnsi="Palatino Linotype"/>
          <w:lang w:val="es-ES_tradnl"/>
        </w:rPr>
        <w:t>Abogada Mónica Flores</w:t>
      </w:r>
      <w:r w:rsidRPr="00587A5A">
        <w:rPr>
          <w:rFonts w:ascii="Palatino Linotype" w:hAnsi="Palatino Linotype"/>
          <w:lang w:val="es-ES_tradnl"/>
        </w:rPr>
        <w:t xml:space="preserve">, Directora Jurídica de la Administración Eloy Alfaro, señala: </w:t>
      </w:r>
    </w:p>
    <w:p w:rsidR="009714BB" w:rsidRPr="00587A5A" w:rsidRDefault="009714BB" w:rsidP="009714BB">
      <w:pPr>
        <w:pStyle w:val="Prrafodelista"/>
        <w:ind w:left="1080"/>
        <w:jc w:val="both"/>
        <w:rPr>
          <w:rFonts w:ascii="Palatino Linotype" w:hAnsi="Palatino Linotype"/>
          <w:lang w:val="es-ES_tradnl"/>
        </w:rPr>
      </w:pPr>
    </w:p>
    <w:p w:rsidR="009714BB" w:rsidRPr="00587A5A" w:rsidRDefault="009714BB" w:rsidP="009714BB">
      <w:pPr>
        <w:pStyle w:val="Prrafodelista"/>
        <w:ind w:left="1080"/>
        <w:jc w:val="both"/>
        <w:rPr>
          <w:rFonts w:ascii="Palatino Linotype" w:hAnsi="Palatino Linotype"/>
          <w:i/>
          <w:lang w:val="es-ES_tradnl"/>
        </w:rPr>
      </w:pPr>
      <w:r w:rsidRPr="00587A5A">
        <w:rPr>
          <w:rFonts w:ascii="Palatino Linotype" w:hAnsi="Palatino Linotype"/>
          <w:i/>
          <w:lang w:val="es-ES_tradnl"/>
        </w:rPr>
        <w:t>“(…) Por lo expuesto; y, con sustento en el memorando No. GADDMQ-AZEA-DGT-UGU-202</w:t>
      </w:r>
      <w:r>
        <w:rPr>
          <w:rFonts w:ascii="Palatino Linotype" w:hAnsi="Palatino Linotype"/>
          <w:i/>
          <w:lang w:val="es-ES_tradnl"/>
        </w:rPr>
        <w:t>3</w:t>
      </w:r>
      <w:r w:rsidRPr="00587A5A">
        <w:rPr>
          <w:rFonts w:ascii="Palatino Linotype" w:hAnsi="Palatino Linotype"/>
          <w:i/>
          <w:lang w:val="es-ES_tradnl"/>
        </w:rPr>
        <w:t>-021</w:t>
      </w:r>
      <w:r>
        <w:rPr>
          <w:rFonts w:ascii="Palatino Linotype" w:hAnsi="Palatino Linotype"/>
          <w:i/>
          <w:lang w:val="es-ES_tradnl"/>
        </w:rPr>
        <w:t>0</w:t>
      </w:r>
      <w:r w:rsidRPr="00587A5A">
        <w:rPr>
          <w:rFonts w:ascii="Palatino Linotype" w:hAnsi="Palatino Linotype"/>
          <w:i/>
          <w:lang w:val="es-ES_tradnl"/>
        </w:rPr>
        <w:t xml:space="preserve">-M, </w:t>
      </w:r>
      <w:r>
        <w:rPr>
          <w:rFonts w:ascii="Palatino Linotype" w:hAnsi="Palatino Linotype"/>
          <w:i/>
          <w:lang w:val="es-ES_tradnl"/>
        </w:rPr>
        <w:t xml:space="preserve">de 22 de septiembre de 2023, </w:t>
      </w:r>
      <w:r w:rsidRPr="00587A5A">
        <w:rPr>
          <w:rFonts w:ascii="Palatino Linotype" w:hAnsi="Palatino Linotype"/>
          <w:i/>
          <w:lang w:val="es-ES_tradnl"/>
        </w:rPr>
        <w:t>suscrito por el</w:t>
      </w:r>
      <w:r>
        <w:rPr>
          <w:rFonts w:ascii="Palatino Linotype" w:hAnsi="Palatino Linotype"/>
          <w:i/>
          <w:lang w:val="es-ES_tradnl"/>
        </w:rPr>
        <w:t xml:space="preserve"> </w:t>
      </w:r>
      <w:proofErr w:type="spellStart"/>
      <w:r>
        <w:rPr>
          <w:rFonts w:ascii="Palatino Linotype" w:hAnsi="Palatino Linotype"/>
          <w:i/>
          <w:lang w:val="es-ES_tradnl"/>
        </w:rPr>
        <w:t>Ing</w:t>
      </w:r>
      <w:proofErr w:type="spellEnd"/>
      <w:r>
        <w:rPr>
          <w:rFonts w:ascii="Palatino Linotype" w:hAnsi="Palatino Linotype"/>
          <w:i/>
          <w:lang w:val="es-ES_tradnl"/>
        </w:rPr>
        <w:t xml:space="preserve"> Darwin </w:t>
      </w:r>
      <w:proofErr w:type="spellStart"/>
      <w:r>
        <w:rPr>
          <w:rFonts w:ascii="Palatino Linotype" w:hAnsi="Palatino Linotype"/>
          <w:i/>
          <w:lang w:val="es-ES_tradnl"/>
        </w:rPr>
        <w:t>Wladimir</w:t>
      </w:r>
      <w:proofErr w:type="spellEnd"/>
      <w:r>
        <w:rPr>
          <w:rFonts w:ascii="Palatino Linotype" w:hAnsi="Palatino Linotype"/>
          <w:i/>
          <w:lang w:val="es-ES_tradnl"/>
        </w:rPr>
        <w:t xml:space="preserve"> </w:t>
      </w:r>
      <w:proofErr w:type="spellStart"/>
      <w:r>
        <w:rPr>
          <w:rFonts w:ascii="Palatino Linotype" w:hAnsi="Palatino Linotype"/>
          <w:i/>
          <w:lang w:val="es-ES_tradnl"/>
        </w:rPr>
        <w:t>Toapanta</w:t>
      </w:r>
      <w:proofErr w:type="spellEnd"/>
      <w:r>
        <w:rPr>
          <w:rFonts w:ascii="Palatino Linotype" w:hAnsi="Palatino Linotype"/>
          <w:i/>
          <w:lang w:val="es-ES_tradnl"/>
        </w:rPr>
        <w:t xml:space="preserve"> </w:t>
      </w:r>
      <w:proofErr w:type="spellStart"/>
      <w:r>
        <w:rPr>
          <w:rFonts w:ascii="Palatino Linotype" w:hAnsi="Palatino Linotype"/>
          <w:i/>
          <w:lang w:val="es-ES_tradnl"/>
        </w:rPr>
        <w:t>Huilca</w:t>
      </w:r>
      <w:proofErr w:type="spellEnd"/>
      <w:r w:rsidRPr="00587A5A">
        <w:rPr>
          <w:rFonts w:ascii="Palatino Linotype" w:hAnsi="Palatino Linotype"/>
          <w:i/>
          <w:lang w:val="es-ES_tradnl"/>
        </w:rPr>
        <w:t>, Responsable de la Unidad de Gestión Urbana, quien concluye que "(...) NO cumple con las ÁREAS MINIMAS ESTABLECIDAS EN LA ORDENANZA (...)</w:t>
      </w:r>
      <w:r>
        <w:rPr>
          <w:rFonts w:ascii="Palatino Linotype" w:hAnsi="Palatino Linotype"/>
          <w:i/>
          <w:lang w:val="es-ES_tradnl"/>
        </w:rPr>
        <w:t xml:space="preserve"> </w:t>
      </w:r>
      <w:r w:rsidRPr="00587A5A">
        <w:rPr>
          <w:rFonts w:ascii="Palatino Linotype" w:hAnsi="Palatino Linotype"/>
          <w:i/>
          <w:lang w:val="es-ES_tradnl"/>
        </w:rPr>
        <w:t xml:space="preserve">al tratarse del mismo predio No. </w:t>
      </w:r>
      <w:r>
        <w:rPr>
          <w:rFonts w:ascii="Palatino Linotype" w:hAnsi="Palatino Linotype"/>
          <w:i/>
          <w:lang w:val="es-ES_tradnl"/>
        </w:rPr>
        <w:t>586074</w:t>
      </w:r>
      <w:r w:rsidRPr="00587A5A">
        <w:rPr>
          <w:rFonts w:ascii="Palatino Linotype" w:hAnsi="Palatino Linotype"/>
          <w:i/>
          <w:lang w:val="es-ES_tradnl"/>
        </w:rPr>
        <w:t xml:space="preserve">, Clave Catastral </w:t>
      </w:r>
      <w:r>
        <w:rPr>
          <w:rFonts w:ascii="Palatino Linotype" w:hAnsi="Palatino Linotype"/>
          <w:i/>
          <w:lang w:val="es-ES_tradnl"/>
        </w:rPr>
        <w:t>305052101</w:t>
      </w:r>
      <w:r w:rsidRPr="00587A5A">
        <w:rPr>
          <w:rFonts w:ascii="Palatino Linotype" w:hAnsi="Palatino Linotype"/>
          <w:i/>
          <w:lang w:val="es-ES_tradnl"/>
        </w:rPr>
        <w:t xml:space="preserve">, compensación por contribución del 15% de Área Verde, este valor económico es estimado ya que los valores de pago pueden tener variaciones de acuerdo al Avalúo Catastral de cada año. ÁREA PRESCRITA: </w:t>
      </w:r>
      <w:r>
        <w:rPr>
          <w:rFonts w:ascii="Palatino Linotype" w:hAnsi="Palatino Linotype"/>
          <w:i/>
          <w:lang w:val="es-ES_tradnl"/>
        </w:rPr>
        <w:t>88,11</w:t>
      </w:r>
      <w:r w:rsidRPr="00587A5A">
        <w:rPr>
          <w:rFonts w:ascii="Palatino Linotype" w:hAnsi="Palatino Linotype"/>
          <w:i/>
          <w:lang w:val="es-ES_tradnl"/>
        </w:rPr>
        <w:t>m2; ÁREA CONTRIBUCIÓN 15%</w:t>
      </w:r>
      <w:r>
        <w:rPr>
          <w:rFonts w:ascii="Palatino Linotype" w:hAnsi="Palatino Linotype"/>
          <w:i/>
          <w:lang w:val="es-ES_tradnl"/>
        </w:rPr>
        <w:t xml:space="preserve"> (AREA VERDE) </w:t>
      </w:r>
      <w:r w:rsidRPr="00587A5A">
        <w:rPr>
          <w:rFonts w:ascii="Palatino Linotype" w:hAnsi="Palatino Linotype"/>
          <w:i/>
          <w:lang w:val="es-ES_tradnl"/>
        </w:rPr>
        <w:t xml:space="preserve">: </w:t>
      </w:r>
      <w:r>
        <w:rPr>
          <w:rFonts w:ascii="Palatino Linotype" w:hAnsi="Palatino Linotype"/>
          <w:i/>
          <w:lang w:val="es-ES_tradnl"/>
        </w:rPr>
        <w:t xml:space="preserve">88,11m2 x 0,15 = 13,216m2 </w:t>
      </w:r>
      <w:r w:rsidRPr="00587A5A">
        <w:rPr>
          <w:rFonts w:ascii="Palatino Linotype" w:hAnsi="Palatino Linotype"/>
          <w:i/>
          <w:lang w:val="es-ES_tradnl"/>
        </w:rPr>
        <w:t xml:space="preserve"> VALOR /m2 SEGÚN EL AVALÚO: </w:t>
      </w:r>
      <w:r>
        <w:rPr>
          <w:rFonts w:ascii="Palatino Linotype" w:hAnsi="Palatino Linotype"/>
          <w:i/>
          <w:lang w:val="es-ES_tradnl"/>
        </w:rPr>
        <w:t>123,62</w:t>
      </w:r>
      <w:r w:rsidRPr="00587A5A">
        <w:rPr>
          <w:rFonts w:ascii="Palatino Linotype" w:hAnsi="Palatino Linotype"/>
          <w:i/>
          <w:lang w:val="es-ES_tradnl"/>
        </w:rPr>
        <w:t xml:space="preserve"> USD; CALCULO </w:t>
      </w:r>
      <w:r>
        <w:rPr>
          <w:rFonts w:ascii="Palatino Linotype" w:hAnsi="Palatino Linotype"/>
          <w:i/>
          <w:lang w:val="es-ES_tradnl"/>
        </w:rPr>
        <w:t>REFERENCIAL DE COMPENSACION 13,216m2 x 123,627</w:t>
      </w:r>
      <w:r w:rsidRPr="00587A5A">
        <w:rPr>
          <w:rFonts w:ascii="Palatino Linotype" w:hAnsi="Palatino Linotype"/>
          <w:i/>
          <w:lang w:val="es-ES_tradnl"/>
        </w:rPr>
        <w:t xml:space="preserve"> USD</w:t>
      </w:r>
      <w:r>
        <w:rPr>
          <w:rFonts w:ascii="Palatino Linotype" w:hAnsi="Palatino Linotype"/>
          <w:i/>
          <w:lang w:val="es-ES_tradnl"/>
        </w:rPr>
        <w:t xml:space="preserve"> = 1633,93 USD</w:t>
      </w:r>
      <w:r w:rsidRPr="00587A5A">
        <w:rPr>
          <w:rFonts w:ascii="Palatino Linotype" w:hAnsi="Palatino Linotype"/>
          <w:i/>
          <w:lang w:val="es-ES_tradnl"/>
        </w:rPr>
        <w:t xml:space="preserve"> (...)" esta Dirección de Asesoría Jurídica, para dar estricto cumplimiento a la sentencia</w:t>
      </w:r>
      <w:r>
        <w:rPr>
          <w:rFonts w:ascii="Palatino Linotype" w:hAnsi="Palatino Linotype"/>
          <w:i/>
          <w:lang w:val="es-ES_tradnl"/>
        </w:rPr>
        <w:t>,</w:t>
      </w:r>
      <w:r w:rsidRPr="00587A5A">
        <w:rPr>
          <w:rFonts w:ascii="Palatino Linotype" w:hAnsi="Palatino Linotype"/>
          <w:i/>
          <w:lang w:val="es-ES_tradnl"/>
        </w:rPr>
        <w:t xml:space="preserve">  emite </w:t>
      </w:r>
      <w:r w:rsidRPr="00587A5A">
        <w:rPr>
          <w:rFonts w:ascii="Palatino Linotype" w:hAnsi="Palatino Linotype"/>
          <w:b/>
          <w:i/>
          <w:lang w:val="es-ES_tradnl"/>
        </w:rPr>
        <w:t>INFORME LEGAL FAVORABLE</w:t>
      </w:r>
      <w:r w:rsidRPr="00587A5A">
        <w:rPr>
          <w:rFonts w:ascii="Palatino Linotype" w:hAnsi="Palatino Linotype"/>
          <w:i/>
          <w:lang w:val="es-ES_tradnl"/>
        </w:rPr>
        <w:t xml:space="preserve"> para que el Consejo Metropolitano, en acatamiento de la sentencia que es de cumplimiento obligatorio, conforme lo dispone el número 4 del artículo 86 de la Constitución, autorice la Partición Judicial del lote de terreno</w:t>
      </w:r>
      <w:r>
        <w:rPr>
          <w:rFonts w:ascii="Palatino Linotype" w:hAnsi="Palatino Linotype"/>
          <w:i/>
          <w:lang w:val="es-ES_tradnl"/>
        </w:rPr>
        <w:t>, predio</w:t>
      </w:r>
      <w:r w:rsidRPr="00587A5A">
        <w:rPr>
          <w:rFonts w:ascii="Palatino Linotype" w:hAnsi="Palatino Linotype"/>
          <w:i/>
          <w:lang w:val="es-ES_tradnl"/>
        </w:rPr>
        <w:t xml:space="preserve"> , ubicado en la parroquia La </w:t>
      </w:r>
      <w:proofErr w:type="spellStart"/>
      <w:r>
        <w:rPr>
          <w:rFonts w:ascii="Palatino Linotype" w:hAnsi="Palatino Linotype"/>
          <w:i/>
          <w:lang w:val="es-ES_tradnl"/>
        </w:rPr>
        <w:t>Chilibulo</w:t>
      </w:r>
      <w:proofErr w:type="spellEnd"/>
      <w:r>
        <w:rPr>
          <w:rFonts w:ascii="Palatino Linotype" w:hAnsi="Palatino Linotype"/>
          <w:i/>
          <w:lang w:val="es-ES_tradnl"/>
        </w:rPr>
        <w:t xml:space="preserve"> </w:t>
      </w:r>
      <w:r w:rsidRPr="00587A5A">
        <w:rPr>
          <w:rFonts w:ascii="Palatino Linotype" w:hAnsi="Palatino Linotype"/>
          <w:i/>
          <w:lang w:val="es-ES_tradnl"/>
        </w:rPr>
        <w:t>Cantón Quito, Provincia de Pichincha, cambiando las condiciones de este inmueble en particular, estableciendo una excepción a las condiciones generales”;</w:t>
      </w:r>
    </w:p>
    <w:p w:rsidR="009714BB" w:rsidRPr="00632525" w:rsidRDefault="009714BB" w:rsidP="009714BB">
      <w:pPr>
        <w:pStyle w:val="Default"/>
        <w:ind w:left="708" w:hanging="708"/>
        <w:jc w:val="both"/>
        <w:rPr>
          <w:b/>
          <w:sz w:val="22"/>
          <w:szCs w:val="22"/>
          <w:lang w:val="es-ES_tradnl"/>
        </w:rPr>
      </w:pPr>
    </w:p>
    <w:p w:rsidR="009714BB" w:rsidRPr="00587A5A" w:rsidRDefault="009714BB" w:rsidP="009714BB">
      <w:pPr>
        <w:pStyle w:val="Default"/>
        <w:ind w:left="708" w:hanging="708"/>
        <w:jc w:val="both"/>
        <w:rPr>
          <w:sz w:val="22"/>
          <w:szCs w:val="22"/>
        </w:rPr>
      </w:pPr>
      <w:r w:rsidRPr="00587A5A">
        <w:rPr>
          <w:b/>
          <w:sz w:val="22"/>
          <w:szCs w:val="22"/>
        </w:rPr>
        <w:t xml:space="preserve">Que </w:t>
      </w:r>
      <w:r w:rsidRPr="00587A5A">
        <w:rPr>
          <w:b/>
          <w:sz w:val="22"/>
          <w:szCs w:val="22"/>
        </w:rPr>
        <w:tab/>
      </w:r>
      <w:r w:rsidRPr="00587A5A">
        <w:rPr>
          <w:sz w:val="22"/>
          <w:szCs w:val="22"/>
        </w:rPr>
        <w:t xml:space="preserve">la Comisión de Uso de Suelo en ordinaria Nro. </w:t>
      </w:r>
      <w:proofErr w:type="gramStart"/>
      <w:r>
        <w:rPr>
          <w:sz w:val="22"/>
          <w:szCs w:val="22"/>
        </w:rPr>
        <w:t>xxx</w:t>
      </w:r>
      <w:proofErr w:type="gramEnd"/>
      <w:r w:rsidRPr="00587A5A">
        <w:rPr>
          <w:sz w:val="22"/>
          <w:szCs w:val="22"/>
        </w:rPr>
        <w:t xml:space="preserve"> - Ordinaria, de </w:t>
      </w:r>
      <w:r>
        <w:rPr>
          <w:sz w:val="22"/>
          <w:szCs w:val="22"/>
        </w:rPr>
        <w:t>xxx</w:t>
      </w:r>
      <w:r w:rsidRPr="00587A5A">
        <w:rPr>
          <w:sz w:val="22"/>
          <w:szCs w:val="22"/>
        </w:rPr>
        <w:t xml:space="preserve"> de </w:t>
      </w:r>
      <w:proofErr w:type="spellStart"/>
      <w:r>
        <w:rPr>
          <w:sz w:val="22"/>
          <w:szCs w:val="22"/>
        </w:rPr>
        <w:t>xxxx</w:t>
      </w:r>
      <w:proofErr w:type="spellEnd"/>
      <w:r w:rsidRPr="00587A5A">
        <w:rPr>
          <w:sz w:val="22"/>
          <w:szCs w:val="22"/>
        </w:rPr>
        <w:t xml:space="preserve"> de 2023, analizó los informes técnicos y legales, que reposan en el expediente, y emitió dictamen favorable para que el Concejo Metropolitano conozca la sentencia de prescripción extraordinaria adquisitiva de dominio y como efecto de dicha sentencia, y para su efectiva ejecución, autorice la subdivisión del bien en mención, cambiando las condiciones de ese inmueble en particular y generando una excepción a las condiciones generales;</w:t>
      </w:r>
    </w:p>
    <w:p w:rsidR="009714BB" w:rsidRPr="00FD5C21" w:rsidRDefault="009714BB" w:rsidP="009714BB">
      <w:pPr>
        <w:adjustRightInd w:val="0"/>
        <w:ind w:left="1416" w:hanging="1416"/>
        <w:jc w:val="both"/>
        <w:rPr>
          <w:rFonts w:ascii="Palatino Linotype" w:eastAsiaTheme="minorHAnsi" w:hAnsi="Palatino Linotype"/>
          <w:lang w:val="es-ES"/>
        </w:rPr>
      </w:pPr>
    </w:p>
    <w:p w:rsidR="009714BB" w:rsidRPr="00FD5C21" w:rsidRDefault="009714BB" w:rsidP="009714BB">
      <w:pPr>
        <w:adjustRightInd w:val="0"/>
        <w:ind w:left="709" w:hanging="709"/>
        <w:jc w:val="both"/>
        <w:rPr>
          <w:rFonts w:ascii="Palatino Linotype" w:eastAsiaTheme="minorHAnsi" w:hAnsi="Palatino Linotype"/>
          <w:lang w:val="es-ES"/>
        </w:rPr>
      </w:pPr>
      <w:r w:rsidRPr="00FD5C21">
        <w:rPr>
          <w:rFonts w:ascii="Palatino Linotype" w:eastAsiaTheme="minorHAnsi" w:hAnsi="Palatino Linotype"/>
          <w:b/>
          <w:lang w:val="es-ES"/>
        </w:rPr>
        <w:t xml:space="preserve">Que </w:t>
      </w:r>
      <w:r w:rsidRPr="00FD5C21">
        <w:rPr>
          <w:rFonts w:ascii="Palatino Linotype" w:eastAsiaTheme="minorHAnsi" w:hAnsi="Palatino Linotype"/>
          <w:b/>
          <w:lang w:val="es-ES"/>
        </w:rPr>
        <w:tab/>
      </w:r>
      <w:r w:rsidRPr="00FD5C21">
        <w:rPr>
          <w:rFonts w:ascii="Palatino Linotype" w:eastAsiaTheme="minorHAnsi" w:hAnsi="Palatino Linotype"/>
          <w:lang w:val="es-ES"/>
        </w:rPr>
        <w:t xml:space="preserve">el Concejo Metropolitano de Quito, en sesión pública ordinaria realizada el xx de </w:t>
      </w:r>
      <w:proofErr w:type="spellStart"/>
      <w:proofErr w:type="gramStart"/>
      <w:r w:rsidRPr="00FD5C21">
        <w:rPr>
          <w:rFonts w:ascii="Palatino Linotype" w:eastAsiaTheme="minorHAnsi" w:hAnsi="Palatino Linotype"/>
          <w:lang w:val="es-ES"/>
        </w:rPr>
        <w:t>xxxx</w:t>
      </w:r>
      <w:proofErr w:type="spellEnd"/>
      <w:r w:rsidRPr="00FD5C21">
        <w:rPr>
          <w:rFonts w:ascii="Palatino Linotype" w:eastAsiaTheme="minorHAnsi" w:hAnsi="Palatino Linotype"/>
          <w:lang w:val="es-ES"/>
        </w:rPr>
        <w:t xml:space="preserve">  de</w:t>
      </w:r>
      <w:proofErr w:type="gramEnd"/>
      <w:r w:rsidRPr="00FD5C21">
        <w:rPr>
          <w:rFonts w:ascii="Palatino Linotype" w:eastAsiaTheme="minorHAnsi" w:hAnsi="Palatino Linotype"/>
          <w:lang w:val="es-ES"/>
        </w:rPr>
        <w:t xml:space="preserve"> 2023, analizó el informe Nro. IC-CUS-2023-029, emitido por la Comisión de Uso de Suelo; y,</w:t>
      </w:r>
    </w:p>
    <w:p w:rsidR="009714BB" w:rsidRPr="00FD5C21" w:rsidRDefault="009714BB" w:rsidP="009714BB">
      <w:pPr>
        <w:adjustRightInd w:val="0"/>
        <w:jc w:val="both"/>
        <w:rPr>
          <w:rFonts w:ascii="Palatino Linotype" w:eastAsiaTheme="minorHAnsi" w:hAnsi="Palatino Linotype"/>
          <w:lang w:val="es-ES"/>
        </w:rPr>
      </w:pPr>
    </w:p>
    <w:p w:rsidR="009714BB" w:rsidRPr="00FD5C21" w:rsidRDefault="009714BB" w:rsidP="009714BB">
      <w:pPr>
        <w:adjustRightInd w:val="0"/>
        <w:jc w:val="both"/>
        <w:rPr>
          <w:rFonts w:ascii="Palatino Linotype" w:eastAsiaTheme="minorHAnsi" w:hAnsi="Palatino Linotype"/>
          <w:b/>
          <w:bCs/>
          <w:lang w:val="es-ES"/>
        </w:rPr>
      </w:pPr>
      <w:r w:rsidRPr="00FD5C21">
        <w:rPr>
          <w:rFonts w:ascii="Palatino Linotype" w:eastAsiaTheme="minorHAnsi" w:hAnsi="Palatino Linotype"/>
          <w:b/>
          <w:bCs/>
          <w:lang w:val="es-ES"/>
        </w:rPr>
        <w:t xml:space="preserve">En ejercicio de las atribuciones previstas en el artículo 240 de la Constitución de la República; y artículos 87 literal a) y 323 del Código Orgánico de Organización Territorial, Autonomía y Descentralización. </w:t>
      </w:r>
    </w:p>
    <w:p w:rsidR="009714BB" w:rsidRPr="00FD5C21" w:rsidRDefault="009714BB" w:rsidP="009714BB">
      <w:pPr>
        <w:adjustRightInd w:val="0"/>
        <w:jc w:val="both"/>
        <w:rPr>
          <w:rFonts w:ascii="Palatino Linotype" w:eastAsiaTheme="minorHAnsi" w:hAnsi="Palatino Linotype"/>
          <w:b/>
          <w:bCs/>
          <w:lang w:val="es-ES"/>
        </w:rPr>
      </w:pPr>
    </w:p>
    <w:p w:rsidR="009714BB" w:rsidRPr="00FD5C21" w:rsidRDefault="009714BB" w:rsidP="009714BB">
      <w:pPr>
        <w:adjustRightInd w:val="0"/>
        <w:jc w:val="both"/>
        <w:rPr>
          <w:rFonts w:ascii="Palatino Linotype" w:eastAsiaTheme="minorHAnsi" w:hAnsi="Palatino Linotype"/>
          <w:b/>
          <w:bCs/>
          <w:lang w:val="es-ES"/>
        </w:rPr>
      </w:pPr>
    </w:p>
    <w:p w:rsidR="009714BB" w:rsidRPr="00035E4E" w:rsidRDefault="009714BB" w:rsidP="009714BB">
      <w:pPr>
        <w:adjustRightInd w:val="0"/>
        <w:jc w:val="center"/>
        <w:rPr>
          <w:rFonts w:ascii="Palatino Linotype" w:eastAsiaTheme="minorHAnsi" w:hAnsi="Palatino Linotype"/>
          <w:b/>
          <w:bCs/>
          <w:lang w:val="es-ES"/>
        </w:rPr>
      </w:pPr>
      <w:r w:rsidRPr="00035E4E">
        <w:rPr>
          <w:rFonts w:ascii="Palatino Linotype" w:eastAsiaTheme="minorHAnsi" w:hAnsi="Palatino Linotype"/>
          <w:b/>
          <w:bCs/>
          <w:lang w:val="es-ES"/>
        </w:rPr>
        <w:t>RESUELVE:</w:t>
      </w:r>
    </w:p>
    <w:p w:rsidR="009714BB" w:rsidRPr="00035E4E" w:rsidRDefault="009714BB" w:rsidP="009714BB">
      <w:pPr>
        <w:adjustRightInd w:val="0"/>
        <w:jc w:val="both"/>
        <w:rPr>
          <w:rFonts w:ascii="Palatino Linotype" w:eastAsiaTheme="minorHAnsi" w:hAnsi="Palatino Linotype"/>
          <w:lang w:val="es-ES"/>
        </w:rPr>
      </w:pPr>
    </w:p>
    <w:p w:rsidR="009714BB" w:rsidRPr="00FD5C21" w:rsidRDefault="009714BB" w:rsidP="009714BB">
      <w:pPr>
        <w:adjustRightInd w:val="0"/>
        <w:jc w:val="both"/>
        <w:rPr>
          <w:rFonts w:ascii="Palatino Linotype" w:hAnsi="Palatino Linotype" w:cs="Arial"/>
          <w:lang w:val="es-ES"/>
        </w:rPr>
      </w:pPr>
      <w:r w:rsidRPr="00FD5C21">
        <w:rPr>
          <w:rFonts w:ascii="Palatino Linotype" w:hAnsi="Palatino Linotype" w:cs="Arial"/>
          <w:b/>
          <w:lang w:val="es-ES"/>
        </w:rPr>
        <w:t>Artículo único.-</w:t>
      </w:r>
      <w:r w:rsidRPr="00FD5C21">
        <w:rPr>
          <w:rFonts w:ascii="Palatino Linotype" w:hAnsi="Palatino Linotype" w:cs="Arial"/>
          <w:lang w:val="es-ES"/>
        </w:rPr>
        <w:t xml:space="preserve"> Autorizar la subdivisión del </w:t>
      </w:r>
      <w:r w:rsidRPr="00587A5A">
        <w:rPr>
          <w:rFonts w:ascii="Palatino Linotype" w:hAnsi="Palatino Linotype"/>
          <w:color w:val="000000"/>
          <w:lang w:val="es-ES_tradnl"/>
        </w:rPr>
        <w:t xml:space="preserve">predio </w:t>
      </w:r>
      <w:r w:rsidRPr="00587A5A">
        <w:rPr>
          <w:rFonts w:ascii="Palatino Linotype" w:hAnsi="Palatino Linotype"/>
          <w:lang w:val="es-ES_tradnl"/>
        </w:rPr>
        <w:t xml:space="preserve">Nro. </w:t>
      </w:r>
      <w:r>
        <w:rPr>
          <w:rFonts w:ascii="Palatino Linotype" w:hAnsi="Palatino Linotype"/>
          <w:lang w:val="es-ES_tradnl"/>
        </w:rPr>
        <w:t>586074</w:t>
      </w:r>
      <w:r w:rsidRPr="00587A5A">
        <w:rPr>
          <w:rFonts w:ascii="Palatino Linotype" w:hAnsi="Palatino Linotype"/>
          <w:lang w:val="es-ES_tradnl"/>
        </w:rPr>
        <w:t xml:space="preserve">, clave catastral Nro. </w:t>
      </w:r>
      <w:r w:rsidRPr="00587A5A">
        <w:rPr>
          <w:rFonts w:ascii="Palatino Linotype" w:hAnsi="Palatino Linotype"/>
          <w:lang w:val="es-ES_tradnl"/>
        </w:rPr>
        <w:lastRenderedPageBreak/>
        <w:t>3</w:t>
      </w:r>
      <w:r>
        <w:rPr>
          <w:rFonts w:ascii="Palatino Linotype" w:hAnsi="Palatino Linotype"/>
          <w:lang w:val="es-ES_tradnl"/>
        </w:rPr>
        <w:t>05052101</w:t>
      </w:r>
      <w:r w:rsidRPr="00587A5A">
        <w:rPr>
          <w:rFonts w:ascii="Palatino Linotype" w:hAnsi="Palatino Linotype"/>
          <w:lang w:val="es-ES_tradnl"/>
        </w:rPr>
        <w:t xml:space="preserve"> ubicado en la parroquia </w:t>
      </w:r>
      <w:proofErr w:type="spellStart"/>
      <w:r>
        <w:rPr>
          <w:rFonts w:ascii="Palatino Linotype" w:hAnsi="Palatino Linotype"/>
          <w:lang w:val="es-ES_tradnl"/>
        </w:rPr>
        <w:t>Chilibulo</w:t>
      </w:r>
      <w:proofErr w:type="spellEnd"/>
      <w:r w:rsidRPr="00FD5C21">
        <w:rPr>
          <w:rFonts w:ascii="Palatino Linotype" w:hAnsi="Palatino Linotype" w:cs="Arial"/>
          <w:lang w:val="es-ES"/>
        </w:rPr>
        <w:t xml:space="preserve">, cambiando las condiciones de ese inmueble en particular y generando una excepción a las condiciones generales, de conformidad con la sentencia emitida dentro del proceso judicial No. </w:t>
      </w:r>
      <w:r>
        <w:rPr>
          <w:rFonts w:ascii="Palatino Linotype" w:hAnsi="Palatino Linotype" w:cs="Arial"/>
          <w:lang w:val="es-ES"/>
        </w:rPr>
        <w:t>17113-2004-0449</w:t>
      </w:r>
      <w:r w:rsidRPr="00FD5C21">
        <w:rPr>
          <w:rFonts w:ascii="Palatino Linotype" w:hAnsi="Palatino Linotype" w:cs="Arial"/>
          <w:lang w:val="es-ES"/>
        </w:rPr>
        <w:t xml:space="preserve">, mediante la cual </w:t>
      </w:r>
      <w:r>
        <w:rPr>
          <w:rFonts w:ascii="Palatino Linotype" w:hAnsi="Palatino Linotype" w:cs="Arial"/>
          <w:lang w:val="es-ES"/>
        </w:rPr>
        <w:t xml:space="preserve">el </w:t>
      </w:r>
      <w:r w:rsidRPr="00FD5C21">
        <w:rPr>
          <w:rFonts w:ascii="Palatino Linotype" w:hAnsi="Palatino Linotype" w:cs="Arial"/>
          <w:lang w:val="es-ES"/>
        </w:rPr>
        <w:t>Juez</w:t>
      </w:r>
      <w:r>
        <w:rPr>
          <w:rFonts w:ascii="Palatino Linotype" w:hAnsi="Palatino Linotype" w:cs="Arial"/>
          <w:lang w:val="es-ES"/>
        </w:rPr>
        <w:t xml:space="preserve"> SEPTIMO DE LO CIVIL DE PICHINCHA</w:t>
      </w:r>
      <w:r w:rsidRPr="00FD5C21">
        <w:rPr>
          <w:rFonts w:ascii="Palatino Linotype" w:hAnsi="Palatino Linotype" w:cs="Arial"/>
          <w:lang w:val="es-ES"/>
        </w:rPr>
        <w:t xml:space="preserve"> </w:t>
      </w:r>
      <w:r>
        <w:rPr>
          <w:rFonts w:ascii="Palatino Linotype" w:hAnsi="Palatino Linotype" w:cs="Arial"/>
          <w:lang w:val="es-ES"/>
        </w:rPr>
        <w:t>D</w:t>
      </w:r>
      <w:r w:rsidRPr="00FD5C21">
        <w:rPr>
          <w:rFonts w:ascii="Palatino Linotype" w:hAnsi="Palatino Linotype" w:cs="Arial"/>
          <w:lang w:val="es-ES"/>
        </w:rPr>
        <w:t xml:space="preserve">el Distrito Metropolitano de Quito, acepta la demanda y declara la Prescripción Extraordinaria Adquisitiva de Dominio que ha operado a favor del </w:t>
      </w:r>
      <w:r w:rsidRPr="00FD5C21">
        <w:rPr>
          <w:rFonts w:ascii="Palatino Linotype" w:hAnsi="Palatino Linotype" w:cs="Palatino Linotype"/>
          <w:lang w:val="es-ES" w:eastAsia="es-EC"/>
        </w:rPr>
        <w:t xml:space="preserve">señor </w:t>
      </w:r>
      <w:r>
        <w:rPr>
          <w:rFonts w:ascii="Palatino Linotype" w:hAnsi="Palatino Linotype" w:cs="Palatino Linotype"/>
          <w:lang w:val="es-ES" w:eastAsia="es-EC"/>
        </w:rPr>
        <w:t>WALTER GENARO CARDENAS FONSECA.</w:t>
      </w:r>
      <w:r w:rsidRPr="00FD5C21">
        <w:rPr>
          <w:rFonts w:ascii="Palatino Linotype" w:hAnsi="Palatino Linotype" w:cs="Arial"/>
          <w:lang w:val="es-ES"/>
        </w:rPr>
        <w:t xml:space="preserve"> </w:t>
      </w:r>
    </w:p>
    <w:p w:rsidR="009714BB" w:rsidRPr="00FD5C21" w:rsidRDefault="009714BB" w:rsidP="009714BB">
      <w:pPr>
        <w:adjustRightInd w:val="0"/>
        <w:jc w:val="both"/>
        <w:rPr>
          <w:rFonts w:ascii="Palatino Linotype" w:hAnsi="Palatino Linotype" w:cs="Arial"/>
          <w:lang w:val="es-ES"/>
        </w:rPr>
      </w:pPr>
    </w:p>
    <w:p w:rsidR="009714BB" w:rsidRPr="00FD5C21" w:rsidRDefault="009714BB" w:rsidP="009714BB">
      <w:pPr>
        <w:adjustRightInd w:val="0"/>
        <w:jc w:val="both"/>
        <w:rPr>
          <w:rFonts w:ascii="Palatino Linotype" w:hAnsi="Palatino Linotype" w:cs="Arial"/>
          <w:lang w:val="es-ES"/>
        </w:rPr>
      </w:pPr>
      <w:r w:rsidRPr="00FD5C21">
        <w:rPr>
          <w:rFonts w:ascii="Palatino Linotype" w:hAnsi="Palatino Linotype" w:cs="Arial"/>
          <w:lang w:val="es-ES"/>
        </w:rPr>
        <w:t xml:space="preserve">De conformidad con lo dispuesto en el artículo 2567 del Código Municipal para el Distrito Metropolitano de Quito, el </w:t>
      </w:r>
      <w:r w:rsidRPr="00587A5A">
        <w:rPr>
          <w:rFonts w:ascii="Palatino Linotype" w:hAnsi="Palatino Linotype"/>
          <w:color w:val="000000"/>
          <w:lang w:val="es-ES_tradnl"/>
        </w:rPr>
        <w:t xml:space="preserve">señor </w:t>
      </w:r>
      <w:r>
        <w:rPr>
          <w:rFonts w:ascii="Palatino Linotype" w:hAnsi="Palatino Linotype"/>
          <w:color w:val="000000"/>
          <w:lang w:val="es-ES_tradnl"/>
        </w:rPr>
        <w:t>WALTER GENARO CARDENAS FONSECA</w:t>
      </w:r>
      <w:r w:rsidRPr="00FD5C21">
        <w:rPr>
          <w:rFonts w:ascii="Palatino Linotype" w:hAnsi="Palatino Linotype" w:cs="Arial"/>
          <w:lang w:val="es-ES"/>
        </w:rPr>
        <w:t>, deberá compensar en valor monetario, la contribución del 15% del área útil adjudicada, de acuerdo con el cálculo que realice la Administración Zonal competente con base a la normativa vigente.</w:t>
      </w:r>
    </w:p>
    <w:p w:rsidR="009714BB" w:rsidRPr="00FD5C21" w:rsidRDefault="009714BB" w:rsidP="009714BB">
      <w:pPr>
        <w:adjustRightInd w:val="0"/>
        <w:jc w:val="both"/>
        <w:rPr>
          <w:rFonts w:ascii="Palatino Linotype" w:eastAsiaTheme="minorHAnsi" w:hAnsi="Palatino Linotype"/>
          <w:lang w:val="es-ES"/>
        </w:rPr>
      </w:pPr>
    </w:p>
    <w:p w:rsidR="009714BB" w:rsidRPr="00FD5C21" w:rsidRDefault="009714BB" w:rsidP="009714BB">
      <w:pPr>
        <w:adjustRightInd w:val="0"/>
        <w:jc w:val="both"/>
        <w:rPr>
          <w:rFonts w:ascii="Palatino Linotype" w:eastAsiaTheme="minorHAnsi" w:hAnsi="Palatino Linotype"/>
          <w:lang w:val="es-ES"/>
        </w:rPr>
      </w:pPr>
    </w:p>
    <w:p w:rsidR="009714BB" w:rsidRPr="00FD5C21" w:rsidRDefault="009714BB" w:rsidP="009714BB">
      <w:pPr>
        <w:adjustRightInd w:val="0"/>
        <w:jc w:val="center"/>
        <w:rPr>
          <w:rFonts w:ascii="Palatino Linotype" w:eastAsiaTheme="minorHAnsi" w:hAnsi="Palatino Linotype"/>
          <w:b/>
          <w:lang w:val="es-ES"/>
        </w:rPr>
      </w:pPr>
      <w:r w:rsidRPr="00FD5C21">
        <w:rPr>
          <w:rFonts w:ascii="Palatino Linotype" w:eastAsiaTheme="minorHAnsi" w:hAnsi="Palatino Linotype"/>
          <w:b/>
          <w:lang w:val="es-ES"/>
        </w:rPr>
        <w:t>DISPOSICIONES GENERALES:</w:t>
      </w:r>
    </w:p>
    <w:p w:rsidR="009714BB" w:rsidRPr="00FD5C21" w:rsidRDefault="009714BB" w:rsidP="009714BB">
      <w:pPr>
        <w:adjustRightInd w:val="0"/>
        <w:jc w:val="both"/>
        <w:rPr>
          <w:rFonts w:ascii="Palatino Linotype" w:eastAsiaTheme="minorHAnsi" w:hAnsi="Palatino Linotype"/>
          <w:b/>
          <w:lang w:val="es-ES"/>
        </w:rPr>
      </w:pPr>
    </w:p>
    <w:p w:rsidR="009714BB" w:rsidRPr="00FD5C21" w:rsidRDefault="009714BB" w:rsidP="009714BB">
      <w:pPr>
        <w:adjustRightInd w:val="0"/>
        <w:jc w:val="both"/>
        <w:rPr>
          <w:rFonts w:ascii="Palatino Linotype" w:eastAsiaTheme="minorHAnsi" w:hAnsi="Palatino Linotype"/>
          <w:lang w:val="es-ES"/>
        </w:rPr>
      </w:pPr>
      <w:r w:rsidRPr="00FD5C21">
        <w:rPr>
          <w:rFonts w:ascii="Palatino Linotype" w:eastAsiaTheme="minorHAnsi" w:hAnsi="Palatino Linotype"/>
          <w:b/>
          <w:lang w:val="es-ES"/>
        </w:rPr>
        <w:t xml:space="preserve">Primera. - </w:t>
      </w:r>
      <w:r w:rsidRPr="00FD5C21">
        <w:rPr>
          <w:rFonts w:ascii="Palatino Linotype" w:eastAsiaTheme="minorHAnsi" w:hAnsi="Palatino Linotype"/>
          <w:lang w:val="es-ES"/>
        </w:rPr>
        <w:t xml:space="preserve">Comuníquese al interesado, a la Administración Zonal correspondiente y, a la Secretaría de Territorio, Hábitat y Vivienda, a fin de que se continúe con los trámites de ley. </w:t>
      </w:r>
    </w:p>
    <w:p w:rsidR="009714BB" w:rsidRPr="00FD5C21" w:rsidRDefault="009714BB" w:rsidP="009714BB">
      <w:pPr>
        <w:adjustRightInd w:val="0"/>
        <w:rPr>
          <w:rFonts w:ascii="Palatino Linotype" w:eastAsiaTheme="minorHAnsi" w:hAnsi="Palatino Linotype"/>
          <w:lang w:val="es-ES"/>
        </w:rPr>
      </w:pPr>
    </w:p>
    <w:p w:rsidR="009714BB" w:rsidRPr="00FD5C21" w:rsidRDefault="009714BB" w:rsidP="009714BB">
      <w:pPr>
        <w:adjustRightInd w:val="0"/>
        <w:rPr>
          <w:rFonts w:ascii="Palatino Linotype" w:eastAsiaTheme="minorHAnsi" w:hAnsi="Palatino Linotype"/>
          <w:lang w:val="es-ES"/>
        </w:rPr>
      </w:pPr>
      <w:r w:rsidRPr="00FD5C21">
        <w:rPr>
          <w:rFonts w:ascii="Palatino Linotype" w:eastAsiaTheme="minorHAnsi" w:hAnsi="Palatino Linotype"/>
          <w:b/>
          <w:lang w:val="es-ES"/>
        </w:rPr>
        <w:t>Segunda. -</w:t>
      </w:r>
      <w:r w:rsidRPr="00FD5C21">
        <w:rPr>
          <w:rFonts w:ascii="Palatino Linotype" w:eastAsiaTheme="minorHAnsi" w:hAnsi="Palatino Linotype"/>
          <w:lang w:val="es-ES"/>
        </w:rPr>
        <w:t xml:space="preserve"> La presente resolución se aprueba con base a los informes que son de exclusiva responsabilidad de los funcionarios que lo suscriben y realizan.</w:t>
      </w:r>
    </w:p>
    <w:p w:rsidR="009714BB" w:rsidRPr="00FD5C21" w:rsidRDefault="009714BB" w:rsidP="009714BB">
      <w:pPr>
        <w:adjustRightInd w:val="0"/>
        <w:rPr>
          <w:rFonts w:ascii="Palatino Linotype" w:eastAsiaTheme="minorHAnsi" w:hAnsi="Palatino Linotype"/>
          <w:lang w:val="es-ES"/>
        </w:rPr>
      </w:pPr>
    </w:p>
    <w:p w:rsidR="009714BB" w:rsidRPr="00FD5C21" w:rsidRDefault="009714BB" w:rsidP="009714BB">
      <w:pPr>
        <w:adjustRightInd w:val="0"/>
        <w:jc w:val="both"/>
        <w:rPr>
          <w:rFonts w:ascii="Palatino Linotype" w:eastAsiaTheme="minorHAnsi" w:hAnsi="Palatino Linotype"/>
          <w:lang w:val="es-ES"/>
        </w:rPr>
      </w:pPr>
      <w:r w:rsidRPr="00FD5C21">
        <w:rPr>
          <w:rFonts w:ascii="Palatino Linotype" w:eastAsiaTheme="minorHAnsi" w:hAnsi="Palatino Linotype"/>
          <w:b/>
          <w:lang w:val="es-ES"/>
        </w:rPr>
        <w:t>Disposición Final. -</w:t>
      </w:r>
      <w:r w:rsidRPr="00FD5C21">
        <w:rPr>
          <w:rFonts w:ascii="Palatino Linotype" w:eastAsiaTheme="minorHAnsi" w:hAnsi="Palatino Linotype"/>
          <w:lang w:val="es-ES"/>
        </w:rPr>
        <w:t xml:space="preserve"> La presente resolución entrará en vigencia a partir de su suscripción sin perjuicio de su publicación.</w:t>
      </w:r>
    </w:p>
    <w:p w:rsidR="009714BB" w:rsidRPr="00FD5C21" w:rsidRDefault="009714BB" w:rsidP="009714BB">
      <w:pPr>
        <w:jc w:val="both"/>
        <w:rPr>
          <w:rFonts w:ascii="Palatino Linotype" w:hAnsi="Palatino Linotype"/>
          <w:lang w:val="es-ES"/>
        </w:rPr>
      </w:pPr>
    </w:p>
    <w:p w:rsidR="009714BB" w:rsidRPr="00FD5C21" w:rsidRDefault="009714BB" w:rsidP="009714BB">
      <w:pPr>
        <w:jc w:val="both"/>
        <w:rPr>
          <w:rFonts w:ascii="Palatino Linotype" w:hAnsi="Palatino Linotype"/>
          <w:lang w:val="es-ES"/>
        </w:rPr>
      </w:pPr>
      <w:r w:rsidRPr="00FD5C21">
        <w:rPr>
          <w:rFonts w:ascii="Palatino Linotype" w:hAnsi="Palatino Linotype"/>
          <w:lang w:val="es-ES"/>
        </w:rPr>
        <w:t xml:space="preserve">Dada en el Distrito Metropolitano de Quito, a los </w:t>
      </w:r>
      <w:proofErr w:type="spellStart"/>
      <w:r w:rsidRPr="00FD5C21">
        <w:rPr>
          <w:rFonts w:ascii="Palatino Linotype" w:hAnsi="Palatino Linotype"/>
          <w:lang w:val="es-ES"/>
        </w:rPr>
        <w:t>xxxx</w:t>
      </w:r>
      <w:proofErr w:type="spellEnd"/>
      <w:r w:rsidRPr="00FD5C21">
        <w:rPr>
          <w:rFonts w:ascii="Palatino Linotype" w:hAnsi="Palatino Linotype"/>
          <w:lang w:val="es-ES"/>
        </w:rPr>
        <w:t xml:space="preserve"> días del mes de </w:t>
      </w:r>
      <w:proofErr w:type="spellStart"/>
      <w:r w:rsidRPr="00FD5C21">
        <w:rPr>
          <w:rFonts w:ascii="Palatino Linotype" w:hAnsi="Palatino Linotype"/>
          <w:lang w:val="es-ES"/>
        </w:rPr>
        <w:t>xxxx</w:t>
      </w:r>
      <w:proofErr w:type="spellEnd"/>
      <w:r w:rsidRPr="00FD5C21">
        <w:rPr>
          <w:rFonts w:ascii="Palatino Linotype" w:hAnsi="Palatino Linotype"/>
          <w:lang w:val="es-ES"/>
        </w:rPr>
        <w:t xml:space="preserve"> del año dos mil veintitrés.</w:t>
      </w:r>
    </w:p>
    <w:p w:rsidR="009714BB" w:rsidRPr="00FD5C21" w:rsidRDefault="009714BB" w:rsidP="009714BB">
      <w:pPr>
        <w:jc w:val="both"/>
        <w:rPr>
          <w:rFonts w:ascii="Palatino Linotype" w:hAnsi="Palatino Linotype"/>
          <w:lang w:val="es-ES"/>
        </w:rPr>
      </w:pPr>
    </w:p>
    <w:p w:rsidR="009714BB" w:rsidRPr="00FD5C21" w:rsidRDefault="009714BB" w:rsidP="009714BB">
      <w:pPr>
        <w:jc w:val="both"/>
        <w:rPr>
          <w:rFonts w:ascii="Palatino Linotype" w:hAnsi="Palatino Linotype"/>
          <w:b/>
          <w:lang w:val="es-ES"/>
        </w:rPr>
      </w:pPr>
    </w:p>
    <w:p w:rsidR="009714BB" w:rsidRPr="00FD5C21" w:rsidRDefault="009714BB" w:rsidP="009714BB">
      <w:pPr>
        <w:jc w:val="both"/>
        <w:rPr>
          <w:rFonts w:ascii="Palatino Linotype" w:hAnsi="Palatino Linotype"/>
          <w:b/>
          <w:lang w:val="es-ES"/>
        </w:rPr>
      </w:pPr>
    </w:p>
    <w:p w:rsidR="009714BB" w:rsidRPr="00FD5C21" w:rsidRDefault="009714BB" w:rsidP="009714BB">
      <w:pPr>
        <w:jc w:val="both"/>
        <w:rPr>
          <w:rFonts w:ascii="Palatino Linotype" w:hAnsi="Palatino Linotype"/>
          <w:lang w:val="es-ES"/>
        </w:rPr>
      </w:pPr>
      <w:r w:rsidRPr="00FD5C21">
        <w:rPr>
          <w:rFonts w:ascii="Palatino Linotype" w:hAnsi="Palatino Linotype"/>
          <w:b/>
          <w:lang w:val="es-ES"/>
        </w:rPr>
        <w:t xml:space="preserve">Alcaldía del Distrito Metropolitano. - </w:t>
      </w:r>
      <w:r w:rsidRPr="00FD5C21">
        <w:rPr>
          <w:rFonts w:ascii="Palatino Linotype" w:hAnsi="Palatino Linotype"/>
          <w:lang w:val="es-ES"/>
        </w:rPr>
        <w:t xml:space="preserve">Distrito Metropolitano de Quito, xx de </w:t>
      </w:r>
      <w:proofErr w:type="spellStart"/>
      <w:r w:rsidRPr="00FD5C21">
        <w:rPr>
          <w:rFonts w:ascii="Palatino Linotype" w:hAnsi="Palatino Linotype"/>
          <w:lang w:val="es-ES"/>
        </w:rPr>
        <w:t>xxxx</w:t>
      </w:r>
      <w:proofErr w:type="spellEnd"/>
      <w:r w:rsidRPr="00FD5C21">
        <w:rPr>
          <w:rFonts w:ascii="Palatino Linotype" w:hAnsi="Palatino Linotype"/>
          <w:lang w:val="es-ES"/>
        </w:rPr>
        <w:t xml:space="preserve"> de 2023.</w:t>
      </w:r>
    </w:p>
    <w:p w:rsidR="009714BB" w:rsidRPr="00FD5C21" w:rsidRDefault="009714BB" w:rsidP="009714BB">
      <w:pPr>
        <w:jc w:val="center"/>
        <w:rPr>
          <w:rFonts w:ascii="Palatino Linotype" w:hAnsi="Palatino Linotype"/>
          <w:b/>
          <w:lang w:val="es-ES"/>
        </w:rPr>
      </w:pPr>
    </w:p>
    <w:p w:rsidR="009714BB" w:rsidRPr="00FD5C21" w:rsidRDefault="009714BB" w:rsidP="009714BB">
      <w:pPr>
        <w:ind w:left="51"/>
        <w:jc w:val="center"/>
        <w:rPr>
          <w:rFonts w:ascii="Palatino Linotype" w:hAnsi="Palatino Linotype"/>
          <w:lang w:val="es-ES"/>
        </w:rPr>
      </w:pPr>
    </w:p>
    <w:p w:rsidR="009714BB" w:rsidRPr="00FD5C21" w:rsidRDefault="009714BB" w:rsidP="009714BB">
      <w:pPr>
        <w:rPr>
          <w:rFonts w:ascii="Palatino Linotype" w:hAnsi="Palatino Linotype"/>
          <w:lang w:val="es-ES"/>
        </w:rPr>
      </w:pPr>
    </w:p>
    <w:p w:rsidR="009714BB" w:rsidRPr="00FD5C21" w:rsidRDefault="009714BB" w:rsidP="009714BB">
      <w:pPr>
        <w:rPr>
          <w:rFonts w:ascii="Palatino Linotype" w:hAnsi="Palatino Linotype"/>
          <w:lang w:val="es-ES"/>
        </w:rPr>
      </w:pPr>
    </w:p>
    <w:p w:rsidR="009714BB" w:rsidRPr="00FD5C21" w:rsidRDefault="009714BB" w:rsidP="009714BB">
      <w:pPr>
        <w:ind w:left="51"/>
        <w:jc w:val="center"/>
        <w:rPr>
          <w:rFonts w:ascii="Palatino Linotype" w:hAnsi="Palatino Linotype"/>
          <w:lang w:val="es-ES"/>
        </w:rPr>
      </w:pPr>
      <w:proofErr w:type="spellStart"/>
      <w:r w:rsidRPr="00FD5C21">
        <w:rPr>
          <w:rFonts w:ascii="Palatino Linotype" w:hAnsi="Palatino Linotype"/>
          <w:lang w:val="es-ES"/>
        </w:rPr>
        <w:t>Pabel</w:t>
      </w:r>
      <w:proofErr w:type="spellEnd"/>
      <w:r w:rsidRPr="00FD5C21">
        <w:rPr>
          <w:rFonts w:ascii="Palatino Linotype" w:hAnsi="Palatino Linotype"/>
          <w:lang w:val="es-ES"/>
        </w:rPr>
        <w:t xml:space="preserve"> Muñoz López</w:t>
      </w:r>
    </w:p>
    <w:p w:rsidR="009714BB" w:rsidRPr="00FD5C21" w:rsidRDefault="009714BB" w:rsidP="009714BB">
      <w:pPr>
        <w:keepNext/>
        <w:keepLines/>
        <w:ind w:left="10" w:right="6" w:hanging="10"/>
        <w:jc w:val="center"/>
        <w:outlineLvl w:val="0"/>
        <w:rPr>
          <w:rFonts w:ascii="Palatino Linotype" w:hAnsi="Palatino Linotype" w:cs="Palatino Linotype"/>
          <w:b/>
          <w:color w:val="000000"/>
          <w:lang w:val="es-ES" w:eastAsia="es-EC"/>
        </w:rPr>
      </w:pPr>
      <w:r w:rsidRPr="00FD5C21">
        <w:rPr>
          <w:rFonts w:ascii="Palatino Linotype" w:hAnsi="Palatino Linotype" w:cs="Palatino Linotype"/>
          <w:b/>
          <w:color w:val="000000"/>
          <w:lang w:val="es-ES" w:eastAsia="es-EC"/>
        </w:rPr>
        <w:t>ALCALDE DEL DISTRITO METROPOLITANO DE QUITO</w:t>
      </w:r>
    </w:p>
    <w:p w:rsidR="009714BB" w:rsidRPr="00FD5C21" w:rsidRDefault="009714BB" w:rsidP="009714BB">
      <w:pPr>
        <w:jc w:val="both"/>
        <w:rPr>
          <w:rFonts w:ascii="Palatino Linotype" w:hAnsi="Palatino Linotype"/>
          <w:b/>
          <w:lang w:val="es-ES"/>
        </w:rPr>
      </w:pPr>
    </w:p>
    <w:p w:rsidR="009714BB" w:rsidRPr="00FD5C21" w:rsidRDefault="009714BB" w:rsidP="009714BB">
      <w:pPr>
        <w:jc w:val="both"/>
        <w:rPr>
          <w:rFonts w:ascii="Palatino Linotype" w:hAnsi="Palatino Linotype"/>
          <w:lang w:val="es-ES"/>
        </w:rPr>
      </w:pPr>
      <w:r w:rsidRPr="00FD5C21">
        <w:rPr>
          <w:rFonts w:ascii="Palatino Linotype" w:hAnsi="Palatino Linotype"/>
          <w:b/>
          <w:lang w:val="es-ES"/>
        </w:rPr>
        <w:t>CERTIFICO,</w:t>
      </w:r>
      <w:r w:rsidRPr="00FD5C21">
        <w:rPr>
          <w:rFonts w:ascii="Palatino Linotype" w:hAnsi="Palatino Linotype"/>
          <w:lang w:val="es-ES"/>
        </w:rPr>
        <w:t xml:space="preserve"> que la presente resolución fue discutida y aprobada en la sesión pública No. xxx Ordinaria del Concejo Metropolitano de Quito, el xx de </w:t>
      </w:r>
      <w:proofErr w:type="spellStart"/>
      <w:r w:rsidRPr="00FD5C21">
        <w:rPr>
          <w:rFonts w:ascii="Palatino Linotype" w:hAnsi="Palatino Linotype"/>
          <w:lang w:val="es-ES"/>
        </w:rPr>
        <w:t>xxxx</w:t>
      </w:r>
      <w:proofErr w:type="spellEnd"/>
      <w:r w:rsidRPr="00FD5C21">
        <w:rPr>
          <w:rFonts w:ascii="Palatino Linotype" w:hAnsi="Palatino Linotype"/>
          <w:lang w:val="es-ES"/>
        </w:rPr>
        <w:t xml:space="preserve"> de 2023; y, suscrita por el señor </w:t>
      </w:r>
      <w:proofErr w:type="spellStart"/>
      <w:r w:rsidRPr="00FD5C21">
        <w:rPr>
          <w:rFonts w:ascii="Palatino Linotype" w:hAnsi="Palatino Linotype"/>
          <w:lang w:val="es-ES"/>
        </w:rPr>
        <w:t>Pabel</w:t>
      </w:r>
      <w:proofErr w:type="spellEnd"/>
      <w:r w:rsidRPr="00FD5C21">
        <w:rPr>
          <w:rFonts w:ascii="Palatino Linotype" w:hAnsi="Palatino Linotype"/>
          <w:lang w:val="es-ES"/>
        </w:rPr>
        <w:t xml:space="preserve"> Muñoz López, Alcalde del Distrito Metropolitano de Quito, el xx de </w:t>
      </w:r>
      <w:proofErr w:type="spellStart"/>
      <w:r w:rsidRPr="00FD5C21">
        <w:rPr>
          <w:rFonts w:ascii="Palatino Linotype" w:hAnsi="Palatino Linotype"/>
          <w:lang w:val="es-ES"/>
        </w:rPr>
        <w:t>xxxx</w:t>
      </w:r>
      <w:proofErr w:type="spellEnd"/>
      <w:r w:rsidRPr="00FD5C21">
        <w:rPr>
          <w:rFonts w:ascii="Palatino Linotype" w:hAnsi="Palatino Linotype"/>
          <w:lang w:val="es-ES"/>
        </w:rPr>
        <w:t xml:space="preserve"> de 2023.</w:t>
      </w:r>
    </w:p>
    <w:p w:rsidR="009714BB" w:rsidRPr="00FD5C21" w:rsidRDefault="009714BB" w:rsidP="009714BB">
      <w:pPr>
        <w:jc w:val="both"/>
        <w:rPr>
          <w:rFonts w:ascii="Palatino Linotype" w:hAnsi="Palatino Linotype"/>
          <w:b/>
          <w:lang w:val="es-ES"/>
        </w:rPr>
      </w:pPr>
      <w:r w:rsidRPr="00FD5C21">
        <w:rPr>
          <w:rFonts w:ascii="Palatino Linotype" w:hAnsi="Palatino Linotype"/>
          <w:b/>
          <w:lang w:val="es-ES"/>
        </w:rPr>
        <w:t xml:space="preserve"> </w:t>
      </w:r>
    </w:p>
    <w:p w:rsidR="009714BB" w:rsidRPr="00FD5C21" w:rsidRDefault="009714BB" w:rsidP="009714BB">
      <w:pPr>
        <w:ind w:right="-39"/>
        <w:jc w:val="both"/>
        <w:rPr>
          <w:rFonts w:ascii="Palatino Linotype" w:eastAsia="SimSun" w:hAnsi="Palatino Linotype"/>
          <w:lang w:val="es-ES"/>
        </w:rPr>
      </w:pPr>
      <w:r w:rsidRPr="00FD5C21">
        <w:rPr>
          <w:rFonts w:ascii="Palatino Linotype" w:eastAsia="SimSun" w:hAnsi="Palatino Linotype"/>
          <w:b/>
          <w:lang w:val="es-ES"/>
        </w:rPr>
        <w:t>Lo</w:t>
      </w:r>
      <w:r w:rsidRPr="00FD5C21">
        <w:rPr>
          <w:rFonts w:ascii="Palatino Linotype" w:eastAsia="SimSun" w:hAnsi="Palatino Linotype"/>
          <w:b/>
          <w:spacing w:val="-2"/>
          <w:lang w:val="es-ES"/>
        </w:rPr>
        <w:t xml:space="preserve"> </w:t>
      </w:r>
      <w:r w:rsidRPr="00FD5C21">
        <w:rPr>
          <w:rFonts w:ascii="Palatino Linotype" w:eastAsia="SimSun" w:hAnsi="Palatino Linotype"/>
          <w:b/>
          <w:lang w:val="es-ES"/>
        </w:rPr>
        <w:t>certifico.</w:t>
      </w:r>
      <w:r w:rsidRPr="00FD5C21">
        <w:rPr>
          <w:rFonts w:ascii="Palatino Linotype" w:eastAsia="SimSun" w:hAnsi="Palatino Linotype"/>
          <w:b/>
          <w:spacing w:val="-6"/>
          <w:lang w:val="es-ES"/>
        </w:rPr>
        <w:t xml:space="preserve"> </w:t>
      </w:r>
      <w:r w:rsidRPr="00FD5C21">
        <w:rPr>
          <w:rFonts w:ascii="Palatino Linotype" w:eastAsia="SimSun" w:hAnsi="Palatino Linotype"/>
          <w:b/>
          <w:lang w:val="es-ES"/>
        </w:rPr>
        <w:t xml:space="preserve">- </w:t>
      </w:r>
      <w:r w:rsidRPr="00FD5C21">
        <w:rPr>
          <w:rFonts w:ascii="Palatino Linotype" w:eastAsia="SimSun" w:hAnsi="Palatino Linotype"/>
          <w:lang w:val="es-ES"/>
        </w:rPr>
        <w:t>Distrito</w:t>
      </w:r>
      <w:r w:rsidRPr="00FD5C21">
        <w:rPr>
          <w:rFonts w:ascii="Palatino Linotype" w:eastAsia="SimSun" w:hAnsi="Palatino Linotype"/>
          <w:spacing w:val="-1"/>
          <w:lang w:val="es-ES"/>
        </w:rPr>
        <w:t xml:space="preserve"> </w:t>
      </w:r>
      <w:r w:rsidRPr="00FD5C21">
        <w:rPr>
          <w:rFonts w:ascii="Palatino Linotype" w:eastAsia="SimSun" w:hAnsi="Palatino Linotype"/>
          <w:lang w:val="es-ES"/>
        </w:rPr>
        <w:t>Metropolitano</w:t>
      </w:r>
      <w:r w:rsidRPr="00FD5C21">
        <w:rPr>
          <w:rFonts w:ascii="Palatino Linotype" w:eastAsia="SimSun" w:hAnsi="Palatino Linotype"/>
          <w:spacing w:val="-1"/>
          <w:lang w:val="es-ES"/>
        </w:rPr>
        <w:t xml:space="preserve"> </w:t>
      </w:r>
      <w:r w:rsidRPr="00FD5C21">
        <w:rPr>
          <w:rFonts w:ascii="Palatino Linotype" w:eastAsia="SimSun" w:hAnsi="Palatino Linotype"/>
          <w:lang w:val="es-ES"/>
        </w:rPr>
        <w:t>de</w:t>
      </w:r>
      <w:r w:rsidRPr="00FD5C21">
        <w:rPr>
          <w:rFonts w:ascii="Palatino Linotype" w:eastAsia="SimSun" w:hAnsi="Palatino Linotype"/>
          <w:spacing w:val="-3"/>
          <w:lang w:val="es-ES"/>
        </w:rPr>
        <w:t xml:space="preserve"> </w:t>
      </w:r>
      <w:r w:rsidRPr="00FD5C21">
        <w:rPr>
          <w:rFonts w:ascii="Palatino Linotype" w:eastAsia="SimSun" w:hAnsi="Palatino Linotype"/>
          <w:lang w:val="es-ES"/>
        </w:rPr>
        <w:t xml:space="preserve">Quito, </w:t>
      </w:r>
      <w:r w:rsidRPr="00FD5C21">
        <w:rPr>
          <w:rFonts w:ascii="Palatino Linotype" w:hAnsi="Palatino Linotype"/>
          <w:lang w:val="es-ES"/>
        </w:rPr>
        <w:t xml:space="preserve">xx de </w:t>
      </w:r>
      <w:proofErr w:type="spellStart"/>
      <w:r w:rsidRPr="00FD5C21">
        <w:rPr>
          <w:rFonts w:ascii="Palatino Linotype" w:hAnsi="Palatino Linotype"/>
          <w:lang w:val="es-ES"/>
        </w:rPr>
        <w:t>xxxx</w:t>
      </w:r>
      <w:proofErr w:type="spellEnd"/>
      <w:r w:rsidRPr="00FD5C21">
        <w:rPr>
          <w:rFonts w:ascii="Palatino Linotype" w:hAnsi="Palatino Linotype"/>
          <w:lang w:val="es-ES"/>
        </w:rPr>
        <w:t xml:space="preserve"> de 2023.</w:t>
      </w:r>
    </w:p>
    <w:p w:rsidR="009714BB" w:rsidRPr="00FD5C21" w:rsidRDefault="009714BB" w:rsidP="009714BB">
      <w:pPr>
        <w:jc w:val="both"/>
        <w:rPr>
          <w:rFonts w:ascii="Palatino Linotype" w:hAnsi="Palatino Linotype"/>
          <w:highlight w:val="yellow"/>
          <w:lang w:val="es-ES"/>
        </w:rPr>
      </w:pPr>
      <w:r w:rsidRPr="00FD5C21">
        <w:rPr>
          <w:rFonts w:ascii="Palatino Linotype" w:hAnsi="Palatino Linotype"/>
          <w:highlight w:val="yellow"/>
          <w:lang w:val="es-ES"/>
        </w:rPr>
        <w:lastRenderedPageBreak/>
        <w:t xml:space="preserve"> </w:t>
      </w:r>
    </w:p>
    <w:p w:rsidR="009714BB" w:rsidRPr="00FD5C21" w:rsidRDefault="009714BB" w:rsidP="009714BB">
      <w:pPr>
        <w:jc w:val="both"/>
        <w:rPr>
          <w:rFonts w:ascii="Palatino Linotype" w:hAnsi="Palatino Linotype"/>
          <w:highlight w:val="yellow"/>
          <w:lang w:val="es-ES"/>
        </w:rPr>
      </w:pPr>
    </w:p>
    <w:p w:rsidR="009714BB" w:rsidRPr="00FD5C21" w:rsidRDefault="009714BB" w:rsidP="009714BB">
      <w:pPr>
        <w:jc w:val="both"/>
        <w:rPr>
          <w:rFonts w:ascii="Palatino Linotype" w:hAnsi="Palatino Linotype"/>
          <w:highlight w:val="yellow"/>
          <w:lang w:val="es-ES"/>
        </w:rPr>
      </w:pPr>
      <w:r w:rsidRPr="00FD5C21">
        <w:rPr>
          <w:rFonts w:ascii="Palatino Linotype" w:hAnsi="Palatino Linotype"/>
          <w:highlight w:val="yellow"/>
          <w:lang w:val="es-ES"/>
        </w:rPr>
        <w:t xml:space="preserve"> </w:t>
      </w:r>
    </w:p>
    <w:p w:rsidR="009714BB" w:rsidRPr="00FD5C21" w:rsidRDefault="009714BB" w:rsidP="009714BB">
      <w:pPr>
        <w:jc w:val="center"/>
        <w:rPr>
          <w:rFonts w:ascii="Palatino Linotype" w:hAnsi="Palatino Linotype"/>
          <w:lang w:val="es-ES"/>
        </w:rPr>
      </w:pPr>
      <w:r w:rsidRPr="00FD5C21">
        <w:rPr>
          <w:rFonts w:ascii="Palatino Linotype" w:hAnsi="Palatino Linotype"/>
          <w:lang w:val="es-ES"/>
        </w:rPr>
        <w:t xml:space="preserve">Dra. </w:t>
      </w:r>
      <w:r w:rsidRPr="00FD5C21">
        <w:rPr>
          <w:rFonts w:ascii="Palatino Linotype" w:hAnsi="Palatino Linotype" w:cs="Arial"/>
          <w:color w:val="000000"/>
          <w:shd w:val="clear" w:color="auto" w:fill="FFFFFF"/>
          <w:lang w:val="es-ES"/>
        </w:rPr>
        <w:t>Libia Rivas Ordóñez</w:t>
      </w:r>
    </w:p>
    <w:p w:rsidR="009714BB" w:rsidRPr="00FD5C21" w:rsidRDefault="009714BB" w:rsidP="009714BB">
      <w:pPr>
        <w:ind w:left="5"/>
        <w:jc w:val="center"/>
        <w:rPr>
          <w:rFonts w:ascii="Palatino Linotype" w:hAnsi="Palatino Linotype" w:cs="Arial"/>
          <w:bCs/>
          <w:lang w:val="es-ES"/>
        </w:rPr>
      </w:pPr>
      <w:r w:rsidRPr="00FD5C21">
        <w:rPr>
          <w:rFonts w:ascii="Palatino Linotype" w:hAnsi="Palatino Linotype"/>
          <w:b/>
          <w:lang w:val="es-ES"/>
        </w:rPr>
        <w:t>SECRETARIA GENERAL DEL CONCEJO METROPOLITANO</w:t>
      </w:r>
    </w:p>
    <w:p w:rsidR="009714BB" w:rsidRPr="00FD5C21" w:rsidRDefault="009714BB" w:rsidP="009714BB">
      <w:pPr>
        <w:ind w:left="-5"/>
        <w:jc w:val="both"/>
        <w:rPr>
          <w:rFonts w:ascii="Palatino Linotype" w:eastAsia="Calibri" w:hAnsi="Palatino Linotype"/>
          <w:b/>
          <w:lang w:val="es-ES"/>
        </w:rPr>
      </w:pPr>
    </w:p>
    <w:p w:rsidR="009714BB" w:rsidRPr="00FD5C21" w:rsidRDefault="009714BB" w:rsidP="009714BB">
      <w:pPr>
        <w:adjustRightInd w:val="0"/>
        <w:jc w:val="both"/>
        <w:rPr>
          <w:rFonts w:ascii="Palatino Linotype" w:eastAsia="Calibri" w:hAnsi="Palatino Linotype"/>
          <w:b/>
          <w:lang w:val="es-ES"/>
        </w:rPr>
      </w:pPr>
    </w:p>
    <w:p w:rsidR="009714BB" w:rsidRDefault="009714BB" w:rsidP="009714BB">
      <w:pPr>
        <w:jc w:val="both"/>
        <w:rPr>
          <w:rFonts w:ascii="Helvetica" w:hAnsi="Helvetica" w:cs="Helvetica"/>
          <w:sz w:val="20"/>
          <w:szCs w:val="20"/>
          <w:lang w:val="es-ES"/>
        </w:rPr>
      </w:pPr>
    </w:p>
    <w:p w:rsidR="009714BB" w:rsidRDefault="009714BB" w:rsidP="009714BB">
      <w:pPr>
        <w:jc w:val="both"/>
        <w:rPr>
          <w:rFonts w:ascii="Helvetica" w:hAnsi="Helvetica" w:cs="Helvetica"/>
          <w:sz w:val="20"/>
          <w:szCs w:val="20"/>
          <w:lang w:val="es-ES"/>
        </w:rPr>
      </w:pPr>
    </w:p>
    <w:p w:rsidR="009714BB" w:rsidRDefault="009714BB" w:rsidP="009714BB">
      <w:pPr>
        <w:jc w:val="both"/>
        <w:rPr>
          <w:rFonts w:ascii="Helvetica" w:hAnsi="Helvetica" w:cs="Helvetica"/>
          <w:sz w:val="20"/>
          <w:szCs w:val="20"/>
          <w:lang w:val="es-ES"/>
        </w:rPr>
      </w:pPr>
    </w:p>
    <w:p w:rsidR="009714BB" w:rsidRDefault="009714BB" w:rsidP="009714BB">
      <w:pPr>
        <w:jc w:val="both"/>
        <w:rPr>
          <w:rFonts w:ascii="Helvetica" w:hAnsi="Helvetica" w:cs="Helvetica"/>
          <w:sz w:val="20"/>
          <w:szCs w:val="20"/>
          <w:lang w:val="es-ES"/>
        </w:rPr>
      </w:pPr>
    </w:p>
    <w:p w:rsidR="009714BB" w:rsidRDefault="009714BB" w:rsidP="009714BB">
      <w:pPr>
        <w:jc w:val="both"/>
        <w:rPr>
          <w:rFonts w:ascii="Helvetica" w:hAnsi="Helvetica" w:cs="Helvetica"/>
          <w:sz w:val="20"/>
          <w:szCs w:val="20"/>
          <w:lang w:val="es-ES"/>
        </w:rPr>
      </w:pPr>
    </w:p>
    <w:p w:rsidR="009714BB" w:rsidRDefault="009714BB" w:rsidP="009714BB">
      <w:pPr>
        <w:jc w:val="both"/>
        <w:rPr>
          <w:rFonts w:ascii="Helvetica" w:hAnsi="Helvetica" w:cs="Helvetica"/>
          <w:sz w:val="20"/>
          <w:szCs w:val="20"/>
          <w:lang w:val="es-ES"/>
        </w:rPr>
      </w:pPr>
      <w:r>
        <w:rPr>
          <w:rFonts w:ascii="Helvetica" w:hAnsi="Helvetica" w:cs="Helvetica"/>
          <w:sz w:val="20"/>
          <w:szCs w:val="20"/>
          <w:lang w:val="es-ES"/>
        </w:rPr>
        <w:t>PP.</w:t>
      </w:r>
    </w:p>
    <w:p w:rsidR="00681C65" w:rsidRDefault="009714BB">
      <w:bookmarkStart w:id="0" w:name="_GoBack"/>
      <w:bookmarkEnd w:id="0"/>
    </w:p>
    <w:sectPr w:rsidR="00681C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4BB"/>
    <w:rsid w:val="003842D7"/>
    <w:rsid w:val="009714BB"/>
    <w:rsid w:val="00A06A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754C1-BB2A-4AF0-9E8C-F17284830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714BB"/>
    <w:pPr>
      <w:widowControl w:val="0"/>
      <w:autoSpaceDE w:val="0"/>
      <w:autoSpaceDN w:val="0"/>
      <w:spacing w:after="0" w:line="240" w:lineRule="auto"/>
    </w:pPr>
    <w:rPr>
      <w:rFonts w:ascii="Times New Roman" w:eastAsia="Times New Roman" w:hAnsi="Times New Roman"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árrafo de lista SUBCAPITULO,Párrafo de lista1,Colorful List - Accent 11,TIT 2 IND,Texto,Capítulo,lp1,Bullet 1,Use Case List Paragraph,Bullet List,FooterText,numbered,Paragraphe de liste1,Párrafo 3,Párrafo de Viñeta,tEXTO,AATITULO"/>
    <w:basedOn w:val="Normal"/>
    <w:link w:val="PrrafodelistaCar"/>
    <w:uiPriority w:val="34"/>
    <w:qFormat/>
    <w:rsid w:val="009714BB"/>
  </w:style>
  <w:style w:type="character" w:customStyle="1" w:styleId="PrrafodelistaCar">
    <w:name w:val="Párrafo de lista Car"/>
    <w:aliases w:val="Párrafo de lista SUBCAPITULO Car,Párrafo de lista1 Car,Colorful List - Accent 11 Car,TIT 2 IND Car,Texto Car,Capítulo Car,lp1 Car,Bullet 1 Car,Use Case List Paragraph Car,Bullet List Car,FooterText Car,numbered Car,Párrafo 3 Car"/>
    <w:link w:val="Prrafodelista"/>
    <w:uiPriority w:val="34"/>
    <w:qFormat/>
    <w:locked/>
    <w:rsid w:val="009714BB"/>
    <w:rPr>
      <w:rFonts w:ascii="Times New Roman" w:eastAsia="Times New Roman" w:hAnsi="Times New Roman" w:cs="Times New Roman"/>
      <w:lang w:val="en-US"/>
    </w:rPr>
  </w:style>
  <w:style w:type="paragraph" w:customStyle="1" w:styleId="Default">
    <w:name w:val="Default"/>
    <w:rsid w:val="009714BB"/>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2490</Words>
  <Characters>13701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Zaydee Pomboza loza</dc:creator>
  <cp:keywords/>
  <dc:description/>
  <cp:lastModifiedBy>Patricia Zaydee Pomboza loza</cp:lastModifiedBy>
  <cp:revision>1</cp:revision>
  <dcterms:created xsi:type="dcterms:W3CDTF">2023-10-02T20:47:00Z</dcterms:created>
  <dcterms:modified xsi:type="dcterms:W3CDTF">2023-10-02T20:47:00Z</dcterms:modified>
</cp:coreProperties>
</file>