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C43E1">
        <w:rPr>
          <w:rFonts w:ascii="Palatino Linotype" w:hAnsi="Palatino Linotype"/>
          <w:b/>
          <w:sz w:val="24"/>
          <w:lang w:val="es-ES"/>
        </w:rPr>
        <w:t>I</w:t>
      </w:r>
      <w:r w:rsidR="005A4788" w:rsidRPr="00EC43E1">
        <w:rPr>
          <w:rFonts w:ascii="Palatino Linotype" w:hAnsi="Palatino Linotype"/>
          <w:b/>
          <w:sz w:val="24"/>
          <w:lang w:val="es-ES"/>
        </w:rPr>
        <w:t>nforme No. IC-</w:t>
      </w:r>
      <w:r w:rsidR="00044C33">
        <w:rPr>
          <w:rFonts w:ascii="Palatino Linotype" w:hAnsi="Palatino Linotype"/>
          <w:b/>
          <w:sz w:val="24"/>
          <w:lang w:val="es-ES"/>
        </w:rPr>
        <w:t>O-CPP-2024-024</w:t>
      </w:r>
    </w:p>
    <w:p w:rsidR="009C6656" w:rsidRPr="008A4EEA" w:rsidRDefault="009C6656" w:rsidP="008114F6">
      <w:pPr>
        <w:spacing w:line="276" w:lineRule="auto"/>
        <w:jc w:val="both"/>
        <w:rPr>
          <w:rFonts w:ascii="Palatino Linotype" w:hAnsi="Palatino Linotype"/>
          <w:b/>
          <w:sz w:val="24"/>
          <w:lang w:val="es-ES"/>
        </w:rPr>
      </w:pPr>
    </w:p>
    <w:p w:rsidR="0091732E" w:rsidRPr="007D6C6A" w:rsidRDefault="0082767D" w:rsidP="007D6C6A">
      <w:pPr>
        <w:pStyle w:val="NormalWeb"/>
        <w:jc w:val="both"/>
        <w:rPr>
          <w:rFonts w:ascii="Palatino Linotype" w:hAnsi="Palatino Linotype" w:cs="Arial"/>
          <w:b/>
          <w:bCs/>
        </w:rPr>
      </w:pPr>
      <w:r w:rsidRPr="003C2CCB">
        <w:rPr>
          <w:rFonts w:ascii="Palatino Linotype" w:hAnsi="Palatino Linotype"/>
          <w:b/>
          <w:color w:val="000000"/>
          <w:lang w:val="es-ES_tradnl"/>
        </w:rPr>
        <w:t xml:space="preserve">INFORME DE LA COMISIÓN </w:t>
      </w:r>
      <w:r w:rsidR="00881145" w:rsidRPr="003C2CCB">
        <w:rPr>
          <w:rFonts w:ascii="Palatino Linotype" w:hAnsi="Palatino Linotype"/>
          <w:b/>
          <w:color w:val="000000"/>
          <w:lang w:val="es-ES_tradnl"/>
        </w:rPr>
        <w:t xml:space="preserve">DE PROPIEDAD Y ESPACIO PÚBLICO </w:t>
      </w:r>
      <w:r w:rsidRPr="003C2CCB">
        <w:rPr>
          <w:rFonts w:ascii="Palatino Linotype" w:hAnsi="Palatino Linotype"/>
          <w:b/>
          <w:color w:val="000000"/>
          <w:lang w:val="es-ES_tradnl"/>
        </w:rPr>
        <w:t xml:space="preserve">PARA QUE EL CONCEJO </w:t>
      </w:r>
      <w:r w:rsidR="007D6C6A">
        <w:rPr>
          <w:rFonts w:ascii="Palatino Linotype" w:hAnsi="Palatino Linotype"/>
          <w:b/>
          <w:color w:val="000000"/>
          <w:lang w:val="es-ES_tradnl"/>
        </w:rPr>
        <w:t>METROPOLITANO, CONOZCA</w:t>
      </w:r>
      <w:r w:rsidR="00E5387B">
        <w:rPr>
          <w:rFonts w:ascii="Palatino Linotype" w:hAnsi="Palatino Linotype"/>
          <w:b/>
          <w:color w:val="000000"/>
          <w:lang w:val="es-ES_tradnl"/>
        </w:rPr>
        <w:t xml:space="preserve"> Y RESUELV</w:t>
      </w:r>
      <w:r w:rsidR="00D85938">
        <w:rPr>
          <w:rFonts w:ascii="Palatino Linotype" w:hAnsi="Palatino Linotype"/>
          <w:b/>
          <w:color w:val="000000"/>
          <w:lang w:val="es-ES_tradnl"/>
        </w:rPr>
        <w:t xml:space="preserve"> EN</w:t>
      </w:r>
      <w:r w:rsidR="00E5387B">
        <w:rPr>
          <w:rFonts w:ascii="Palatino Linotype" w:hAnsi="Palatino Linotype"/>
          <w:b/>
          <w:color w:val="000000"/>
          <w:lang w:val="es-ES_tradnl"/>
        </w:rPr>
        <w:t xml:space="preserve"> SEGUNDO</w:t>
      </w:r>
      <w:r w:rsidR="007D6C6A">
        <w:rPr>
          <w:rFonts w:ascii="Palatino Linotype" w:hAnsi="Palatino Linotype"/>
          <w:b/>
          <w:color w:val="000000"/>
          <w:lang w:val="es-ES_tradnl"/>
        </w:rPr>
        <w:t xml:space="preserve"> </w:t>
      </w:r>
      <w:r w:rsidR="00E976A0" w:rsidRPr="003C2CCB">
        <w:rPr>
          <w:rFonts w:ascii="Palatino Linotype" w:hAnsi="Palatino Linotype"/>
          <w:b/>
          <w:color w:val="000000"/>
          <w:lang w:val="es-ES_tradnl"/>
        </w:rPr>
        <w:t xml:space="preserve">DEBATE </w:t>
      </w:r>
      <w:r w:rsidR="00D85938">
        <w:rPr>
          <w:rFonts w:ascii="Palatino Linotype" w:hAnsi="Palatino Linotype"/>
          <w:b/>
          <w:color w:val="000000"/>
          <w:lang w:val="es-ES_tradnl"/>
        </w:rPr>
        <w:t xml:space="preserve">SOBRE </w:t>
      </w:r>
      <w:r w:rsidR="00E976A0" w:rsidRPr="003C2CCB">
        <w:rPr>
          <w:rFonts w:ascii="Palatino Linotype" w:hAnsi="Palatino Linotype"/>
          <w:b/>
          <w:color w:val="000000"/>
          <w:lang w:val="es-ES_tradnl"/>
        </w:rPr>
        <w:t xml:space="preserve">EL PROYECTO DE </w:t>
      </w:r>
      <w:r w:rsidR="007D6C6A" w:rsidRPr="004C4058">
        <w:rPr>
          <w:rFonts w:ascii="Palatino Linotype" w:hAnsi="Palatino Linotype" w:cs="Arial"/>
          <w:b/>
          <w:bCs/>
        </w:rPr>
        <w:t>“ORDENANZA METROPOLITANA REFORMATORIA DEL LIBRO IV.6, TÍTULO IV, CAPÍTULO I, RESPECTO AL PROCEDIMIENTO DE DECLARATORIA Y REGULARIZACIÓN DE BIENES URBANOS MOSTRENCOS”</w:t>
      </w:r>
    </w:p>
    <w:p w:rsidR="0086129D" w:rsidRPr="00680D38" w:rsidRDefault="0086129D" w:rsidP="0091732E">
      <w:pPr>
        <w:autoSpaceDE w:val="0"/>
        <w:autoSpaceDN w:val="0"/>
        <w:adjustRightInd w:val="0"/>
        <w:spacing w:after="0" w:line="240" w:lineRule="auto"/>
        <w:rPr>
          <w:rFonts w:ascii="Times New Roman" w:hAnsi="Times New Roman" w:cs="Times New Roman"/>
          <w:sz w:val="20"/>
          <w:szCs w:val="20"/>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ED2CA7" w:rsidRDefault="00ED2CA7" w:rsidP="00840921">
      <w:pPr>
        <w:pStyle w:val="Prrafodelista"/>
        <w:spacing w:line="276" w:lineRule="auto"/>
        <w:jc w:val="center"/>
        <w:rPr>
          <w:rFonts w:ascii="Palatino Linotype" w:hAnsi="Palatino Linotype"/>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ED2CA7" w:rsidRDefault="00ED2CA7" w:rsidP="00840921">
      <w:pPr>
        <w:pStyle w:val="Prrafodelista"/>
        <w:spacing w:line="276" w:lineRule="auto"/>
        <w:jc w:val="center"/>
        <w:rPr>
          <w:rFonts w:ascii="Palatino Linotype" w:hAnsi="Palatino Linotype"/>
          <w:sz w:val="24"/>
        </w:rPr>
      </w:pPr>
    </w:p>
    <w:p w:rsidR="007E3CE1" w:rsidRPr="008A4EEA" w:rsidRDefault="00C04C18" w:rsidP="00840921">
      <w:pPr>
        <w:pStyle w:val="Prrafodelista"/>
        <w:spacing w:line="276" w:lineRule="auto"/>
        <w:jc w:val="center"/>
        <w:rPr>
          <w:rFonts w:ascii="Palatino Linotype" w:hAnsi="Palatino Linotype"/>
          <w:sz w:val="24"/>
        </w:rPr>
      </w:pPr>
      <w:proofErr w:type="spellStart"/>
      <w:r w:rsidRPr="008A4EEA">
        <w:rPr>
          <w:rFonts w:ascii="Palatino Linotype" w:hAnsi="Palatino Linotype"/>
          <w:sz w:val="24"/>
        </w:rPr>
        <w:t>Dario</w:t>
      </w:r>
      <w:proofErr w:type="spellEnd"/>
      <w:r w:rsidR="006A74AF" w:rsidRPr="008A4EEA">
        <w:rPr>
          <w:rFonts w:ascii="Palatino Linotype" w:hAnsi="Palatino Linotype"/>
          <w:sz w:val="24"/>
        </w:rPr>
        <w:t xml:space="preserve"> </w:t>
      </w:r>
      <w:proofErr w:type="spellStart"/>
      <w:r w:rsidR="006A74AF" w:rsidRPr="008A4EEA">
        <w:rPr>
          <w:rFonts w:ascii="Palatino Linotype" w:hAnsi="Palatino Linotype"/>
          <w:sz w:val="24"/>
        </w:rPr>
        <w:t>Cahueñas</w:t>
      </w:r>
      <w:proofErr w:type="spellEnd"/>
      <w:r w:rsidR="007E3CE1" w:rsidRPr="008A4EEA">
        <w:rPr>
          <w:rFonts w:ascii="Palatino Linotype" w:hAnsi="Palatino Linotype"/>
          <w:sz w:val="24"/>
        </w:rPr>
        <w:t>- Integrante de la Comisión</w:t>
      </w:r>
    </w:p>
    <w:p w:rsidR="007E3CE1" w:rsidRPr="008A4EEA" w:rsidRDefault="007E3CE1" w:rsidP="00840921">
      <w:pPr>
        <w:pStyle w:val="Prrafodelista"/>
        <w:spacing w:line="276" w:lineRule="auto"/>
        <w:jc w:val="center"/>
        <w:rPr>
          <w:rFonts w:ascii="Palatino Linotype" w:hAnsi="Palatino Linotype"/>
          <w:sz w:val="24"/>
        </w:rPr>
      </w:pPr>
    </w:p>
    <w:p w:rsidR="0086129D" w:rsidRDefault="0086129D"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3940B4" w:rsidRPr="008A4EEA" w:rsidRDefault="003940B4"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E5387B">
        <w:rPr>
          <w:rFonts w:ascii="Palatino Linotype" w:hAnsi="Palatino Linotype" w:cs="Calibri"/>
          <w:b/>
          <w:kern w:val="2"/>
          <w:sz w:val="24"/>
          <w:lang w:eastAsia="es-ES"/>
        </w:rPr>
        <w:t>10</w:t>
      </w:r>
      <w:r w:rsidR="0082767D" w:rsidRPr="008A4EEA">
        <w:rPr>
          <w:rFonts w:ascii="Palatino Linotype" w:hAnsi="Palatino Linotype" w:cs="Calibri"/>
          <w:b/>
          <w:kern w:val="2"/>
          <w:sz w:val="24"/>
          <w:lang w:eastAsia="es-ES"/>
        </w:rPr>
        <w:t xml:space="preserve"> de </w:t>
      </w:r>
      <w:r w:rsidR="00E5387B">
        <w:rPr>
          <w:rFonts w:ascii="Palatino Linotype" w:hAnsi="Palatino Linotype" w:cs="Calibri"/>
          <w:b/>
          <w:kern w:val="2"/>
          <w:sz w:val="24"/>
          <w:lang w:eastAsia="es-ES"/>
        </w:rPr>
        <w:t>jul</w:t>
      </w:r>
      <w:r w:rsidR="00093B25">
        <w:rPr>
          <w:rFonts w:ascii="Palatino Linotype" w:hAnsi="Palatino Linotype" w:cs="Calibri"/>
          <w:b/>
          <w:kern w:val="2"/>
          <w:sz w:val="24"/>
          <w:lang w:eastAsia="es-ES"/>
        </w:rPr>
        <w:t>io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Pr="008A4EEA" w:rsidRDefault="00E976A0" w:rsidP="00840921">
      <w:pPr>
        <w:pStyle w:val="Prrafodelista"/>
        <w:spacing w:line="276" w:lineRule="auto"/>
        <w:jc w:val="center"/>
        <w:rPr>
          <w:rFonts w:ascii="Palatino Linotype" w:hAnsi="Palatino Linotype"/>
          <w:sz w:val="24"/>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t>OBJETO DEL INFORME</w:t>
      </w:r>
    </w:p>
    <w:p w:rsidR="002E059B" w:rsidRPr="00093B25" w:rsidRDefault="0062621C" w:rsidP="00093B25">
      <w:pPr>
        <w:pStyle w:val="NormalWeb"/>
        <w:jc w:val="both"/>
        <w:rPr>
          <w:rFonts w:ascii="Palatino Linotype" w:hAnsi="Palatino Linotype" w:cs="Arial"/>
          <w:b/>
          <w:bCs/>
        </w:rPr>
      </w:pPr>
      <w:r w:rsidRPr="00E0236F">
        <w:rPr>
          <w:rFonts w:ascii="Palatino Linotype" w:hAnsi="Palatino Linotype"/>
          <w:lang w:val="es-ES"/>
        </w:rPr>
        <w:t xml:space="preserve">El presente instrumento tiene por objeto poner en conocimiento del </w:t>
      </w:r>
      <w:r w:rsidR="00044C33">
        <w:rPr>
          <w:rFonts w:ascii="Palatino Linotype" w:hAnsi="Palatino Linotype"/>
          <w:lang w:val="es-ES"/>
        </w:rPr>
        <w:t>Pleno del Concejo Metropolitano de Quito</w:t>
      </w:r>
      <w:r w:rsidRPr="00E0236F">
        <w:rPr>
          <w:rFonts w:ascii="Palatino Linotype" w:hAnsi="Palatino Linotype"/>
          <w:lang w:val="es-ES"/>
        </w:rPr>
        <w:t xml:space="preserve"> el informe</w:t>
      </w:r>
      <w:r w:rsidR="005E2A16" w:rsidRPr="00E0236F">
        <w:rPr>
          <w:rFonts w:ascii="Palatino Linotype" w:hAnsi="Palatino Linotype"/>
          <w:lang w:val="es-ES"/>
        </w:rPr>
        <w:t xml:space="preserve"> de</w:t>
      </w:r>
      <w:r w:rsidRPr="00E0236F">
        <w:rPr>
          <w:rFonts w:ascii="Palatino Linotype" w:hAnsi="Palatino Linotype"/>
          <w:lang w:val="es-ES"/>
        </w:rPr>
        <w:t xml:space="preserve"> la Comisión</w:t>
      </w:r>
      <w:r w:rsidR="00165DC8" w:rsidRPr="00E0236F">
        <w:rPr>
          <w:rFonts w:ascii="Palatino Linotype" w:hAnsi="Palatino Linotype"/>
          <w:lang w:val="es-ES"/>
        </w:rPr>
        <w:t xml:space="preserve"> de Propiedad y Espacio Público</w:t>
      </w:r>
      <w:r w:rsidR="005E2A16" w:rsidRPr="00E0236F">
        <w:rPr>
          <w:rFonts w:ascii="Palatino Linotype" w:hAnsi="Palatino Linotype" w:cstheme="minorHAnsi"/>
        </w:rPr>
        <w:t xml:space="preserve">, </w:t>
      </w:r>
      <w:r w:rsidR="004A2080" w:rsidRPr="00E0236F">
        <w:rPr>
          <w:rFonts w:ascii="Palatino Linotype" w:hAnsi="Palatino Linotype" w:cstheme="minorHAnsi"/>
        </w:rPr>
        <w:t xml:space="preserve">para </w:t>
      </w:r>
      <w:r w:rsidR="00ED2CA7">
        <w:rPr>
          <w:rFonts w:ascii="Palatino Linotype" w:hAnsi="Palatino Linotype" w:cstheme="minorHAnsi"/>
        </w:rPr>
        <w:t>segundo</w:t>
      </w:r>
      <w:r w:rsidR="00E976A0" w:rsidRPr="00E0236F">
        <w:rPr>
          <w:rFonts w:ascii="Palatino Linotype" w:hAnsi="Palatino Linotype" w:cstheme="minorHAnsi"/>
        </w:rPr>
        <w:t xml:space="preserve"> debate del proyecto de </w:t>
      </w:r>
      <w:r w:rsidR="00E976A0" w:rsidRPr="00093B25">
        <w:rPr>
          <w:rFonts w:ascii="Palatino Linotype" w:hAnsi="Palatino Linotype" w:cs="Cambria"/>
        </w:rPr>
        <w:t>“</w:t>
      </w:r>
      <w:r w:rsidR="00093B25" w:rsidRPr="00093B25">
        <w:rPr>
          <w:rFonts w:ascii="Palatino Linotype" w:hAnsi="Palatino Linotype" w:cs="Arial"/>
          <w:bCs/>
        </w:rPr>
        <w:t>ORDENANZA METROPOLITANA REFORMATORIA DEL LIBRO IV.6, TÍTULO IV, CAPÍTULO I, RESPECTO AL PROCEDIMIENTO DE DECLARATORIA Y REGULARIZACIÓN DE BIENES URBANOS MOSTRENCOS</w:t>
      </w:r>
      <w:r w:rsidR="008114F6" w:rsidRPr="00093B25">
        <w:rPr>
          <w:rFonts w:ascii="Palatino Linotype" w:hAnsi="Palatino Linotype" w:cs="Cambria"/>
        </w:rPr>
        <w:t>”</w:t>
      </w:r>
      <w:r w:rsidR="004A0613">
        <w:rPr>
          <w:rFonts w:ascii="Palatino Linotype" w:hAnsi="Palatino Linotype" w:cs="Cambria"/>
        </w:rPr>
        <w:t>.</w:t>
      </w:r>
    </w:p>
    <w:p w:rsidR="0063477F" w:rsidRPr="00E84803" w:rsidRDefault="00601D5B" w:rsidP="00E976A0">
      <w:pPr>
        <w:pStyle w:val="Prrafodelista"/>
        <w:numPr>
          <w:ilvl w:val="0"/>
          <w:numId w:val="1"/>
        </w:numPr>
        <w:spacing w:before="240" w:line="276" w:lineRule="auto"/>
        <w:jc w:val="both"/>
        <w:rPr>
          <w:rFonts w:ascii="Palatino Linotype" w:hAnsi="Palatino Linotype"/>
          <w:b/>
          <w:sz w:val="24"/>
        </w:rPr>
      </w:pPr>
      <w:r w:rsidRPr="00E84803">
        <w:rPr>
          <w:rFonts w:ascii="Palatino Linotype" w:hAnsi="Palatino Linotype"/>
          <w:b/>
          <w:sz w:val="24"/>
        </w:rPr>
        <w:t>ANTECEDENTE</w:t>
      </w:r>
      <w:r w:rsidR="00D36201" w:rsidRPr="00E84803">
        <w:rPr>
          <w:rFonts w:ascii="Palatino Linotype" w:hAnsi="Palatino Linotype"/>
          <w:b/>
          <w:sz w:val="24"/>
        </w:rPr>
        <w:t>S E INFORMES TÉCNICOS</w:t>
      </w:r>
    </w:p>
    <w:p w:rsidR="0010166A" w:rsidRDefault="002852EE" w:rsidP="008114F6">
      <w:pPr>
        <w:autoSpaceDE w:val="0"/>
        <w:autoSpaceDN w:val="0"/>
        <w:adjustRightInd w:val="0"/>
        <w:spacing w:after="0" w:line="240" w:lineRule="auto"/>
        <w:jc w:val="both"/>
        <w:rPr>
          <w:rFonts w:ascii="Times New Roman" w:hAnsi="Times New Roman" w:cs="Times New Roman"/>
          <w:b/>
          <w:bCs/>
        </w:rPr>
      </w:pPr>
      <w:r w:rsidRPr="00E84803">
        <w:rPr>
          <w:rFonts w:ascii="Palatino Linotype" w:hAnsi="Palatino Linotype" w:cs="Arial"/>
          <w:b/>
          <w:sz w:val="24"/>
        </w:rPr>
        <w:t>2.</w:t>
      </w:r>
      <w:r w:rsidRPr="00F75D79">
        <w:rPr>
          <w:rFonts w:ascii="Palatino Linotype" w:hAnsi="Palatino Linotype" w:cs="Arial"/>
          <w:b/>
          <w:sz w:val="24"/>
          <w:szCs w:val="24"/>
        </w:rPr>
        <w:t>1</w:t>
      </w:r>
      <w:r w:rsidR="00E976A0">
        <w:rPr>
          <w:rFonts w:ascii="Palatino Linotype" w:hAnsi="Palatino Linotype" w:cs="Palatino Linotype"/>
          <w:sz w:val="24"/>
          <w:szCs w:val="24"/>
        </w:rPr>
        <w:t xml:space="preserve"> </w:t>
      </w:r>
      <w:r w:rsidR="00701E38" w:rsidRPr="00701E38">
        <w:rPr>
          <w:rFonts w:ascii="Palatino Linotype" w:hAnsi="Palatino Linotype" w:cs="Palatino Linotype"/>
          <w:sz w:val="24"/>
          <w:szCs w:val="24"/>
        </w:rPr>
        <w:t xml:space="preserve">Con </w:t>
      </w:r>
      <w:r w:rsidR="00701E38" w:rsidRPr="00701E38">
        <w:rPr>
          <w:rFonts w:ascii="Palatino Linotype" w:hAnsi="Palatino Linotype" w:cs="Times New Roman"/>
          <w:bCs/>
          <w:sz w:val="24"/>
          <w:szCs w:val="24"/>
        </w:rPr>
        <w:t xml:space="preserve">Oficio Nro. GADDMQ-DC-VA-2024-0276-O </w:t>
      </w:r>
      <w:r w:rsidR="00701E38">
        <w:rPr>
          <w:rFonts w:ascii="Palatino Linotype" w:hAnsi="Palatino Linotype" w:cs="Times New Roman"/>
          <w:bCs/>
          <w:sz w:val="24"/>
          <w:szCs w:val="24"/>
        </w:rPr>
        <w:t xml:space="preserve">de 5 de marzo de 2024, </w:t>
      </w:r>
      <w:r w:rsidR="00701E38" w:rsidRPr="00701E38">
        <w:rPr>
          <w:rFonts w:ascii="Palatino Linotype" w:hAnsi="Palatino Linotype" w:cs="Times New Roman"/>
          <w:bCs/>
          <w:sz w:val="24"/>
          <w:szCs w:val="24"/>
        </w:rPr>
        <w:t>el concejal Metropolitano Ángel Vega remite:</w:t>
      </w:r>
    </w:p>
    <w:p w:rsidR="000A2FA2" w:rsidRDefault="00701E38" w:rsidP="000A2FA2">
      <w:pPr>
        <w:autoSpaceDE w:val="0"/>
        <w:autoSpaceDN w:val="0"/>
        <w:adjustRightInd w:val="0"/>
        <w:spacing w:before="240" w:after="0" w:line="240" w:lineRule="auto"/>
        <w:jc w:val="both"/>
        <w:rPr>
          <w:rFonts w:ascii="Palatino Linotype" w:hAnsi="Palatino Linotype" w:cs="Cambria"/>
          <w:i/>
          <w:sz w:val="24"/>
          <w:szCs w:val="24"/>
        </w:rPr>
      </w:pPr>
      <w:r w:rsidRPr="00701E38">
        <w:rPr>
          <w:rFonts w:ascii="Palatino Linotype" w:hAnsi="Palatino Linotype" w:cs="Cambria"/>
          <w:i/>
          <w:sz w:val="24"/>
          <w:szCs w:val="24"/>
        </w:rPr>
        <w:t>“</w:t>
      </w:r>
      <w:r w:rsidRPr="00701E38">
        <w:rPr>
          <w:rFonts w:ascii="Palatino Linotype" w:hAnsi="Palatino Linotype" w:cs="Times-Roman"/>
          <w:i/>
          <w:sz w:val="24"/>
          <w:szCs w:val="24"/>
        </w:rPr>
        <w:t>la iniciativa del Proyecto de “ORDENANZA METROPOLITANA REFORMATORIA DEL LIBRO IV.6, TÍTULO IV, CAPÍTULO I, RESPECTO DEL PROCEDIMIENTO DE DECLARATORIA Y REGULARIZACIÓN DE BIENES URBANOS MOSTRENCOS”; y, solicito a usted que una vez calificado, sea puesto en conocimiento de la Comisión de Propiedad y Espacio Público, previo a su tratamiento en el seno del Concejo Metropolitano.</w:t>
      </w:r>
      <w:r w:rsidRPr="00701E38">
        <w:rPr>
          <w:rFonts w:ascii="Palatino Linotype" w:hAnsi="Palatino Linotype" w:cs="Cambria"/>
          <w:i/>
          <w:sz w:val="24"/>
          <w:szCs w:val="24"/>
        </w:rPr>
        <w:t>”</w:t>
      </w:r>
    </w:p>
    <w:p w:rsidR="000A2FA2" w:rsidRDefault="002852EE" w:rsidP="000A2FA2">
      <w:pPr>
        <w:autoSpaceDE w:val="0"/>
        <w:autoSpaceDN w:val="0"/>
        <w:adjustRightInd w:val="0"/>
        <w:spacing w:before="240" w:after="0" w:line="240" w:lineRule="auto"/>
        <w:jc w:val="both"/>
        <w:rPr>
          <w:rFonts w:ascii="Palatino Linotype" w:hAnsi="Palatino Linotype" w:cs="Cambria"/>
          <w:bCs/>
          <w:color w:val="000000"/>
        </w:rPr>
      </w:pPr>
      <w:r w:rsidRPr="00303654">
        <w:rPr>
          <w:rFonts w:ascii="Palatino Linotype" w:hAnsi="Palatino Linotype"/>
          <w:b/>
          <w:sz w:val="24"/>
        </w:rPr>
        <w:t>2.</w:t>
      </w:r>
      <w:r w:rsidRPr="00303654">
        <w:rPr>
          <w:rFonts w:ascii="Palatino Linotype" w:hAnsi="Palatino Linotype"/>
          <w:b/>
          <w:sz w:val="24"/>
          <w:szCs w:val="24"/>
        </w:rPr>
        <w:t>2</w:t>
      </w:r>
      <w:r w:rsidR="00550F92">
        <w:rPr>
          <w:rFonts w:ascii="Palatino Linotype" w:hAnsi="Palatino Linotype"/>
          <w:i/>
          <w:sz w:val="24"/>
          <w:szCs w:val="24"/>
        </w:rPr>
        <w:t xml:space="preserve"> </w:t>
      </w:r>
      <w:r w:rsidR="000A2FA2" w:rsidRPr="000A2FA2">
        <w:rPr>
          <w:rFonts w:ascii="Palatino Linotype" w:hAnsi="Palatino Linotype"/>
          <w:sz w:val="24"/>
          <w:szCs w:val="24"/>
        </w:rPr>
        <w:t>Mediante Informe jurídico no vinculante</w:t>
      </w:r>
      <w:r w:rsidR="000A2FA2" w:rsidRPr="000A2FA2">
        <w:rPr>
          <w:rFonts w:ascii="Palatino Linotype" w:hAnsi="Palatino Linotype" w:cs="Cambria"/>
          <w:color w:val="000000"/>
          <w:sz w:val="24"/>
          <w:szCs w:val="24"/>
        </w:rPr>
        <w:t xml:space="preserve"> </w:t>
      </w:r>
      <w:r w:rsidR="008B59E7">
        <w:rPr>
          <w:rFonts w:ascii="Palatino Linotype" w:hAnsi="Palatino Linotype" w:cs="Cambria"/>
          <w:bCs/>
          <w:color w:val="000000"/>
        </w:rPr>
        <w:t>Nro.- 0014-202 de 14 de marzo de 2024</w:t>
      </w:r>
      <w:r w:rsidR="000A2FA2" w:rsidRPr="000A2FA2">
        <w:rPr>
          <w:rFonts w:ascii="Palatino Linotype" w:hAnsi="Palatino Linotype" w:cs="Cambria"/>
          <w:bCs/>
          <w:color w:val="000000"/>
        </w:rPr>
        <w:t xml:space="preserve"> suscrito por la Abg. Ana Reyna Gallegos, Subprocuradora de Uso y Ocupación de Suelo de la Procuraduría Metropolitana, </w:t>
      </w:r>
      <w:r w:rsidR="000A2FA2">
        <w:rPr>
          <w:rFonts w:ascii="Palatino Linotype" w:hAnsi="Palatino Linotype" w:cs="Cambria"/>
          <w:bCs/>
          <w:color w:val="000000"/>
        </w:rPr>
        <w:t>dentro de su pronunciamiento señala:</w:t>
      </w:r>
    </w:p>
    <w:p w:rsidR="000A2FA2" w:rsidRPr="00044C33" w:rsidRDefault="000A2FA2" w:rsidP="00701E38">
      <w:pPr>
        <w:autoSpaceDE w:val="0"/>
        <w:autoSpaceDN w:val="0"/>
        <w:adjustRightInd w:val="0"/>
        <w:spacing w:before="240" w:after="0" w:line="240" w:lineRule="auto"/>
        <w:jc w:val="both"/>
        <w:rPr>
          <w:rFonts w:ascii="Palatino Linotype" w:hAnsi="Palatino Linotype" w:cs="Times-Roman"/>
          <w:i/>
          <w:sz w:val="24"/>
          <w:szCs w:val="24"/>
        </w:rPr>
      </w:pPr>
      <w:r w:rsidRPr="000A2FA2">
        <w:rPr>
          <w:rFonts w:ascii="Palatino Linotype" w:hAnsi="Palatino Linotype" w:cs="Cambria"/>
          <w:bCs/>
          <w:i/>
          <w:color w:val="000000"/>
          <w:sz w:val="24"/>
          <w:szCs w:val="24"/>
        </w:rPr>
        <w:t>“</w:t>
      </w:r>
      <w:r>
        <w:rPr>
          <w:rFonts w:ascii="Palatino Linotype" w:hAnsi="Palatino Linotype" w:cs="Cambria"/>
          <w:bCs/>
          <w:i/>
          <w:color w:val="000000"/>
          <w:sz w:val="24"/>
          <w:szCs w:val="24"/>
        </w:rPr>
        <w:t xml:space="preserve">(…) </w:t>
      </w:r>
      <w:r w:rsidRPr="000A2FA2">
        <w:rPr>
          <w:rFonts w:ascii="Palatino Linotype" w:hAnsi="Palatino Linotype"/>
          <w:i/>
          <w:sz w:val="24"/>
          <w:szCs w:val="24"/>
        </w:rPr>
        <w:t xml:space="preserve">Con base en los fundamentos expuestos, de acuerdo con lo dispuesto en la letra a) del artículo 87 y artículo 322 del COOTAD, en concordancia los artículos 67.48, 67.49 y 67.50 del Código Municipal para el Distrito Metropolitano de Quito, referente de la facultad legislativa del Concejo Metropolitano y artículo 67,57 y siguientes del mismo cuerpo normativo, Procuraduría Metropolitana </w:t>
      </w:r>
      <w:r w:rsidRPr="000A2FA2">
        <w:rPr>
          <w:rFonts w:ascii="Palatino Linotype" w:hAnsi="Palatino Linotype"/>
          <w:b/>
          <w:bCs/>
          <w:i/>
          <w:sz w:val="24"/>
          <w:szCs w:val="24"/>
        </w:rPr>
        <w:t xml:space="preserve">emite Informe Jurídico No Vinculante </w:t>
      </w:r>
      <w:r w:rsidRPr="000A2FA2">
        <w:rPr>
          <w:rFonts w:ascii="Palatino Linotype" w:hAnsi="Palatino Linotype"/>
          <w:i/>
          <w:sz w:val="24"/>
          <w:szCs w:val="24"/>
        </w:rPr>
        <w:t>respecto del Proyecto de “</w:t>
      </w:r>
      <w:r w:rsidRPr="000A2FA2">
        <w:rPr>
          <w:rFonts w:ascii="Palatino Linotype" w:hAnsi="Palatino Linotype"/>
          <w:i/>
          <w:iCs/>
          <w:sz w:val="24"/>
          <w:szCs w:val="24"/>
        </w:rPr>
        <w:t xml:space="preserve">ORDENANZA METROPOLITANA REFORMATORIA DEL LIBRO IV.6, TÍTULO IV, CAPÍTULO I, RESPECTO DEL PROCEDIMIENTO DE DECLARATORIA Y REGULARIZACIÓN DE BIENES URBANOS MOSTRENCOS” </w:t>
      </w:r>
      <w:r w:rsidRPr="000A2FA2">
        <w:rPr>
          <w:rFonts w:ascii="Palatino Linotype" w:hAnsi="Palatino Linotype"/>
          <w:i/>
          <w:sz w:val="24"/>
          <w:szCs w:val="24"/>
        </w:rPr>
        <w:t>y lo remite para continuar con el procedimiento parlamentario previsto en la normativa señalada.</w:t>
      </w:r>
      <w:r w:rsidRPr="000A2FA2">
        <w:rPr>
          <w:rFonts w:ascii="Palatino Linotype" w:hAnsi="Palatino Linotype" w:cs="Cambria"/>
          <w:bCs/>
          <w:i/>
          <w:color w:val="000000"/>
          <w:sz w:val="24"/>
          <w:szCs w:val="24"/>
        </w:rPr>
        <w:t>”</w:t>
      </w:r>
    </w:p>
    <w:p w:rsidR="00FF752F" w:rsidRPr="00701E38" w:rsidRDefault="008B59E7" w:rsidP="00701E38">
      <w:pPr>
        <w:autoSpaceDE w:val="0"/>
        <w:autoSpaceDN w:val="0"/>
        <w:adjustRightInd w:val="0"/>
        <w:spacing w:before="240" w:after="0" w:line="240" w:lineRule="auto"/>
        <w:jc w:val="both"/>
        <w:rPr>
          <w:rFonts w:ascii="Times-Roman" w:hAnsi="Times-Roman" w:cs="Times-Roman"/>
        </w:rPr>
      </w:pPr>
      <w:r w:rsidRPr="008B59E7">
        <w:rPr>
          <w:rFonts w:ascii="Palatino Linotype" w:hAnsi="Palatino Linotype"/>
          <w:b/>
          <w:sz w:val="24"/>
          <w:szCs w:val="24"/>
        </w:rPr>
        <w:t>2.3</w:t>
      </w:r>
      <w:r>
        <w:rPr>
          <w:rFonts w:ascii="Palatino Linotype" w:hAnsi="Palatino Linotype"/>
          <w:sz w:val="24"/>
          <w:szCs w:val="24"/>
        </w:rPr>
        <w:t xml:space="preserve"> </w:t>
      </w:r>
      <w:r w:rsidR="00701E38" w:rsidRPr="00DB040D">
        <w:rPr>
          <w:rFonts w:ascii="Palatino Linotype" w:hAnsi="Palatino Linotype"/>
          <w:sz w:val="24"/>
          <w:szCs w:val="24"/>
        </w:rPr>
        <w:t xml:space="preserve">Mediante </w:t>
      </w:r>
      <w:r w:rsidR="00701E38" w:rsidRPr="00DB040D">
        <w:rPr>
          <w:rFonts w:ascii="Palatino Linotype" w:hAnsi="Palatino Linotype" w:cs="Times New Roman"/>
          <w:bCs/>
          <w:sz w:val="24"/>
          <w:szCs w:val="24"/>
        </w:rPr>
        <w:t xml:space="preserve">Oficio Nro. GADDMQ-SGCM-2024-0754-O de 15 de marzo la Secretaria General del Concejo Metropolitano </w:t>
      </w:r>
      <w:r w:rsidR="00701E38" w:rsidRPr="00DB040D">
        <w:rPr>
          <w:rFonts w:ascii="Palatino Linotype" w:hAnsi="Palatino Linotype" w:cs="Times-Roman"/>
          <w:sz w:val="24"/>
          <w:szCs w:val="24"/>
        </w:rPr>
        <w:t>en cumplimiento de lo dispuesto en el artículo 67.57 del Código Municipal para el Distrito Metropolitano de Quito, presenta la verificación del cumplimiento de los requisitos formales, previo al tratamiento correspondiente.</w:t>
      </w:r>
    </w:p>
    <w:p w:rsidR="001358EE" w:rsidRPr="00196DF2" w:rsidRDefault="008B59E7" w:rsidP="001A1C42">
      <w:pPr>
        <w:autoSpaceDE w:val="0"/>
        <w:autoSpaceDN w:val="0"/>
        <w:adjustRightInd w:val="0"/>
        <w:spacing w:before="240" w:after="0" w:line="240" w:lineRule="auto"/>
        <w:jc w:val="both"/>
        <w:rPr>
          <w:rFonts w:ascii="Palatino Linotype" w:hAnsi="Palatino Linotype" w:cs="Times-Bold"/>
          <w:bCs/>
          <w:sz w:val="24"/>
          <w:szCs w:val="24"/>
        </w:rPr>
      </w:pPr>
      <w:r w:rsidRPr="008B59E7">
        <w:rPr>
          <w:rFonts w:ascii="Palatino Linotype" w:hAnsi="Palatino Linotype"/>
          <w:b/>
          <w:sz w:val="24"/>
          <w:szCs w:val="24"/>
        </w:rPr>
        <w:lastRenderedPageBreak/>
        <w:t>2.4</w:t>
      </w:r>
      <w:r w:rsidR="001358EE" w:rsidRPr="00196DF2">
        <w:rPr>
          <w:rFonts w:ascii="Palatino Linotype" w:hAnsi="Palatino Linotype" w:cs="Times-Roman"/>
          <w:sz w:val="24"/>
          <w:szCs w:val="24"/>
        </w:rPr>
        <w:t xml:space="preserve"> Con </w:t>
      </w:r>
      <w:r w:rsidR="001358EE" w:rsidRPr="00196DF2">
        <w:rPr>
          <w:rFonts w:ascii="Palatino Linotype" w:hAnsi="Palatino Linotype" w:cs="Times New Roman"/>
          <w:bCs/>
          <w:sz w:val="24"/>
          <w:szCs w:val="24"/>
        </w:rPr>
        <w:t xml:space="preserve">Oficio Nro. GADDMQ-SGCM-2024-0832-O de 22 de marzo de 2024, la Secretaría General del Concejo Metropolitano notificó resolución de </w:t>
      </w:r>
      <w:r w:rsidR="001358EE" w:rsidRPr="00196DF2">
        <w:rPr>
          <w:rFonts w:ascii="Palatino Linotype" w:hAnsi="Palatino Linotype" w:cs="Times-Roman"/>
          <w:sz w:val="24"/>
          <w:szCs w:val="24"/>
        </w:rPr>
        <w:t>la Comisión de Propiedad y Espacio Público, tomada en sesión ordinaria</w:t>
      </w:r>
      <w:r w:rsidR="00044CA6" w:rsidRPr="00196DF2">
        <w:rPr>
          <w:rFonts w:ascii="Palatino Linotype" w:hAnsi="Palatino Linotype" w:cs="Times-Roman"/>
          <w:sz w:val="24"/>
          <w:szCs w:val="24"/>
        </w:rPr>
        <w:t>,</w:t>
      </w:r>
      <w:r w:rsidR="001358EE" w:rsidRPr="00196DF2">
        <w:rPr>
          <w:rFonts w:ascii="Palatino Linotype" w:hAnsi="Palatino Linotype" w:cs="Times-Roman"/>
          <w:sz w:val="24"/>
          <w:szCs w:val="24"/>
        </w:rPr>
        <w:t xml:space="preserve"> No. 020, llevada a cabo el día jueves, 21 de marzo del 2024,</w:t>
      </w:r>
      <w:r w:rsidR="00044CA6" w:rsidRPr="00196DF2">
        <w:rPr>
          <w:rFonts w:ascii="Palatino Linotype" w:hAnsi="Palatino Linotype" w:cs="Times-Roman"/>
          <w:sz w:val="24"/>
          <w:szCs w:val="24"/>
        </w:rPr>
        <w:t xml:space="preserve"> misma que señala</w:t>
      </w:r>
      <w:r w:rsidR="001358EE" w:rsidRPr="00196DF2">
        <w:rPr>
          <w:rFonts w:ascii="Palatino Linotype" w:hAnsi="Palatino Linotype" w:cs="Times-Bold"/>
          <w:bCs/>
          <w:sz w:val="24"/>
          <w:szCs w:val="24"/>
        </w:rPr>
        <w:t xml:space="preserve">: </w:t>
      </w:r>
    </w:p>
    <w:p w:rsidR="001358EE" w:rsidRDefault="001358EE" w:rsidP="001358EE">
      <w:pPr>
        <w:autoSpaceDE w:val="0"/>
        <w:autoSpaceDN w:val="0"/>
        <w:adjustRightInd w:val="0"/>
        <w:spacing w:before="240" w:after="0" w:line="240" w:lineRule="auto"/>
        <w:jc w:val="both"/>
        <w:rPr>
          <w:rFonts w:ascii="Palatino Linotype" w:hAnsi="Palatino Linotype" w:cs="Times-Roman"/>
          <w:sz w:val="24"/>
        </w:rPr>
      </w:pPr>
      <w:r>
        <w:rPr>
          <w:rFonts w:ascii="Palatino Linotype" w:hAnsi="Palatino Linotype" w:cs="Times-Bold"/>
          <w:b/>
          <w:bCs/>
          <w:sz w:val="24"/>
        </w:rPr>
        <w:t>“</w:t>
      </w:r>
      <w:r w:rsidRPr="001358EE">
        <w:rPr>
          <w:rFonts w:ascii="Palatino Linotype" w:hAnsi="Palatino Linotype" w:cs="Times-Italic"/>
          <w:i/>
          <w:iCs/>
          <w:sz w:val="24"/>
        </w:rPr>
        <w:t>Dar por conocido el texto del proyecto de “ORDENANZA METROPOLITANA</w:t>
      </w:r>
      <w:r w:rsidRPr="001358EE">
        <w:rPr>
          <w:rFonts w:ascii="Palatino Linotype" w:hAnsi="Palatino Linotype" w:cs="Times-Bold"/>
          <w:b/>
          <w:bCs/>
          <w:sz w:val="24"/>
        </w:rPr>
        <w:t xml:space="preserve"> </w:t>
      </w:r>
      <w:r w:rsidRPr="001358EE">
        <w:rPr>
          <w:rFonts w:ascii="Palatino Linotype" w:hAnsi="Palatino Linotype" w:cs="Times-Italic"/>
          <w:i/>
          <w:iCs/>
          <w:sz w:val="24"/>
        </w:rPr>
        <w:t xml:space="preserve">REFORMATORIA DEL LIBRO </w:t>
      </w:r>
      <w:r w:rsidR="00D31CF6">
        <w:rPr>
          <w:rFonts w:ascii="Palatino Linotype" w:hAnsi="Palatino Linotype" w:cs="Times-Italic"/>
          <w:i/>
          <w:iCs/>
          <w:sz w:val="24"/>
        </w:rPr>
        <w:t>IV.6, TÍTULO IV, CAPÍ</w:t>
      </w:r>
      <w:r w:rsidRPr="001358EE">
        <w:rPr>
          <w:rFonts w:ascii="Palatino Linotype" w:hAnsi="Palatino Linotype" w:cs="Times-Italic"/>
          <w:i/>
          <w:iCs/>
          <w:sz w:val="24"/>
        </w:rPr>
        <w:t>TULO I, RESPECTO DEL</w:t>
      </w:r>
      <w:r w:rsidRPr="001358EE">
        <w:rPr>
          <w:rFonts w:ascii="Palatino Linotype" w:hAnsi="Palatino Linotype" w:cs="Times-Bold"/>
          <w:b/>
          <w:bCs/>
          <w:sz w:val="24"/>
        </w:rPr>
        <w:t xml:space="preserve"> </w:t>
      </w:r>
      <w:r w:rsidRPr="001358EE">
        <w:rPr>
          <w:rFonts w:ascii="Palatino Linotype" w:hAnsi="Palatino Linotype" w:cs="Times-Italic"/>
          <w:i/>
          <w:iCs/>
          <w:sz w:val="24"/>
        </w:rPr>
        <w:t>PROCEDIMIENTO DE DECLARATORIA Y REGULARIZACIÓN DE BIENES</w:t>
      </w:r>
      <w:r w:rsidRPr="001358EE">
        <w:rPr>
          <w:rFonts w:ascii="Palatino Linotype" w:hAnsi="Palatino Linotype" w:cs="Times-Bold"/>
          <w:b/>
          <w:bCs/>
          <w:sz w:val="24"/>
        </w:rPr>
        <w:t xml:space="preserve"> </w:t>
      </w:r>
      <w:r w:rsidRPr="001358EE">
        <w:rPr>
          <w:rFonts w:ascii="Palatino Linotype" w:hAnsi="Palatino Linotype" w:cs="Times-Italic"/>
          <w:i/>
          <w:iCs/>
          <w:sz w:val="24"/>
        </w:rPr>
        <w:t>URBANOS MOSTRENCOS " y solicitar que en el término de 08 días se remitan los</w:t>
      </w:r>
      <w:r w:rsidRPr="001358EE">
        <w:rPr>
          <w:rFonts w:ascii="Palatino Linotype" w:hAnsi="Palatino Linotype" w:cs="Times-Bold"/>
          <w:b/>
          <w:bCs/>
          <w:sz w:val="24"/>
        </w:rPr>
        <w:t xml:space="preserve"> </w:t>
      </w:r>
      <w:r w:rsidRPr="001358EE">
        <w:rPr>
          <w:rFonts w:ascii="Palatino Linotype" w:hAnsi="Palatino Linotype" w:cs="Times-Italic"/>
          <w:i/>
          <w:iCs/>
          <w:sz w:val="24"/>
        </w:rPr>
        <w:t>respectivos informes tanto técnicos como legales por parte de la Dirección Metropolitana</w:t>
      </w:r>
      <w:r w:rsidRPr="001358EE">
        <w:rPr>
          <w:rFonts w:ascii="Palatino Linotype" w:hAnsi="Palatino Linotype" w:cs="Times-Bold"/>
          <w:b/>
          <w:bCs/>
          <w:sz w:val="24"/>
        </w:rPr>
        <w:t xml:space="preserve"> </w:t>
      </w:r>
      <w:r w:rsidRPr="001358EE">
        <w:rPr>
          <w:rFonts w:ascii="Palatino Linotype" w:hAnsi="Palatino Linotype" w:cs="Times-Italic"/>
          <w:i/>
          <w:iCs/>
          <w:sz w:val="24"/>
        </w:rPr>
        <w:t>de Catastro, Secretaría de Coordinación Territorial Gobernabilidad y Participación,</w:t>
      </w:r>
      <w:r w:rsidRPr="001358EE">
        <w:rPr>
          <w:rFonts w:ascii="Palatino Linotype" w:hAnsi="Palatino Linotype" w:cs="Times-Bold"/>
          <w:b/>
          <w:bCs/>
          <w:sz w:val="24"/>
        </w:rPr>
        <w:t xml:space="preserve"> </w:t>
      </w:r>
      <w:r w:rsidRPr="001358EE">
        <w:rPr>
          <w:rFonts w:ascii="Palatino Linotype" w:hAnsi="Palatino Linotype" w:cs="Times-Italic"/>
          <w:i/>
          <w:iCs/>
          <w:sz w:val="24"/>
        </w:rPr>
        <w:t>Registro de la Propiedad, Dirección Metropolitana de Gestión de Bienes Inmuebles y</w:t>
      </w:r>
      <w:r w:rsidRPr="001358EE">
        <w:rPr>
          <w:rFonts w:ascii="Palatino Linotype" w:hAnsi="Palatino Linotype" w:cs="Times-Bold"/>
          <w:b/>
          <w:bCs/>
          <w:sz w:val="24"/>
        </w:rPr>
        <w:t xml:space="preserve"> </w:t>
      </w:r>
      <w:r w:rsidRPr="001358EE">
        <w:rPr>
          <w:rFonts w:ascii="Palatino Linotype" w:hAnsi="Palatino Linotype" w:cs="Times-Italic"/>
          <w:i/>
          <w:iCs/>
          <w:sz w:val="24"/>
        </w:rPr>
        <w:t>Procuraduría Metropolitana</w:t>
      </w:r>
      <w:r w:rsidRPr="001358EE">
        <w:rPr>
          <w:rFonts w:ascii="Palatino Linotype" w:hAnsi="Palatino Linotype" w:cs="Times-Roman"/>
          <w:sz w:val="24"/>
        </w:rPr>
        <w:t>.</w:t>
      </w:r>
      <w:r>
        <w:rPr>
          <w:rFonts w:ascii="Palatino Linotype" w:hAnsi="Palatino Linotype" w:cs="Times-Roman"/>
          <w:sz w:val="24"/>
        </w:rPr>
        <w:t>”</w:t>
      </w:r>
    </w:p>
    <w:p w:rsidR="00774EDF" w:rsidRPr="001358EE" w:rsidRDefault="008B59E7" w:rsidP="001358EE">
      <w:pPr>
        <w:autoSpaceDE w:val="0"/>
        <w:autoSpaceDN w:val="0"/>
        <w:adjustRightInd w:val="0"/>
        <w:spacing w:before="240" w:after="0" w:line="240" w:lineRule="auto"/>
        <w:jc w:val="both"/>
        <w:rPr>
          <w:rFonts w:ascii="Palatino Linotype" w:hAnsi="Palatino Linotype" w:cs="Times-Bold"/>
          <w:b/>
          <w:bCs/>
          <w:sz w:val="24"/>
        </w:rPr>
      </w:pPr>
      <w:r w:rsidRPr="008B59E7">
        <w:rPr>
          <w:rFonts w:ascii="Palatino Linotype" w:hAnsi="Palatino Linotype" w:cs="Times-Roman"/>
          <w:b/>
          <w:sz w:val="24"/>
        </w:rPr>
        <w:t>2.5</w:t>
      </w:r>
      <w:r>
        <w:rPr>
          <w:rFonts w:ascii="Palatino Linotype" w:hAnsi="Palatino Linotype" w:cs="Times-Roman"/>
          <w:sz w:val="24"/>
        </w:rPr>
        <w:t xml:space="preserve"> </w:t>
      </w:r>
      <w:r w:rsidR="00774EDF" w:rsidRPr="00065969">
        <w:rPr>
          <w:rFonts w:ascii="Palatino Linotype" w:hAnsi="Palatino Linotype" w:cs="Times-Roman"/>
          <w:sz w:val="24"/>
          <w:szCs w:val="24"/>
        </w:rPr>
        <w:t xml:space="preserve">Con </w:t>
      </w:r>
      <w:r w:rsidR="00065969">
        <w:rPr>
          <w:rFonts w:ascii="Palatino Linotype" w:hAnsi="Palatino Linotype" w:cs="Times New Roman"/>
          <w:bCs/>
          <w:sz w:val="24"/>
          <w:szCs w:val="24"/>
        </w:rPr>
        <w:t>o</w:t>
      </w:r>
      <w:r w:rsidR="00774EDF" w:rsidRPr="00065969">
        <w:rPr>
          <w:rFonts w:ascii="Palatino Linotype" w:hAnsi="Palatino Linotype" w:cs="Times New Roman"/>
          <w:bCs/>
          <w:sz w:val="24"/>
          <w:szCs w:val="24"/>
        </w:rPr>
        <w:t xml:space="preserve">ficio Nro. GADDMQ-RPDMQ-DACJ-2024-0004-OF de 2 de abril de 2024 suscrito por el </w:t>
      </w:r>
      <w:r w:rsidR="00774EDF" w:rsidRPr="00065969">
        <w:rPr>
          <w:rFonts w:ascii="Palatino Linotype" w:hAnsi="Palatino Linotype" w:cs="Times-Roman"/>
          <w:sz w:val="24"/>
          <w:szCs w:val="24"/>
        </w:rPr>
        <w:t xml:space="preserve">Abg. Carlos Ricardo Borja López, </w:t>
      </w:r>
      <w:r w:rsidR="00065969" w:rsidRPr="00065969">
        <w:rPr>
          <w:rFonts w:ascii="Palatino Linotype" w:hAnsi="Palatino Linotype" w:cs="Times-Roman"/>
          <w:sz w:val="24"/>
          <w:szCs w:val="24"/>
        </w:rPr>
        <w:t xml:space="preserve">Director </w:t>
      </w:r>
      <w:proofErr w:type="gramStart"/>
      <w:r w:rsidR="00065969" w:rsidRPr="00065969">
        <w:rPr>
          <w:rFonts w:ascii="Palatino Linotype" w:hAnsi="Palatino Linotype" w:cs="Times-Roman"/>
          <w:sz w:val="24"/>
          <w:szCs w:val="24"/>
        </w:rPr>
        <w:t xml:space="preserve">de  </w:t>
      </w:r>
      <w:r w:rsidR="00774EDF" w:rsidRPr="00065969">
        <w:rPr>
          <w:rFonts w:ascii="Palatino Linotype" w:hAnsi="Palatino Linotype" w:cs="Times-Roman"/>
          <w:sz w:val="24"/>
          <w:szCs w:val="24"/>
        </w:rPr>
        <w:t>Asesoría</w:t>
      </w:r>
      <w:proofErr w:type="gramEnd"/>
      <w:r w:rsidR="00774EDF" w:rsidRPr="00065969">
        <w:rPr>
          <w:rFonts w:ascii="Palatino Linotype" w:hAnsi="Palatino Linotype" w:cs="Times-Roman"/>
          <w:sz w:val="24"/>
          <w:szCs w:val="24"/>
        </w:rPr>
        <w:t xml:space="preserve"> y Control Jurídico del Registro de la Propiedad emite observaciones al </w:t>
      </w:r>
      <w:r w:rsidR="00774EDF" w:rsidRPr="00065969">
        <w:rPr>
          <w:rFonts w:ascii="Palatino Linotype" w:hAnsi="Palatino Linotype" w:cs="Times-Italic"/>
          <w:i/>
          <w:iCs/>
          <w:sz w:val="24"/>
          <w:szCs w:val="24"/>
        </w:rPr>
        <w:t>proyecto de “ORDENANZA METROPOLITANA</w:t>
      </w:r>
      <w:r w:rsidR="00774EDF" w:rsidRPr="00065969">
        <w:rPr>
          <w:rFonts w:ascii="Palatino Linotype" w:hAnsi="Palatino Linotype" w:cs="Times-Bold"/>
          <w:bCs/>
          <w:sz w:val="24"/>
          <w:szCs w:val="24"/>
        </w:rPr>
        <w:t xml:space="preserve"> </w:t>
      </w:r>
      <w:r w:rsidR="00774EDF" w:rsidRPr="00065969">
        <w:rPr>
          <w:rFonts w:ascii="Palatino Linotype" w:hAnsi="Palatino Linotype" w:cs="Times-Italic"/>
          <w:i/>
          <w:iCs/>
          <w:sz w:val="24"/>
          <w:szCs w:val="24"/>
        </w:rPr>
        <w:t xml:space="preserve">REFORMATORIA DEL LIBRO </w:t>
      </w:r>
      <w:r w:rsidR="00065969">
        <w:rPr>
          <w:rFonts w:ascii="Palatino Linotype" w:hAnsi="Palatino Linotype" w:cs="Times-Italic"/>
          <w:i/>
          <w:iCs/>
          <w:sz w:val="24"/>
          <w:szCs w:val="24"/>
        </w:rPr>
        <w:t>IV.6, TÍTULO IV, CAPÍ</w:t>
      </w:r>
      <w:r w:rsidR="00774EDF" w:rsidRPr="00065969">
        <w:rPr>
          <w:rFonts w:ascii="Palatino Linotype" w:hAnsi="Palatino Linotype" w:cs="Times-Italic"/>
          <w:i/>
          <w:iCs/>
          <w:sz w:val="24"/>
          <w:szCs w:val="24"/>
        </w:rPr>
        <w:t>TULO I, RESPECTO DEL</w:t>
      </w:r>
      <w:r w:rsidR="00774EDF" w:rsidRPr="00065969">
        <w:rPr>
          <w:rFonts w:ascii="Palatino Linotype" w:hAnsi="Palatino Linotype" w:cs="Times-Bold"/>
          <w:bCs/>
          <w:sz w:val="24"/>
          <w:szCs w:val="24"/>
        </w:rPr>
        <w:t xml:space="preserve"> </w:t>
      </w:r>
      <w:r w:rsidR="00774EDF" w:rsidRPr="00065969">
        <w:rPr>
          <w:rFonts w:ascii="Palatino Linotype" w:hAnsi="Palatino Linotype" w:cs="Times-Italic"/>
          <w:i/>
          <w:iCs/>
          <w:sz w:val="24"/>
          <w:szCs w:val="24"/>
        </w:rPr>
        <w:t>PROCEDIMIENTO DE DECLARATORIA Y REGULARIZACIÓN DE BIENES</w:t>
      </w:r>
      <w:r w:rsidR="00774EDF" w:rsidRPr="00065969">
        <w:rPr>
          <w:rFonts w:ascii="Palatino Linotype" w:hAnsi="Palatino Linotype" w:cs="Times-Bold"/>
          <w:bCs/>
          <w:sz w:val="24"/>
          <w:szCs w:val="24"/>
        </w:rPr>
        <w:t xml:space="preserve"> </w:t>
      </w:r>
      <w:r w:rsidR="00774EDF" w:rsidRPr="00065969">
        <w:rPr>
          <w:rFonts w:ascii="Palatino Linotype" w:hAnsi="Palatino Linotype" w:cs="Times-Italic"/>
          <w:i/>
          <w:iCs/>
          <w:sz w:val="24"/>
          <w:szCs w:val="24"/>
        </w:rPr>
        <w:t>URBANOS MOSTRENCOS</w:t>
      </w:r>
      <w:r w:rsidR="00DB04F1">
        <w:rPr>
          <w:rFonts w:ascii="Palatino Linotype" w:hAnsi="Palatino Linotype" w:cs="Times-Italic"/>
          <w:i/>
          <w:iCs/>
          <w:sz w:val="24"/>
          <w:szCs w:val="24"/>
        </w:rPr>
        <w:t>.</w:t>
      </w:r>
    </w:p>
    <w:p w:rsidR="008B59E7" w:rsidRPr="008B59E7" w:rsidRDefault="008B59E7" w:rsidP="008B59E7">
      <w:pPr>
        <w:autoSpaceDE w:val="0"/>
        <w:autoSpaceDN w:val="0"/>
        <w:adjustRightInd w:val="0"/>
        <w:spacing w:before="240" w:after="0" w:line="240" w:lineRule="auto"/>
        <w:jc w:val="both"/>
        <w:rPr>
          <w:rFonts w:ascii="Palatino Linotype" w:hAnsi="Palatino Linotype" w:cs="Cambria"/>
          <w:bCs/>
          <w:color w:val="000000"/>
          <w:sz w:val="24"/>
          <w:szCs w:val="24"/>
        </w:rPr>
      </w:pPr>
      <w:r>
        <w:rPr>
          <w:rFonts w:ascii="Palatino Linotype" w:hAnsi="Palatino Linotype"/>
          <w:b/>
          <w:sz w:val="24"/>
          <w:szCs w:val="24"/>
        </w:rPr>
        <w:t>2.6</w:t>
      </w:r>
      <w:r w:rsidR="00507627">
        <w:rPr>
          <w:rFonts w:ascii="Palatino Linotype" w:hAnsi="Palatino Linotype"/>
          <w:b/>
          <w:sz w:val="24"/>
          <w:szCs w:val="24"/>
        </w:rPr>
        <w:t xml:space="preserve"> </w:t>
      </w:r>
      <w:r w:rsidRPr="008B59E7">
        <w:rPr>
          <w:rFonts w:ascii="Palatino Linotype" w:hAnsi="Palatino Linotype"/>
          <w:sz w:val="24"/>
          <w:szCs w:val="24"/>
        </w:rPr>
        <w:t xml:space="preserve">Con </w:t>
      </w:r>
      <w:r w:rsidRPr="008B59E7">
        <w:rPr>
          <w:rFonts w:ascii="Palatino Linotype" w:hAnsi="Palatino Linotype" w:cs="Times New Roman"/>
          <w:bCs/>
          <w:sz w:val="24"/>
          <w:szCs w:val="24"/>
        </w:rPr>
        <w:t xml:space="preserve">Oficio Nro. GADDMQ-PM-2024-1518-O de 4 de abril de 2024 </w:t>
      </w:r>
      <w:r w:rsidRPr="008B59E7">
        <w:rPr>
          <w:rFonts w:ascii="Palatino Linotype" w:hAnsi="Palatino Linotype" w:cs="Cambria"/>
          <w:bCs/>
          <w:color w:val="000000"/>
          <w:sz w:val="24"/>
          <w:szCs w:val="24"/>
        </w:rPr>
        <w:t xml:space="preserve">suscrito por la Abg. Ana Reyna Gallegos, Subprocuradora de Uso y Ocupación de Suelo de la Procuraduría Metropolitana, señala: </w:t>
      </w:r>
    </w:p>
    <w:p w:rsidR="008B59E7" w:rsidRPr="008B59E7" w:rsidRDefault="008B59E7" w:rsidP="008B59E7">
      <w:pPr>
        <w:autoSpaceDE w:val="0"/>
        <w:autoSpaceDN w:val="0"/>
        <w:adjustRightInd w:val="0"/>
        <w:spacing w:before="240" w:after="0" w:line="240" w:lineRule="auto"/>
        <w:jc w:val="both"/>
        <w:rPr>
          <w:rFonts w:ascii="Palatino Linotype" w:hAnsi="Palatino Linotype" w:cs="Times-Roman"/>
          <w:i/>
          <w:sz w:val="24"/>
          <w:szCs w:val="24"/>
        </w:rPr>
      </w:pPr>
      <w:r w:rsidRPr="008B59E7">
        <w:rPr>
          <w:rFonts w:ascii="Palatino Linotype" w:hAnsi="Palatino Linotype" w:cs="Cambria"/>
          <w:bCs/>
          <w:i/>
          <w:color w:val="000000"/>
          <w:sz w:val="24"/>
          <w:szCs w:val="24"/>
        </w:rPr>
        <w:t>“</w:t>
      </w:r>
      <w:r>
        <w:rPr>
          <w:rFonts w:ascii="Palatino Linotype" w:hAnsi="Palatino Linotype" w:cs="Cambria"/>
          <w:bCs/>
          <w:i/>
          <w:color w:val="000000"/>
          <w:sz w:val="24"/>
          <w:szCs w:val="24"/>
        </w:rPr>
        <w:t xml:space="preserve">(…) </w:t>
      </w:r>
      <w:r w:rsidRPr="008B59E7">
        <w:rPr>
          <w:rFonts w:ascii="Palatino Linotype" w:hAnsi="Palatino Linotype" w:cs="Times-Roman"/>
          <w:i/>
          <w:sz w:val="24"/>
          <w:szCs w:val="24"/>
        </w:rPr>
        <w:t>Haciendo referencia al Oficio No. GADDMQ-SGCM-2024-0832-O de 22 de marzo de 2024, la presente subprocuraduría, mediante el Oficio Nro. GADDMQ-PM-2024-1146-O de 14 de marzo de 2024, adjuntó el Informe Jurídico No Vinculante No. 014-2024 de 14 de marzo de 2024. Este informe, de acuerdo con lo dispuesto en el artículo 67.57 del Código Municipal, aborda la competencia, los requisitos que debe contener el proyecto de ordenanza, el análisis jurídico pertinente, observaciones al proyecto y el pronunciamiento correspondiente.</w:t>
      </w:r>
    </w:p>
    <w:p w:rsidR="008B59E7" w:rsidRPr="008B59E7" w:rsidRDefault="008B59E7" w:rsidP="008B59E7">
      <w:pPr>
        <w:autoSpaceDE w:val="0"/>
        <w:autoSpaceDN w:val="0"/>
        <w:adjustRightInd w:val="0"/>
        <w:spacing w:before="240" w:after="0" w:line="240" w:lineRule="auto"/>
        <w:jc w:val="both"/>
        <w:rPr>
          <w:rFonts w:ascii="Palatino Linotype" w:hAnsi="Palatino Linotype" w:cs="Times-Roman"/>
          <w:i/>
          <w:sz w:val="24"/>
          <w:szCs w:val="24"/>
        </w:rPr>
      </w:pPr>
      <w:r w:rsidRPr="008B59E7">
        <w:rPr>
          <w:rFonts w:ascii="Palatino Linotype" w:hAnsi="Palatino Linotype" w:cs="Times-Roman"/>
          <w:i/>
          <w:sz w:val="24"/>
          <w:szCs w:val="24"/>
        </w:rPr>
        <w:t xml:space="preserve">Considerando lo expuesto y habiendo emitido un pronunciamiento en relación con la </w:t>
      </w:r>
      <w:r w:rsidRPr="008B59E7">
        <w:rPr>
          <w:rFonts w:ascii="Palatino Linotype" w:hAnsi="Palatino Linotype" w:cs="Times-Italic"/>
          <w:i/>
          <w:iCs/>
          <w:sz w:val="24"/>
          <w:szCs w:val="24"/>
        </w:rPr>
        <w:t>"ORDENANZA METROPOLITANA REFORMATORIA DEL LIBRO IV.6, TÍTULO IV,</w:t>
      </w:r>
      <w:r w:rsidRPr="008B59E7">
        <w:rPr>
          <w:rFonts w:ascii="Palatino Linotype" w:hAnsi="Palatino Linotype" w:cs="Times-Roman"/>
          <w:i/>
          <w:sz w:val="24"/>
          <w:szCs w:val="24"/>
        </w:rPr>
        <w:t xml:space="preserve"> </w:t>
      </w:r>
      <w:r w:rsidRPr="008B59E7">
        <w:rPr>
          <w:rFonts w:ascii="Palatino Linotype" w:hAnsi="Palatino Linotype" w:cs="Times-Italic"/>
          <w:i/>
          <w:iCs/>
          <w:sz w:val="24"/>
          <w:szCs w:val="24"/>
        </w:rPr>
        <w:t>CAPÍTULO I, RESPECTO DEL PROCEDIMIENTO DE DECLARATORIA Y</w:t>
      </w:r>
      <w:r w:rsidRPr="008B59E7">
        <w:rPr>
          <w:rFonts w:ascii="Palatino Linotype" w:hAnsi="Palatino Linotype" w:cs="Times-Roman"/>
          <w:i/>
          <w:sz w:val="24"/>
          <w:szCs w:val="24"/>
        </w:rPr>
        <w:t xml:space="preserve"> </w:t>
      </w:r>
      <w:r w:rsidRPr="008B59E7">
        <w:rPr>
          <w:rFonts w:ascii="Palatino Linotype" w:hAnsi="Palatino Linotype" w:cs="Times-Italic"/>
          <w:i/>
          <w:iCs/>
          <w:sz w:val="24"/>
          <w:szCs w:val="24"/>
        </w:rPr>
        <w:t>REGULARIZACIÓN DE BIENES URBANOS MOSTRENCOS”</w:t>
      </w:r>
      <w:r w:rsidRPr="008B59E7">
        <w:rPr>
          <w:rFonts w:ascii="Palatino Linotype" w:hAnsi="Palatino Linotype" w:cs="Times-Roman"/>
          <w:i/>
          <w:sz w:val="24"/>
          <w:szCs w:val="24"/>
        </w:rPr>
        <w:t>, mismo que se adjunta al presente oficio, nos manifestamos disponibles y abiertos a participar en mesas de trabajo o cualquier instancia que permita un diálogo constructivo respecto a la mencionada ordenanza.</w:t>
      </w:r>
      <w:r w:rsidRPr="008B59E7">
        <w:rPr>
          <w:rFonts w:ascii="Palatino Linotype" w:hAnsi="Palatino Linotype" w:cs="Cambria"/>
          <w:bCs/>
          <w:i/>
          <w:color w:val="000000"/>
          <w:sz w:val="24"/>
          <w:szCs w:val="24"/>
        </w:rPr>
        <w:t>”</w:t>
      </w:r>
    </w:p>
    <w:p w:rsidR="008B59E7" w:rsidRDefault="008B59E7" w:rsidP="0046256F">
      <w:pPr>
        <w:autoSpaceDE w:val="0"/>
        <w:autoSpaceDN w:val="0"/>
        <w:adjustRightInd w:val="0"/>
        <w:spacing w:before="240" w:after="0" w:line="240" w:lineRule="auto"/>
        <w:jc w:val="both"/>
        <w:rPr>
          <w:rFonts w:ascii="Times-Roman" w:hAnsi="Times-Roman" w:cs="Times-Roman"/>
        </w:rPr>
      </w:pPr>
      <w:r>
        <w:rPr>
          <w:rFonts w:ascii="Palatino Linotype" w:hAnsi="Palatino Linotype"/>
          <w:b/>
          <w:sz w:val="24"/>
          <w:szCs w:val="24"/>
        </w:rPr>
        <w:t xml:space="preserve">2.7 </w:t>
      </w:r>
      <w:r w:rsidR="00507627" w:rsidRPr="00507627">
        <w:rPr>
          <w:rFonts w:ascii="Palatino Linotype" w:hAnsi="Palatino Linotype"/>
          <w:sz w:val="24"/>
          <w:szCs w:val="24"/>
        </w:rPr>
        <w:t xml:space="preserve">Mediante </w:t>
      </w:r>
      <w:r w:rsidR="00507627" w:rsidRPr="00507627">
        <w:rPr>
          <w:rFonts w:ascii="Palatino Linotype" w:hAnsi="Palatino Linotype" w:cs="Times New Roman"/>
          <w:bCs/>
          <w:sz w:val="24"/>
          <w:szCs w:val="24"/>
        </w:rPr>
        <w:t xml:space="preserve">Oficio Nro. GADDMQ-DMGBI-2024-1718-O </w:t>
      </w:r>
      <w:r w:rsidR="00783E15">
        <w:rPr>
          <w:rFonts w:ascii="Palatino Linotype" w:hAnsi="Palatino Linotype" w:cs="Times New Roman"/>
          <w:bCs/>
          <w:sz w:val="24"/>
          <w:szCs w:val="24"/>
        </w:rPr>
        <w:t xml:space="preserve">de 5 de abril de 2024, </w:t>
      </w:r>
      <w:r w:rsidR="00507627" w:rsidRPr="00507627">
        <w:rPr>
          <w:rFonts w:ascii="Palatino Linotype" w:hAnsi="Palatino Linotype" w:cs="Times New Roman"/>
          <w:bCs/>
          <w:sz w:val="24"/>
          <w:szCs w:val="24"/>
        </w:rPr>
        <w:t xml:space="preserve">la Dirección Metropolitana de Gestión de Bienes Inmuebles remite </w:t>
      </w:r>
      <w:r w:rsidR="00507627" w:rsidRPr="00507627">
        <w:rPr>
          <w:rFonts w:ascii="Palatino Linotype" w:hAnsi="Palatino Linotype" w:cs="Times-Roman"/>
          <w:sz w:val="24"/>
          <w:szCs w:val="24"/>
        </w:rPr>
        <w:t xml:space="preserve">informe sobre </w:t>
      </w:r>
      <w:r w:rsidR="00507627" w:rsidRPr="00507627">
        <w:rPr>
          <w:rFonts w:ascii="Palatino Linotype" w:hAnsi="Palatino Linotype" w:cs="Times-Roman"/>
          <w:sz w:val="24"/>
          <w:szCs w:val="24"/>
        </w:rPr>
        <w:lastRenderedPageBreak/>
        <w:t xml:space="preserve">el proyecto de Ordenanza Metropolitana Reformatoria Del </w:t>
      </w:r>
      <w:r w:rsidR="00507627">
        <w:rPr>
          <w:rFonts w:ascii="Palatino Linotype" w:hAnsi="Palatino Linotype" w:cs="Times-Roman"/>
          <w:sz w:val="24"/>
          <w:szCs w:val="24"/>
        </w:rPr>
        <w:t>Libro IV.6, Título IV, Capí</w:t>
      </w:r>
      <w:r w:rsidR="00507627" w:rsidRPr="00507627">
        <w:rPr>
          <w:rFonts w:ascii="Palatino Linotype" w:hAnsi="Palatino Linotype" w:cs="Times-Roman"/>
          <w:sz w:val="24"/>
          <w:szCs w:val="24"/>
        </w:rPr>
        <w:t>tulo I, Respecto Del Procedimiento de Declaratoria y Regularización de Bienes Urbanos Mostrencos</w:t>
      </w:r>
      <w:r>
        <w:rPr>
          <w:rFonts w:ascii="Times-Roman" w:hAnsi="Times-Roman" w:cs="Times-Roman"/>
        </w:rPr>
        <w:t>.</w:t>
      </w:r>
    </w:p>
    <w:p w:rsidR="00DB005E" w:rsidRPr="0046256F" w:rsidRDefault="008B59E7" w:rsidP="0046256F">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b/>
          <w:sz w:val="24"/>
          <w:szCs w:val="24"/>
        </w:rPr>
        <w:t xml:space="preserve">2.8 </w:t>
      </w:r>
      <w:r w:rsidR="008A1ABC" w:rsidRPr="008B59E7">
        <w:rPr>
          <w:rFonts w:ascii="Palatino Linotype" w:hAnsi="Palatino Linotype"/>
          <w:sz w:val="24"/>
          <w:szCs w:val="24"/>
        </w:rPr>
        <w:t xml:space="preserve">Mediante </w:t>
      </w:r>
      <w:r w:rsidR="008A1ABC" w:rsidRPr="008B59E7">
        <w:rPr>
          <w:rFonts w:ascii="Palatino Linotype" w:hAnsi="Palatino Linotype" w:cs="Times New Roman"/>
          <w:bCs/>
          <w:sz w:val="24"/>
          <w:szCs w:val="24"/>
        </w:rPr>
        <w:t>Memorando Nro. GADDMQ-SGCTGYP-2024-0685-M</w:t>
      </w:r>
      <w:r w:rsidR="004A0D86" w:rsidRPr="008B59E7">
        <w:rPr>
          <w:rFonts w:ascii="Palatino Linotype" w:hAnsi="Palatino Linotype" w:cs="Times New Roman"/>
          <w:bCs/>
          <w:sz w:val="24"/>
          <w:szCs w:val="24"/>
        </w:rPr>
        <w:t xml:space="preserve"> de 5 de abril de 2024</w:t>
      </w:r>
      <w:r w:rsidR="008A1ABC" w:rsidRPr="008B59E7">
        <w:rPr>
          <w:rFonts w:ascii="Palatino Linotype" w:hAnsi="Palatino Linotype" w:cs="Times New Roman"/>
          <w:bCs/>
          <w:sz w:val="24"/>
          <w:szCs w:val="24"/>
        </w:rPr>
        <w:t xml:space="preserve"> la </w:t>
      </w:r>
      <w:proofErr w:type="spellStart"/>
      <w:r w:rsidR="008A1ABC" w:rsidRPr="008B59E7">
        <w:rPr>
          <w:rFonts w:ascii="Palatino Linotype" w:hAnsi="Palatino Linotype" w:cs="Times-Roman"/>
          <w:sz w:val="24"/>
          <w:szCs w:val="24"/>
        </w:rPr>
        <w:t>Mgs</w:t>
      </w:r>
      <w:proofErr w:type="spellEnd"/>
      <w:r w:rsidR="008A1ABC" w:rsidRPr="008B59E7">
        <w:rPr>
          <w:rFonts w:ascii="Palatino Linotype" w:hAnsi="Palatino Linotype" w:cs="Times-Roman"/>
          <w:sz w:val="24"/>
          <w:szCs w:val="24"/>
        </w:rPr>
        <w:t xml:space="preserve">. Carina Isabel </w:t>
      </w:r>
      <w:proofErr w:type="spellStart"/>
      <w:r w:rsidR="008A1ABC" w:rsidRPr="008B59E7">
        <w:rPr>
          <w:rFonts w:ascii="Palatino Linotype" w:hAnsi="Palatino Linotype" w:cs="Times-Roman"/>
          <w:sz w:val="24"/>
          <w:szCs w:val="24"/>
        </w:rPr>
        <w:t>Vance</w:t>
      </w:r>
      <w:proofErr w:type="spellEnd"/>
      <w:r w:rsidR="008A1ABC" w:rsidRPr="008B59E7">
        <w:rPr>
          <w:rFonts w:ascii="Palatino Linotype" w:hAnsi="Palatino Linotype" w:cs="Times-Roman"/>
          <w:sz w:val="24"/>
          <w:szCs w:val="24"/>
        </w:rPr>
        <w:t xml:space="preserve"> </w:t>
      </w:r>
      <w:proofErr w:type="spellStart"/>
      <w:r w:rsidR="008A1ABC" w:rsidRPr="008B59E7">
        <w:rPr>
          <w:rFonts w:ascii="Palatino Linotype" w:hAnsi="Palatino Linotype" w:cs="Times-Roman"/>
          <w:sz w:val="24"/>
          <w:szCs w:val="24"/>
        </w:rPr>
        <w:t>Mafla</w:t>
      </w:r>
      <w:proofErr w:type="spellEnd"/>
      <w:r w:rsidR="008A1ABC" w:rsidRPr="008B59E7">
        <w:rPr>
          <w:rFonts w:ascii="Palatino Linotype" w:hAnsi="Palatino Linotype" w:cs="Times-Roman"/>
          <w:sz w:val="24"/>
          <w:szCs w:val="24"/>
        </w:rPr>
        <w:t>, Secretaria de Coordinación Territorial,</w:t>
      </w:r>
      <w:r w:rsidR="004A0D86" w:rsidRPr="008B59E7">
        <w:rPr>
          <w:rFonts w:ascii="Palatino Linotype" w:hAnsi="Palatino Linotype" w:cs="Times-Roman"/>
          <w:sz w:val="24"/>
          <w:szCs w:val="24"/>
        </w:rPr>
        <w:t xml:space="preserve"> Gobernabilidad y Participación; señala</w:t>
      </w:r>
      <w:r w:rsidR="004A0D86" w:rsidRPr="0046256F">
        <w:rPr>
          <w:rFonts w:ascii="Palatino Linotype" w:hAnsi="Palatino Linotype" w:cs="Times-Roman"/>
          <w:sz w:val="24"/>
          <w:szCs w:val="24"/>
        </w:rPr>
        <w:t>:</w:t>
      </w:r>
    </w:p>
    <w:p w:rsidR="00A3527B" w:rsidRDefault="004A0D86" w:rsidP="00A3527B">
      <w:pPr>
        <w:autoSpaceDE w:val="0"/>
        <w:autoSpaceDN w:val="0"/>
        <w:adjustRightInd w:val="0"/>
        <w:spacing w:before="240" w:after="0" w:line="240" w:lineRule="auto"/>
        <w:jc w:val="both"/>
        <w:rPr>
          <w:rFonts w:ascii="Palatino Linotype" w:hAnsi="Palatino Linotype" w:cs="Times-Roman"/>
          <w:i/>
          <w:sz w:val="24"/>
          <w:szCs w:val="24"/>
        </w:rPr>
      </w:pPr>
      <w:r w:rsidRPr="0059593F">
        <w:rPr>
          <w:rFonts w:ascii="Palatino Linotype" w:hAnsi="Palatino Linotype" w:cs="Times-Roman"/>
          <w:i/>
          <w:sz w:val="24"/>
          <w:szCs w:val="24"/>
        </w:rPr>
        <w:t>“(…) En virtud de lo expuesto, y en cumplimiento de la resolución de la Comisión de Propiedad y Espacio Público, me permito remitir las obs</w:t>
      </w:r>
      <w:r w:rsidR="0046256F" w:rsidRPr="0059593F">
        <w:rPr>
          <w:rFonts w:ascii="Palatino Linotype" w:hAnsi="Palatino Linotype" w:cs="Times-Roman"/>
          <w:i/>
          <w:sz w:val="24"/>
          <w:szCs w:val="24"/>
        </w:rPr>
        <w:t xml:space="preserve">ervaciones técnicas y jurídicas </w:t>
      </w:r>
      <w:r w:rsidRPr="0059593F">
        <w:rPr>
          <w:rFonts w:ascii="Palatino Linotype" w:hAnsi="Palatino Linotype" w:cs="Times-Roman"/>
          <w:i/>
          <w:sz w:val="24"/>
          <w:szCs w:val="24"/>
        </w:rPr>
        <w:t>emitidas por las Administraciones Zonales y por la Co</w:t>
      </w:r>
      <w:r w:rsidR="0046256F" w:rsidRPr="0059593F">
        <w:rPr>
          <w:rFonts w:ascii="Palatino Linotype" w:hAnsi="Palatino Linotype" w:cs="Times-Roman"/>
          <w:i/>
          <w:sz w:val="24"/>
          <w:szCs w:val="24"/>
        </w:rPr>
        <w:t xml:space="preserve">ordinación de Asesoría Legal de </w:t>
      </w:r>
      <w:r w:rsidRPr="0059593F">
        <w:rPr>
          <w:rFonts w:ascii="Palatino Linotype" w:hAnsi="Palatino Linotype" w:cs="Times-Roman"/>
          <w:i/>
          <w:sz w:val="24"/>
          <w:szCs w:val="24"/>
        </w:rPr>
        <w:t>esta Secretaría, respecto del referido proyecto de ordenanza.”</w:t>
      </w:r>
    </w:p>
    <w:p w:rsidR="00A3527B" w:rsidRDefault="00A3527B" w:rsidP="00A3527B">
      <w:pPr>
        <w:autoSpaceDE w:val="0"/>
        <w:autoSpaceDN w:val="0"/>
        <w:adjustRightInd w:val="0"/>
        <w:spacing w:before="240" w:after="0" w:line="240" w:lineRule="auto"/>
        <w:jc w:val="both"/>
        <w:rPr>
          <w:rFonts w:ascii="Palatino Linotype" w:hAnsi="Palatino Linotype" w:cs="Times-Roman"/>
          <w:sz w:val="24"/>
          <w:szCs w:val="24"/>
        </w:rPr>
      </w:pPr>
      <w:r w:rsidRPr="00A3527B">
        <w:rPr>
          <w:rFonts w:ascii="Palatino Linotype" w:hAnsi="Palatino Linotype"/>
          <w:b/>
          <w:sz w:val="24"/>
          <w:szCs w:val="24"/>
        </w:rPr>
        <w:t>2.9</w:t>
      </w:r>
      <w:r w:rsidR="008804AA" w:rsidRPr="00A3527B">
        <w:rPr>
          <w:rFonts w:ascii="Palatino Linotype" w:hAnsi="Palatino Linotype"/>
          <w:b/>
          <w:sz w:val="24"/>
          <w:szCs w:val="24"/>
        </w:rPr>
        <w:t xml:space="preserve"> </w:t>
      </w:r>
      <w:r w:rsidR="008B59E7" w:rsidRPr="00A3527B">
        <w:rPr>
          <w:rFonts w:ascii="Palatino Linotype" w:hAnsi="Palatino Linotype"/>
          <w:sz w:val="24"/>
          <w:szCs w:val="24"/>
        </w:rPr>
        <w:t xml:space="preserve">Mediante </w:t>
      </w:r>
      <w:r w:rsidR="008B59E7" w:rsidRPr="00A3527B">
        <w:rPr>
          <w:rFonts w:ascii="Palatino Linotype" w:hAnsi="Palatino Linotype" w:cs="Times New Roman"/>
          <w:bCs/>
          <w:sz w:val="24"/>
          <w:szCs w:val="24"/>
        </w:rPr>
        <w:t xml:space="preserve">oficio Nro. GADDMQ-SGCM-2024-1639-O de 5 de junio de 2024, la Secretaría General del Concejo Metropolitano, por disposición del concejal Ángel Vega, convocó </w:t>
      </w:r>
      <w:r w:rsidRPr="00A3527B">
        <w:rPr>
          <w:rFonts w:ascii="Palatino Linotype" w:hAnsi="Palatino Linotype" w:cs="Times-Roman"/>
          <w:sz w:val="24"/>
          <w:szCs w:val="24"/>
        </w:rPr>
        <w:t xml:space="preserve">a la </w:t>
      </w:r>
      <w:r w:rsidR="008B59E7" w:rsidRPr="00A3527B">
        <w:rPr>
          <w:rFonts w:ascii="Palatino Linotype" w:hAnsi="Palatino Linotype" w:cs="Times-Roman"/>
          <w:sz w:val="24"/>
          <w:szCs w:val="24"/>
        </w:rPr>
        <w:t xml:space="preserve">Mesa de Trabajo No. 016 de la Comisión </w:t>
      </w:r>
      <w:r w:rsidRPr="00A3527B">
        <w:rPr>
          <w:rFonts w:ascii="Palatino Linotype" w:hAnsi="Palatino Linotype" w:cs="Times-Roman"/>
          <w:sz w:val="24"/>
          <w:szCs w:val="24"/>
        </w:rPr>
        <w:t>de Propiedad y E</w:t>
      </w:r>
      <w:r w:rsidR="001A1C42">
        <w:rPr>
          <w:rFonts w:ascii="Palatino Linotype" w:hAnsi="Palatino Linotype" w:cs="Times-Roman"/>
          <w:sz w:val="24"/>
          <w:szCs w:val="24"/>
        </w:rPr>
        <w:t xml:space="preserve">spacio Público, para el día </w:t>
      </w:r>
      <w:r w:rsidR="008B59E7" w:rsidRPr="00A3527B">
        <w:rPr>
          <w:rFonts w:ascii="Palatino Linotype" w:hAnsi="Palatino Linotype" w:cs="Times-Bold"/>
          <w:bCs/>
          <w:sz w:val="24"/>
          <w:szCs w:val="24"/>
        </w:rPr>
        <w:t xml:space="preserve">viernes, 7 de junio de 2024, a las 10h00, </w:t>
      </w:r>
      <w:r w:rsidRPr="00A3527B">
        <w:rPr>
          <w:rFonts w:ascii="Palatino Linotype" w:hAnsi="Palatino Linotype" w:cs="Times-Roman"/>
          <w:sz w:val="24"/>
          <w:szCs w:val="24"/>
        </w:rPr>
        <w:t xml:space="preserve">con el </w:t>
      </w:r>
      <w:r w:rsidR="008B59E7" w:rsidRPr="00A3527B">
        <w:rPr>
          <w:rFonts w:ascii="Palatino Linotype" w:hAnsi="Palatino Linotype" w:cs="Times-Roman"/>
          <w:sz w:val="24"/>
          <w:szCs w:val="24"/>
        </w:rPr>
        <w:t>fin</w:t>
      </w:r>
      <w:r w:rsidRPr="00A3527B">
        <w:rPr>
          <w:rFonts w:ascii="Palatino Linotype" w:hAnsi="Palatino Linotype" w:cs="Times-Roman"/>
          <w:sz w:val="24"/>
          <w:szCs w:val="24"/>
        </w:rPr>
        <w:t xml:space="preserve"> de Elaborar el texto final del proyecto de “ORDENANZA METROPOLITANA REFORMATORIA DEL LIBRO IV.6, TÍTULO IV, CAPÍTULO I, RESPECTO DEL PROCEDIMIENTO DE DECLARATORIA Y REGULARIZACIÓN DE BIENES URBANOS MOSTRENCOS”.</w:t>
      </w:r>
    </w:p>
    <w:p w:rsidR="00AA7B32" w:rsidRPr="001A1C42" w:rsidRDefault="00AA7B32" w:rsidP="001A1C42">
      <w:pPr>
        <w:autoSpaceDE w:val="0"/>
        <w:autoSpaceDN w:val="0"/>
        <w:adjustRightInd w:val="0"/>
        <w:spacing w:before="240" w:after="0" w:line="240" w:lineRule="auto"/>
        <w:jc w:val="both"/>
        <w:rPr>
          <w:rFonts w:ascii="Palatino Linotype" w:hAnsi="Palatino Linotype" w:cs="Times New Roman"/>
          <w:bCs/>
          <w:sz w:val="24"/>
          <w:szCs w:val="24"/>
        </w:rPr>
      </w:pPr>
      <w:r w:rsidRPr="001A1C42">
        <w:rPr>
          <w:rFonts w:ascii="Palatino Linotype" w:hAnsi="Palatino Linotype" w:cs="Times-Roman"/>
          <w:b/>
          <w:sz w:val="24"/>
          <w:szCs w:val="24"/>
        </w:rPr>
        <w:t xml:space="preserve">2.10 </w:t>
      </w:r>
      <w:r w:rsidR="001A1C42" w:rsidRPr="001A1C42">
        <w:rPr>
          <w:rFonts w:ascii="Palatino Linotype" w:hAnsi="Palatino Linotype" w:cs="Times-Roman"/>
          <w:sz w:val="24"/>
          <w:szCs w:val="24"/>
        </w:rPr>
        <w:t xml:space="preserve">Con </w:t>
      </w:r>
      <w:r w:rsidR="001A1C42" w:rsidRPr="001A1C42">
        <w:rPr>
          <w:rFonts w:ascii="Palatino Linotype" w:hAnsi="Palatino Linotype" w:cs="Times New Roman"/>
          <w:bCs/>
          <w:sz w:val="24"/>
          <w:szCs w:val="24"/>
        </w:rPr>
        <w:t xml:space="preserve">Memorando Nro. GADDMQ-SHOT-DMC-2024-0716-M la Dirección metropolitana de catastros señala: </w:t>
      </w:r>
    </w:p>
    <w:p w:rsidR="001A1C42" w:rsidRDefault="001A1C42" w:rsidP="001A1C42">
      <w:pPr>
        <w:autoSpaceDE w:val="0"/>
        <w:autoSpaceDN w:val="0"/>
        <w:adjustRightInd w:val="0"/>
        <w:spacing w:before="240" w:after="0" w:line="240" w:lineRule="auto"/>
        <w:jc w:val="both"/>
        <w:rPr>
          <w:rFonts w:ascii="Palatino Linotype" w:hAnsi="Palatino Linotype" w:cs="Times New Roman"/>
          <w:bCs/>
          <w:i/>
          <w:sz w:val="24"/>
          <w:szCs w:val="24"/>
        </w:rPr>
      </w:pPr>
      <w:r w:rsidRPr="001A1C42">
        <w:rPr>
          <w:rFonts w:ascii="Palatino Linotype" w:hAnsi="Palatino Linotype" w:cs="Times New Roman"/>
          <w:bCs/>
          <w:i/>
          <w:sz w:val="24"/>
          <w:szCs w:val="24"/>
        </w:rPr>
        <w:t>“</w:t>
      </w:r>
      <w:r w:rsidRPr="001A1C42">
        <w:rPr>
          <w:rFonts w:ascii="Palatino Linotype" w:hAnsi="Palatino Linotype" w:cs="Times-Roman"/>
          <w:i/>
          <w:sz w:val="24"/>
          <w:szCs w:val="24"/>
        </w:rPr>
        <w:t>En atención a lo acordado en la sesión ordinaria, Nro. 024 de la Comisión de Propiedad y Espacio Público de 30 de mayo de 2024, se remite la matriz de observaciones al proyecto de “ORDENANZA METROPOLITANA REFORMATORIA DEL LIBRO IV.6, TÍTULO IV, CAPÍTULO I, RESPECTO DEL PROCEDIMIENTO DE DECLARATORIA Y REGULARIZACIÓN DE BIENES URBANOS MOSTRENCOS”.</w:t>
      </w:r>
      <w:r w:rsidRPr="001A1C42">
        <w:rPr>
          <w:rFonts w:ascii="Palatino Linotype" w:hAnsi="Palatino Linotype" w:cs="Times New Roman"/>
          <w:bCs/>
          <w:i/>
          <w:sz w:val="24"/>
          <w:szCs w:val="24"/>
        </w:rPr>
        <w:t>”</w:t>
      </w:r>
    </w:p>
    <w:p w:rsidR="009644C5" w:rsidRDefault="009644C5" w:rsidP="009644C5">
      <w:pPr>
        <w:spacing w:before="240" w:line="276" w:lineRule="auto"/>
        <w:jc w:val="both"/>
        <w:rPr>
          <w:rFonts w:ascii="Palatino Linotype" w:eastAsia="Times New Roman" w:hAnsi="Palatino Linotype" w:cs="Times New Roman"/>
          <w:sz w:val="24"/>
          <w:szCs w:val="24"/>
          <w:lang w:eastAsia="es-ES_tradnl"/>
        </w:rPr>
      </w:pPr>
      <w:r w:rsidRPr="009644C5">
        <w:rPr>
          <w:rFonts w:ascii="Palatino Linotype" w:hAnsi="Palatino Linotype" w:cs="Times New Roman"/>
          <w:b/>
          <w:bCs/>
          <w:sz w:val="24"/>
          <w:szCs w:val="24"/>
        </w:rPr>
        <w:t>2.11</w:t>
      </w:r>
      <w:r>
        <w:rPr>
          <w:rFonts w:ascii="Palatino Linotype" w:hAnsi="Palatino Linotype" w:cs="Times New Roman"/>
          <w:bCs/>
          <w:sz w:val="24"/>
          <w:szCs w:val="24"/>
        </w:rPr>
        <w:t xml:space="preserve"> </w:t>
      </w:r>
      <w:r>
        <w:rPr>
          <w:rFonts w:ascii="Palatino Linotype" w:eastAsia="Times New Roman" w:hAnsi="Palatino Linotype" w:cs="Times New Roman"/>
          <w:sz w:val="24"/>
          <w:szCs w:val="24"/>
          <w:lang w:eastAsia="es-ES_tradnl"/>
        </w:rPr>
        <w:t>L</w:t>
      </w:r>
      <w:r w:rsidRPr="00440773">
        <w:rPr>
          <w:rFonts w:ascii="Palatino Linotype" w:eastAsia="Times New Roman" w:hAnsi="Palatino Linotype" w:cs="Times New Roman"/>
          <w:sz w:val="24"/>
          <w:szCs w:val="24"/>
          <w:lang w:eastAsia="es-ES_tradnl"/>
        </w:rPr>
        <w:t xml:space="preserve">a Comisión </w:t>
      </w:r>
      <w:r>
        <w:rPr>
          <w:rFonts w:ascii="Palatino Linotype" w:eastAsia="Times New Roman" w:hAnsi="Palatino Linotype" w:cs="Times New Roman"/>
          <w:sz w:val="24"/>
          <w:szCs w:val="24"/>
          <w:lang w:eastAsia="es-ES_tradnl"/>
        </w:rPr>
        <w:t xml:space="preserve">de Propiedad y Espacio Público, en </w:t>
      </w:r>
      <w:r w:rsidRPr="00440773">
        <w:rPr>
          <w:rFonts w:ascii="Palatino Linotype" w:eastAsia="Times New Roman" w:hAnsi="Palatino Linotype" w:cs="Times New Roman"/>
          <w:sz w:val="24"/>
          <w:szCs w:val="24"/>
          <w:lang w:eastAsia="es-ES_tradnl"/>
        </w:rPr>
        <w:t>sesión ordinaria No. 025,</w:t>
      </w:r>
      <w:r>
        <w:rPr>
          <w:rFonts w:ascii="Palatino Linotype" w:eastAsia="Times New Roman" w:hAnsi="Palatino Linotype" w:cs="Times New Roman"/>
          <w:sz w:val="24"/>
          <w:szCs w:val="24"/>
          <w:lang w:eastAsia="es-ES_tradnl"/>
        </w:rPr>
        <w:t xml:space="preserve"> </w:t>
      </w:r>
      <w:r w:rsidRPr="00440773">
        <w:rPr>
          <w:rFonts w:ascii="Palatino Linotype" w:eastAsia="Times New Roman" w:hAnsi="Palatino Linotype" w:cs="Times New Roman"/>
          <w:sz w:val="24"/>
          <w:szCs w:val="24"/>
          <w:lang w:eastAsia="es-ES_tradnl"/>
        </w:rPr>
        <w:t>celebrada el 13 de junio de 2024</w:t>
      </w:r>
      <w:r>
        <w:rPr>
          <w:rFonts w:ascii="Palatino Linotype" w:eastAsia="Times New Roman" w:hAnsi="Palatino Linotype" w:cs="Times New Roman"/>
          <w:sz w:val="24"/>
          <w:szCs w:val="24"/>
          <w:lang w:eastAsia="es-ES_tradnl"/>
        </w:rPr>
        <w:t>,</w:t>
      </w:r>
      <w:r w:rsidRPr="00440773">
        <w:rPr>
          <w:rFonts w:ascii="Palatino Linotype" w:eastAsia="Times New Roman" w:hAnsi="Palatino Linotype" w:cs="Times New Roman"/>
          <w:sz w:val="24"/>
          <w:szCs w:val="24"/>
          <w:lang w:eastAsia="es-ES_tradnl"/>
        </w:rPr>
        <w:t xml:space="preserve"> </w:t>
      </w:r>
      <w:r>
        <w:rPr>
          <w:rFonts w:ascii="Palatino Linotype" w:eastAsia="Times New Roman" w:hAnsi="Palatino Linotype" w:cs="Times New Roman"/>
          <w:sz w:val="24"/>
          <w:szCs w:val="24"/>
          <w:lang w:eastAsia="es-ES_tradnl"/>
        </w:rPr>
        <w:t xml:space="preserve">aprobó </w:t>
      </w:r>
      <w:r w:rsidRPr="00CC3A03">
        <w:rPr>
          <w:rFonts w:ascii="Palatino Linotype" w:eastAsia="Times New Roman" w:hAnsi="Palatino Linotype" w:cs="Times New Roman"/>
          <w:sz w:val="24"/>
          <w:szCs w:val="24"/>
          <w:lang w:eastAsia="es-ES_tradnl"/>
        </w:rPr>
        <w:t>el Informe No. IC-O-CPP-2024-024 que contiene el proyecto de "ORDENANZA METROPOLITANA REFORMATORIA DEL LIBRO IV.6, TÍTULO IV, CAPÍTULO I, RESPECTO AL PROCEDIMIENTO DE DECLARATORIA Y REGULARIZACIÓN DE BIENES U</w:t>
      </w:r>
      <w:r>
        <w:rPr>
          <w:rFonts w:ascii="Palatino Linotype" w:eastAsia="Times New Roman" w:hAnsi="Palatino Linotype" w:cs="Times New Roman"/>
          <w:sz w:val="24"/>
          <w:szCs w:val="24"/>
          <w:lang w:eastAsia="es-ES_tradnl"/>
        </w:rPr>
        <w:t>RBANOS MOSTRENCOS"; y recomendó</w:t>
      </w:r>
      <w:r w:rsidRPr="00CC3A03">
        <w:rPr>
          <w:rFonts w:ascii="Palatino Linotype" w:eastAsia="Times New Roman" w:hAnsi="Palatino Linotype" w:cs="Times New Roman"/>
          <w:sz w:val="24"/>
          <w:szCs w:val="24"/>
          <w:lang w:eastAsia="es-ES_tradnl"/>
        </w:rPr>
        <w:t xml:space="preserve"> que el Pleno del Concejo Metropolitano de Quito lo conozca en primer debate.</w:t>
      </w:r>
    </w:p>
    <w:p w:rsidR="009A7650" w:rsidRPr="00F83DE8" w:rsidRDefault="009A7650" w:rsidP="00F83DE8">
      <w:pPr>
        <w:autoSpaceDE w:val="0"/>
        <w:autoSpaceDN w:val="0"/>
        <w:adjustRightInd w:val="0"/>
        <w:spacing w:after="0" w:line="240" w:lineRule="auto"/>
        <w:jc w:val="both"/>
        <w:rPr>
          <w:rFonts w:ascii="Palatino Linotype" w:hAnsi="Palatino Linotype" w:cs="Times-Roman"/>
          <w:sz w:val="24"/>
          <w:szCs w:val="24"/>
        </w:rPr>
      </w:pPr>
      <w:r w:rsidRPr="009A7650">
        <w:rPr>
          <w:rFonts w:ascii="Palatino Linotype" w:eastAsia="Times New Roman" w:hAnsi="Palatino Linotype" w:cs="Times New Roman"/>
          <w:b/>
          <w:sz w:val="24"/>
          <w:szCs w:val="24"/>
          <w:lang w:eastAsia="es-ES_tradnl"/>
        </w:rPr>
        <w:t>2.12</w:t>
      </w:r>
      <w:r w:rsidR="00887577">
        <w:rPr>
          <w:rFonts w:ascii="Palatino Linotype" w:eastAsia="Times New Roman" w:hAnsi="Palatino Linotype" w:cs="Times New Roman"/>
          <w:b/>
          <w:sz w:val="24"/>
          <w:szCs w:val="24"/>
          <w:lang w:eastAsia="es-ES_tradnl"/>
        </w:rPr>
        <w:t xml:space="preserve"> </w:t>
      </w:r>
      <w:r w:rsidR="00887577" w:rsidRPr="00F83DE8">
        <w:rPr>
          <w:rFonts w:ascii="Palatino Linotype" w:eastAsia="Times New Roman" w:hAnsi="Palatino Linotype" w:cs="Times New Roman"/>
          <w:sz w:val="24"/>
          <w:szCs w:val="24"/>
          <w:lang w:eastAsia="es-ES_tradnl"/>
        </w:rPr>
        <w:t xml:space="preserve">Mediante </w:t>
      </w:r>
      <w:r w:rsidR="00887577" w:rsidRPr="00F83DE8">
        <w:rPr>
          <w:rFonts w:ascii="Palatino Linotype" w:hAnsi="Palatino Linotype" w:cs="Times New Roman"/>
          <w:bCs/>
          <w:sz w:val="24"/>
          <w:szCs w:val="24"/>
        </w:rPr>
        <w:t>Oficio Nro. GADDMQ-SGCM-2024-1851-O</w:t>
      </w:r>
      <w:r w:rsidR="00887577" w:rsidRPr="00F83DE8">
        <w:rPr>
          <w:rFonts w:ascii="Palatino Linotype" w:hAnsi="Palatino Linotype" w:cs="Times New Roman"/>
          <w:bCs/>
          <w:sz w:val="24"/>
          <w:szCs w:val="24"/>
        </w:rPr>
        <w:t xml:space="preserve"> de 25 de junio de 2024, suscrito por el </w:t>
      </w:r>
      <w:r w:rsidR="00887577" w:rsidRPr="00F83DE8">
        <w:rPr>
          <w:rFonts w:ascii="Palatino Linotype" w:hAnsi="Palatino Linotype" w:cs="Times-Roman"/>
          <w:sz w:val="24"/>
          <w:szCs w:val="24"/>
        </w:rPr>
        <w:t xml:space="preserve">Abg. Pedro </w:t>
      </w:r>
      <w:r w:rsidR="006620EE" w:rsidRPr="00F83DE8">
        <w:rPr>
          <w:rFonts w:ascii="Palatino Linotype" w:hAnsi="Palatino Linotype" w:cs="Times-Roman"/>
          <w:sz w:val="24"/>
          <w:szCs w:val="24"/>
        </w:rPr>
        <w:t>José</w:t>
      </w:r>
      <w:r w:rsidR="00887577" w:rsidRPr="00F83DE8">
        <w:rPr>
          <w:rFonts w:ascii="Palatino Linotype" w:hAnsi="Palatino Linotype" w:cs="Times-Roman"/>
          <w:sz w:val="24"/>
          <w:szCs w:val="24"/>
        </w:rPr>
        <w:t xml:space="preserve"> Cornejo Espinoza</w:t>
      </w:r>
      <w:r w:rsidR="00887577" w:rsidRPr="00F83DE8">
        <w:rPr>
          <w:rFonts w:ascii="Palatino Linotype" w:hAnsi="Palatino Linotype" w:cs="Times-Roman"/>
          <w:sz w:val="24"/>
          <w:szCs w:val="24"/>
        </w:rPr>
        <w:t xml:space="preserve">, Prosecretario General del Concejo Metropolitano, remite para conocimiento de los miembros del Concejo Metropolitano el oficio No. </w:t>
      </w:r>
      <w:r w:rsidR="00887577" w:rsidRPr="00F83DE8">
        <w:rPr>
          <w:rFonts w:ascii="Palatino Linotype" w:hAnsi="Palatino Linotype" w:cs="Times-Roman"/>
          <w:sz w:val="24"/>
          <w:szCs w:val="24"/>
        </w:rPr>
        <w:t xml:space="preserve">GADDMQ-DC-VA-2024-0713-O, de 24 de junio de </w:t>
      </w:r>
      <w:r w:rsidR="00887577" w:rsidRPr="00F83DE8">
        <w:rPr>
          <w:rFonts w:ascii="Palatino Linotype" w:hAnsi="Palatino Linotype" w:cs="Times-Roman"/>
          <w:sz w:val="24"/>
          <w:szCs w:val="24"/>
        </w:rPr>
        <w:lastRenderedPageBreak/>
        <w:t>2024, suscrito por el señor Concejal</w:t>
      </w:r>
      <w:r w:rsidR="00887577" w:rsidRPr="00F83DE8">
        <w:rPr>
          <w:rFonts w:ascii="Palatino Linotype" w:hAnsi="Palatino Linotype" w:cs="Times-Roman"/>
          <w:sz w:val="24"/>
          <w:szCs w:val="24"/>
        </w:rPr>
        <w:t xml:space="preserve"> </w:t>
      </w:r>
      <w:r w:rsidR="00887577" w:rsidRPr="00F83DE8">
        <w:rPr>
          <w:rFonts w:ascii="Palatino Linotype" w:hAnsi="Palatino Linotype" w:cs="Times-Roman"/>
          <w:sz w:val="24"/>
          <w:szCs w:val="24"/>
        </w:rPr>
        <w:t>Ángel Vega el mismo que contie</w:t>
      </w:r>
      <w:r w:rsidR="00887577" w:rsidRPr="00F83DE8">
        <w:rPr>
          <w:rFonts w:ascii="Palatino Linotype" w:hAnsi="Palatino Linotype" w:cs="Times-Roman"/>
          <w:sz w:val="24"/>
          <w:szCs w:val="24"/>
        </w:rPr>
        <w:t>ne el Oficio Nro. MAG-DRTS-2024 -</w:t>
      </w:r>
      <w:r w:rsidR="00887577" w:rsidRPr="00F83DE8">
        <w:rPr>
          <w:rFonts w:ascii="Palatino Linotype" w:hAnsi="Palatino Linotype" w:cs="Times-Roman"/>
          <w:sz w:val="24"/>
          <w:szCs w:val="24"/>
        </w:rPr>
        <w:t xml:space="preserve">0026-OF de </w:t>
      </w:r>
      <w:r w:rsidR="00887577" w:rsidRPr="00F83DE8">
        <w:rPr>
          <w:rFonts w:ascii="Palatino Linotype" w:hAnsi="Palatino Linotype" w:cs="Times-Roman"/>
          <w:sz w:val="24"/>
          <w:szCs w:val="24"/>
        </w:rPr>
        <w:t xml:space="preserve">fecha </w:t>
      </w:r>
      <w:r w:rsidR="00887577" w:rsidRPr="00F83DE8">
        <w:rPr>
          <w:rFonts w:ascii="Palatino Linotype" w:hAnsi="Palatino Linotype" w:cs="Times-Roman"/>
          <w:sz w:val="24"/>
          <w:szCs w:val="24"/>
        </w:rPr>
        <w:t xml:space="preserve">10 de enero de 2024, suscrito por </w:t>
      </w:r>
      <w:r w:rsidR="00887577" w:rsidRPr="00F83DE8">
        <w:rPr>
          <w:rFonts w:ascii="Palatino Linotype" w:hAnsi="Palatino Linotype" w:cs="Times-Roman"/>
          <w:sz w:val="24"/>
          <w:szCs w:val="24"/>
        </w:rPr>
        <w:t xml:space="preserve">el </w:t>
      </w:r>
      <w:proofErr w:type="spellStart"/>
      <w:r w:rsidR="00887577" w:rsidRPr="00F83DE8">
        <w:rPr>
          <w:rFonts w:ascii="Palatino Linotype" w:hAnsi="Palatino Linotype" w:cs="Times-Roman"/>
          <w:sz w:val="24"/>
          <w:szCs w:val="24"/>
        </w:rPr>
        <w:t>Mgs</w:t>
      </w:r>
      <w:proofErr w:type="spellEnd"/>
      <w:r w:rsidR="00887577" w:rsidRPr="00F83DE8">
        <w:rPr>
          <w:rFonts w:ascii="Palatino Linotype" w:hAnsi="Palatino Linotype" w:cs="Times-Roman"/>
          <w:sz w:val="24"/>
          <w:szCs w:val="24"/>
        </w:rPr>
        <w:t xml:space="preserve">. Edison Fernando Reinoso </w:t>
      </w:r>
      <w:proofErr w:type="spellStart"/>
      <w:r w:rsidR="00887577" w:rsidRPr="00F83DE8">
        <w:rPr>
          <w:rFonts w:ascii="Palatino Linotype" w:hAnsi="Palatino Linotype" w:cs="Times-Roman"/>
          <w:sz w:val="24"/>
          <w:szCs w:val="24"/>
        </w:rPr>
        <w:t>Curay</w:t>
      </w:r>
      <w:proofErr w:type="spellEnd"/>
      <w:r w:rsidR="00887577" w:rsidRPr="00F83DE8">
        <w:rPr>
          <w:rFonts w:ascii="Palatino Linotype" w:hAnsi="Palatino Linotype" w:cs="Times-Roman"/>
          <w:sz w:val="24"/>
          <w:szCs w:val="24"/>
        </w:rPr>
        <w:t xml:space="preserve">, Director de </w:t>
      </w:r>
      <w:r w:rsidR="00887577" w:rsidRPr="00F83DE8">
        <w:rPr>
          <w:rFonts w:ascii="Palatino Linotype" w:hAnsi="Palatino Linotype" w:cs="Times-Roman"/>
          <w:sz w:val="24"/>
          <w:szCs w:val="24"/>
        </w:rPr>
        <w:t>Regularización de Tierras del Ministe</w:t>
      </w:r>
      <w:r w:rsidR="00887577" w:rsidRPr="00F83DE8">
        <w:rPr>
          <w:rFonts w:ascii="Palatino Linotype" w:hAnsi="Palatino Linotype" w:cs="Times-Roman"/>
          <w:sz w:val="24"/>
          <w:szCs w:val="24"/>
        </w:rPr>
        <w:t xml:space="preserve">rio de Agricultura y Ganadería, </w:t>
      </w:r>
      <w:r w:rsidR="00887577" w:rsidRPr="00F83DE8">
        <w:rPr>
          <w:rFonts w:ascii="Palatino Linotype" w:hAnsi="Palatino Linotype" w:cs="Times-Roman"/>
          <w:sz w:val="24"/>
          <w:szCs w:val="24"/>
        </w:rPr>
        <w:t>mismo que es parte</w:t>
      </w:r>
      <w:r w:rsidR="00887577" w:rsidRPr="00F83DE8">
        <w:rPr>
          <w:rFonts w:ascii="Palatino Linotype" w:hAnsi="Palatino Linotype" w:cs="Times-Roman"/>
          <w:sz w:val="24"/>
          <w:szCs w:val="24"/>
        </w:rPr>
        <w:t xml:space="preserve"> </w:t>
      </w:r>
      <w:r w:rsidR="00887577" w:rsidRPr="00F83DE8">
        <w:rPr>
          <w:rFonts w:ascii="Palatino Linotype" w:hAnsi="Palatino Linotype" w:cs="Times-Roman"/>
          <w:sz w:val="24"/>
          <w:szCs w:val="24"/>
        </w:rPr>
        <w:t>del expediente del Proy</w:t>
      </w:r>
      <w:r w:rsidR="00887577" w:rsidRPr="00F83DE8">
        <w:rPr>
          <w:rFonts w:ascii="Palatino Linotype" w:hAnsi="Palatino Linotype" w:cs="Times-Roman"/>
          <w:sz w:val="24"/>
          <w:szCs w:val="24"/>
        </w:rPr>
        <w:t xml:space="preserve">ecto de Ordenanza Metropolitana </w:t>
      </w:r>
      <w:r w:rsidR="00887577" w:rsidRPr="00F83DE8">
        <w:rPr>
          <w:rFonts w:ascii="Palatino Linotype" w:hAnsi="Palatino Linotype" w:cs="Times-Roman"/>
          <w:sz w:val="24"/>
          <w:szCs w:val="24"/>
        </w:rPr>
        <w:t xml:space="preserve">Reformatoria del LIBRO </w:t>
      </w:r>
      <w:r w:rsidR="00887577" w:rsidRPr="00F83DE8">
        <w:rPr>
          <w:rFonts w:ascii="Palatino Linotype" w:hAnsi="Palatino Linotype" w:cs="Times-Roman"/>
          <w:sz w:val="24"/>
          <w:szCs w:val="24"/>
        </w:rPr>
        <w:t xml:space="preserve">IV.6, </w:t>
      </w:r>
      <w:r w:rsidR="00887577" w:rsidRPr="00F83DE8">
        <w:rPr>
          <w:rFonts w:ascii="Palatino Linotype" w:hAnsi="Palatino Linotype" w:cs="Times-Roman"/>
          <w:sz w:val="24"/>
          <w:szCs w:val="24"/>
        </w:rPr>
        <w:t xml:space="preserve">TÍTULO IV, CAPÍTULO </w:t>
      </w:r>
      <w:r w:rsidR="00887577" w:rsidRPr="00F83DE8">
        <w:rPr>
          <w:rFonts w:ascii="Palatino Linotype" w:hAnsi="Palatino Linotype" w:cs="Times-Roman"/>
          <w:sz w:val="24"/>
          <w:szCs w:val="24"/>
        </w:rPr>
        <w:t xml:space="preserve">I, respecto al Procedimiento de Declaratoria y Regularización </w:t>
      </w:r>
      <w:r w:rsidR="00887577" w:rsidRPr="00F83DE8">
        <w:rPr>
          <w:rFonts w:ascii="Palatino Linotype" w:hAnsi="Palatino Linotype" w:cs="Times-Roman"/>
          <w:sz w:val="24"/>
          <w:szCs w:val="24"/>
        </w:rPr>
        <w:t>de Bienes Urbanos Mostrencos</w:t>
      </w:r>
      <w:r w:rsidR="00195A72" w:rsidRPr="00F83DE8">
        <w:rPr>
          <w:rFonts w:ascii="Palatino Linotype" w:hAnsi="Palatino Linotype" w:cs="Times-Roman"/>
          <w:sz w:val="24"/>
          <w:szCs w:val="24"/>
        </w:rPr>
        <w:t>.</w:t>
      </w:r>
    </w:p>
    <w:p w:rsidR="00D569F7" w:rsidRDefault="007A443E" w:rsidP="003B6456">
      <w:pPr>
        <w:autoSpaceDE w:val="0"/>
        <w:autoSpaceDN w:val="0"/>
        <w:adjustRightInd w:val="0"/>
        <w:spacing w:before="240" w:after="0" w:line="240" w:lineRule="auto"/>
        <w:jc w:val="both"/>
        <w:rPr>
          <w:rFonts w:ascii="Palatino Linotype" w:hAnsi="Palatino Linotype" w:cs="Times-Roman"/>
          <w:sz w:val="24"/>
          <w:szCs w:val="24"/>
        </w:rPr>
      </w:pPr>
      <w:r w:rsidRPr="007A443E">
        <w:rPr>
          <w:rFonts w:ascii="Palatino Linotype" w:hAnsi="Palatino Linotype" w:cs="Times-Roman"/>
          <w:b/>
          <w:sz w:val="24"/>
          <w:szCs w:val="24"/>
        </w:rPr>
        <w:t>2.13</w:t>
      </w:r>
      <w:r>
        <w:rPr>
          <w:rFonts w:ascii="Palatino Linotype" w:hAnsi="Palatino Linotype" w:cs="Times-Roman"/>
          <w:sz w:val="24"/>
          <w:szCs w:val="24"/>
        </w:rPr>
        <w:t xml:space="preserve"> </w:t>
      </w:r>
      <w:r w:rsidRPr="003B6456">
        <w:rPr>
          <w:rFonts w:ascii="Palatino Linotype" w:hAnsi="Palatino Linotype" w:cs="Times-Roman"/>
          <w:sz w:val="24"/>
          <w:szCs w:val="24"/>
        </w:rPr>
        <w:t xml:space="preserve">Con </w:t>
      </w:r>
      <w:r w:rsidRPr="003B6456">
        <w:rPr>
          <w:rFonts w:ascii="Palatino Linotype" w:hAnsi="Palatino Linotype" w:cs="Times New Roman"/>
          <w:bCs/>
          <w:sz w:val="24"/>
          <w:szCs w:val="24"/>
        </w:rPr>
        <w:t>Oficio Nro. GADDMQ-SGCM-2024-1910-O</w:t>
      </w:r>
      <w:r w:rsidRPr="003B6456">
        <w:rPr>
          <w:rFonts w:ascii="Palatino Linotype" w:hAnsi="Palatino Linotype" w:cs="Times New Roman"/>
          <w:bCs/>
          <w:sz w:val="24"/>
          <w:szCs w:val="24"/>
        </w:rPr>
        <w:t xml:space="preserve"> de 2 de julio de 2024</w:t>
      </w:r>
      <w:r w:rsidR="008041D2" w:rsidRPr="003B6456">
        <w:rPr>
          <w:rFonts w:ascii="Palatino Linotype" w:hAnsi="Palatino Linotype" w:cs="Times New Roman"/>
          <w:b/>
          <w:bCs/>
          <w:sz w:val="24"/>
          <w:szCs w:val="24"/>
        </w:rPr>
        <w:t xml:space="preserve"> </w:t>
      </w:r>
      <w:r w:rsidR="008041D2" w:rsidRPr="003B6456">
        <w:rPr>
          <w:rFonts w:ascii="Palatino Linotype" w:hAnsi="Palatino Linotype" w:cs="Times New Roman"/>
          <w:bCs/>
          <w:sz w:val="24"/>
          <w:szCs w:val="24"/>
        </w:rPr>
        <w:t xml:space="preserve">suscrito por el </w:t>
      </w:r>
      <w:r w:rsidR="008041D2" w:rsidRPr="003B6456">
        <w:rPr>
          <w:rFonts w:ascii="Palatino Linotype" w:hAnsi="Palatino Linotype" w:cs="Times-Roman"/>
          <w:sz w:val="24"/>
          <w:szCs w:val="24"/>
        </w:rPr>
        <w:t>Abg. Pedro José Cornejo Espinoza, Prosecretario General del Concejo Metropolitano, remite para conocimiento de los miembros del Concejo Metropolitano el oficio</w:t>
      </w:r>
      <w:r w:rsidRPr="003B6456">
        <w:rPr>
          <w:rFonts w:ascii="Palatino Linotype" w:hAnsi="Palatino Linotype" w:cs="Times New Roman"/>
          <w:b/>
          <w:bCs/>
          <w:sz w:val="24"/>
          <w:szCs w:val="24"/>
        </w:rPr>
        <w:t xml:space="preserve"> </w:t>
      </w:r>
      <w:r w:rsidR="003B6456" w:rsidRPr="003B6456">
        <w:rPr>
          <w:rFonts w:ascii="Palatino Linotype" w:hAnsi="Palatino Linotype" w:cs="Times-Roman"/>
          <w:sz w:val="24"/>
          <w:szCs w:val="24"/>
        </w:rPr>
        <w:t xml:space="preserve">el </w:t>
      </w:r>
      <w:r w:rsidR="003B6456" w:rsidRPr="003B6456">
        <w:rPr>
          <w:rFonts w:ascii="Palatino Linotype" w:hAnsi="Palatino Linotype" w:cs="Times-Roman"/>
          <w:sz w:val="24"/>
          <w:szCs w:val="24"/>
        </w:rPr>
        <w:t>oficio No. GADDMQ-DC-CVFA-2024-0828-O, de 2 de</w:t>
      </w:r>
      <w:r w:rsidR="003B6456" w:rsidRPr="003B6456">
        <w:rPr>
          <w:rFonts w:ascii="Palatino Linotype" w:hAnsi="Palatino Linotype" w:cs="Times-Roman"/>
          <w:sz w:val="24"/>
          <w:szCs w:val="24"/>
        </w:rPr>
        <w:t xml:space="preserve"> julio de 2024, suscrito por el </w:t>
      </w:r>
      <w:r w:rsidR="003B6456" w:rsidRPr="003B6456">
        <w:rPr>
          <w:rFonts w:ascii="Palatino Linotype" w:hAnsi="Palatino Linotype" w:cs="Times-Roman"/>
          <w:sz w:val="24"/>
          <w:szCs w:val="24"/>
        </w:rPr>
        <w:t>señor Concejal Fidel Chamba,</w:t>
      </w:r>
      <w:r w:rsidR="003B6456" w:rsidRPr="003B6456">
        <w:rPr>
          <w:rFonts w:ascii="Palatino Linotype" w:hAnsi="Palatino Linotype" w:cs="Times-Roman"/>
          <w:sz w:val="24"/>
          <w:szCs w:val="24"/>
        </w:rPr>
        <w:t xml:space="preserve"> el cual contiene observaciones Proyecto de Ordenanza </w:t>
      </w:r>
      <w:r w:rsidR="003B6456" w:rsidRPr="003B6456">
        <w:rPr>
          <w:rFonts w:ascii="Palatino Linotype" w:hAnsi="Palatino Linotype" w:cs="Times-Roman"/>
          <w:sz w:val="24"/>
          <w:szCs w:val="24"/>
        </w:rPr>
        <w:t>Metropolitana Reformatoria del LIBRO IV.6, TÍT</w:t>
      </w:r>
      <w:r w:rsidR="003B6456" w:rsidRPr="003B6456">
        <w:rPr>
          <w:rFonts w:ascii="Palatino Linotype" w:hAnsi="Palatino Linotype" w:cs="Times-Roman"/>
          <w:sz w:val="24"/>
          <w:szCs w:val="24"/>
        </w:rPr>
        <w:t xml:space="preserve">ULO IV, CAPÍTULO I, respecto al </w:t>
      </w:r>
      <w:r w:rsidR="003B6456" w:rsidRPr="003B6456">
        <w:rPr>
          <w:rFonts w:ascii="Palatino Linotype" w:hAnsi="Palatino Linotype" w:cs="Times-Roman"/>
          <w:sz w:val="24"/>
          <w:szCs w:val="24"/>
        </w:rPr>
        <w:t>Procedimiento de Declarat</w:t>
      </w:r>
      <w:r w:rsidR="003B6456" w:rsidRPr="003B6456">
        <w:rPr>
          <w:rFonts w:ascii="Palatino Linotype" w:hAnsi="Palatino Linotype" w:cs="Times-Roman"/>
          <w:sz w:val="24"/>
          <w:szCs w:val="24"/>
        </w:rPr>
        <w:t xml:space="preserve">oria y Regularización de Bienes </w:t>
      </w:r>
      <w:r w:rsidR="003B6456" w:rsidRPr="003B6456">
        <w:rPr>
          <w:rFonts w:ascii="Palatino Linotype" w:hAnsi="Palatino Linotype" w:cs="Times-Roman"/>
          <w:sz w:val="24"/>
          <w:szCs w:val="24"/>
        </w:rPr>
        <w:t>Urbanos Mostrencos.</w:t>
      </w:r>
    </w:p>
    <w:p w:rsidR="00547E2C" w:rsidRPr="003B6456" w:rsidRDefault="00547E2C" w:rsidP="00547E2C">
      <w:pPr>
        <w:autoSpaceDE w:val="0"/>
        <w:autoSpaceDN w:val="0"/>
        <w:adjustRightInd w:val="0"/>
        <w:spacing w:before="240" w:after="0" w:line="240" w:lineRule="auto"/>
        <w:jc w:val="both"/>
        <w:rPr>
          <w:rFonts w:ascii="Times-Roman" w:hAnsi="Times-Roman" w:cs="Times-Roman"/>
        </w:rPr>
      </w:pPr>
      <w:r>
        <w:rPr>
          <w:rFonts w:ascii="Palatino Linotype" w:hAnsi="Palatino Linotype" w:cs="Times-Roman"/>
          <w:sz w:val="24"/>
          <w:szCs w:val="24"/>
        </w:rPr>
        <w:t xml:space="preserve">2.14 </w:t>
      </w:r>
      <w:r w:rsidRPr="00547E2C">
        <w:rPr>
          <w:rFonts w:ascii="Palatino Linotype" w:hAnsi="Palatino Linotype" w:cs="Times-Roman"/>
          <w:sz w:val="24"/>
          <w:szCs w:val="24"/>
        </w:rPr>
        <w:t>E</w:t>
      </w:r>
      <w:r w:rsidRPr="00547E2C">
        <w:rPr>
          <w:rFonts w:ascii="Palatino Linotype" w:hAnsi="Palatino Linotype" w:cs="Times-Roman"/>
          <w:sz w:val="24"/>
          <w:szCs w:val="24"/>
        </w:rPr>
        <w:t xml:space="preserve">n la Sesión del Concejo </w:t>
      </w:r>
      <w:r w:rsidRPr="00547E2C">
        <w:rPr>
          <w:rFonts w:ascii="Palatino Linotype" w:hAnsi="Palatino Linotype" w:cs="Times-Roman"/>
          <w:sz w:val="24"/>
          <w:szCs w:val="24"/>
        </w:rPr>
        <w:t xml:space="preserve">Metropolitano de </w:t>
      </w:r>
      <w:r w:rsidRPr="00547E2C">
        <w:rPr>
          <w:rFonts w:ascii="Palatino Linotype" w:hAnsi="Palatino Linotype" w:cs="Times-Roman"/>
          <w:sz w:val="24"/>
          <w:szCs w:val="24"/>
        </w:rPr>
        <w:t>Quito, realiza</w:t>
      </w:r>
      <w:r w:rsidRPr="00547E2C">
        <w:rPr>
          <w:rFonts w:ascii="Palatino Linotype" w:hAnsi="Palatino Linotype" w:cs="Times-Roman"/>
          <w:sz w:val="24"/>
          <w:szCs w:val="24"/>
        </w:rPr>
        <w:t xml:space="preserve">da el martes 2 de julio de 2024 se conoció en primer debate el </w:t>
      </w:r>
      <w:r w:rsidRPr="00547E2C">
        <w:rPr>
          <w:rFonts w:ascii="Palatino Linotype" w:hAnsi="Palatino Linotype" w:cs="Times-Roman"/>
          <w:sz w:val="24"/>
          <w:szCs w:val="24"/>
        </w:rPr>
        <w:t>Proyecto de Ordenanza Metropolitana Reformatoria del LIBRO IV.6, TÍTULO IV, CAPÍTULO I, respecto al Procedimiento de Declaratoria y Regularización de Bienes Urbanos Mostrencos (IC-O-CPP-2024-024).</w:t>
      </w:r>
    </w:p>
    <w:p w:rsidR="00BA69FD" w:rsidRPr="005124E5" w:rsidRDefault="00E17BD1" w:rsidP="005124E5">
      <w:pPr>
        <w:autoSpaceDE w:val="0"/>
        <w:autoSpaceDN w:val="0"/>
        <w:adjustRightInd w:val="0"/>
        <w:spacing w:before="240" w:after="0" w:line="240" w:lineRule="auto"/>
        <w:jc w:val="both"/>
        <w:rPr>
          <w:rFonts w:ascii="Palatino Linotype" w:hAnsi="Palatino Linotype" w:cs="Times-Roman"/>
          <w:i/>
          <w:sz w:val="24"/>
          <w:szCs w:val="24"/>
        </w:rPr>
      </w:pPr>
      <w:r w:rsidRPr="001129C6">
        <w:rPr>
          <w:rFonts w:ascii="Palatino Linotype" w:hAnsi="Palatino Linotype" w:cs="Times-Roman"/>
          <w:b/>
          <w:sz w:val="24"/>
          <w:szCs w:val="24"/>
        </w:rPr>
        <w:t>2.14</w:t>
      </w:r>
      <w:r w:rsidRPr="001129C6">
        <w:rPr>
          <w:rFonts w:ascii="Palatino Linotype" w:hAnsi="Palatino Linotype" w:cs="Times-Roman"/>
          <w:sz w:val="24"/>
          <w:szCs w:val="24"/>
        </w:rPr>
        <w:t xml:space="preserve"> </w:t>
      </w:r>
      <w:r w:rsidRPr="005124E5">
        <w:rPr>
          <w:rFonts w:ascii="Palatino Linotype" w:hAnsi="Palatino Linotype" w:cs="Times-Roman"/>
          <w:sz w:val="24"/>
          <w:szCs w:val="24"/>
        </w:rPr>
        <w:t xml:space="preserve">Mediante </w:t>
      </w:r>
      <w:r w:rsidRPr="005124E5">
        <w:rPr>
          <w:rFonts w:ascii="Palatino Linotype" w:hAnsi="Palatino Linotype" w:cs="Times New Roman"/>
          <w:bCs/>
          <w:sz w:val="24"/>
          <w:szCs w:val="24"/>
        </w:rPr>
        <w:t>Oficio Nro. GADDMQ-SGCM-2024-1930-O</w:t>
      </w:r>
      <w:r w:rsidRPr="005124E5">
        <w:rPr>
          <w:rFonts w:ascii="Palatino Linotype" w:hAnsi="Palatino Linotype" w:cs="Times New Roman"/>
          <w:bCs/>
          <w:sz w:val="24"/>
          <w:szCs w:val="24"/>
        </w:rPr>
        <w:t xml:space="preserve"> de 5 de julio de 2024  </w:t>
      </w:r>
      <w:r w:rsidR="005124E5" w:rsidRPr="005124E5">
        <w:rPr>
          <w:rFonts w:ascii="Palatino Linotype" w:hAnsi="Palatino Linotype" w:cs="Times New Roman"/>
          <w:bCs/>
          <w:sz w:val="24"/>
          <w:szCs w:val="24"/>
        </w:rPr>
        <w:t xml:space="preserve">suscrito por el </w:t>
      </w:r>
      <w:r w:rsidR="005124E5" w:rsidRPr="005124E5">
        <w:rPr>
          <w:rFonts w:ascii="Palatino Linotype" w:hAnsi="Palatino Linotype" w:cs="Times-Roman"/>
          <w:sz w:val="24"/>
          <w:szCs w:val="24"/>
        </w:rPr>
        <w:t>Abg. Pedro José Cornejo Espinoza, Prosecretario General del Concejo Metropolitano, remite para conocimiento de</w:t>
      </w:r>
      <w:r w:rsidR="005124E5" w:rsidRPr="005124E5">
        <w:rPr>
          <w:rFonts w:ascii="Palatino Linotype" w:hAnsi="Palatino Linotype" w:cs="Times-Roman"/>
          <w:sz w:val="24"/>
          <w:szCs w:val="24"/>
        </w:rPr>
        <w:t xml:space="preserve">l concejal Ángel Vega, las observaciones </w:t>
      </w:r>
      <w:r w:rsidR="005124E5" w:rsidRPr="005124E5">
        <w:rPr>
          <w:rFonts w:ascii="Palatino Linotype" w:hAnsi="Palatino Linotype" w:cs="Times-Roman"/>
          <w:sz w:val="24"/>
          <w:szCs w:val="24"/>
        </w:rPr>
        <w:t>realizadas por las señoras y seño</w:t>
      </w:r>
      <w:r w:rsidR="005124E5" w:rsidRPr="005124E5">
        <w:rPr>
          <w:rFonts w:ascii="Palatino Linotype" w:hAnsi="Palatino Linotype" w:cs="Times-Roman"/>
          <w:sz w:val="24"/>
          <w:szCs w:val="24"/>
        </w:rPr>
        <w:t xml:space="preserve">res concejales en la Sesión del Concejo Metropolitano de </w:t>
      </w:r>
      <w:r w:rsidR="005124E5" w:rsidRPr="005124E5">
        <w:rPr>
          <w:rFonts w:ascii="Palatino Linotype" w:hAnsi="Palatino Linotype" w:cs="Times-Roman"/>
          <w:sz w:val="24"/>
          <w:szCs w:val="24"/>
        </w:rPr>
        <w:t>Quito, realizad</w:t>
      </w:r>
      <w:r w:rsidR="005124E5" w:rsidRPr="005124E5">
        <w:rPr>
          <w:rFonts w:ascii="Palatino Linotype" w:hAnsi="Palatino Linotype" w:cs="Times-Roman"/>
          <w:sz w:val="24"/>
          <w:szCs w:val="24"/>
        </w:rPr>
        <w:t xml:space="preserve">a el martes 2 de julio de 2024 dentro del </w:t>
      </w:r>
      <w:r w:rsidR="005124E5" w:rsidRPr="005124E5">
        <w:rPr>
          <w:rFonts w:ascii="Palatino Linotype" w:hAnsi="Palatino Linotype" w:cs="Times-Roman"/>
          <w:sz w:val="24"/>
          <w:szCs w:val="24"/>
        </w:rPr>
        <w:t>punto:</w:t>
      </w:r>
      <w:r w:rsidR="00D02999">
        <w:rPr>
          <w:rFonts w:ascii="Palatino Linotype" w:hAnsi="Palatino Linotype" w:cs="Times-Roman"/>
          <w:sz w:val="24"/>
          <w:szCs w:val="24"/>
        </w:rPr>
        <w:t xml:space="preserve"> </w:t>
      </w:r>
      <w:r w:rsidR="005124E5" w:rsidRPr="005124E5">
        <w:rPr>
          <w:rFonts w:ascii="Palatino Linotype" w:hAnsi="Palatino Linotype" w:cs="Times-Roman"/>
          <w:i/>
          <w:sz w:val="24"/>
          <w:szCs w:val="24"/>
        </w:rPr>
        <w:t>“</w:t>
      </w:r>
      <w:r w:rsidR="005124E5" w:rsidRPr="005124E5">
        <w:rPr>
          <w:rFonts w:ascii="Palatino Linotype" w:hAnsi="Palatino Linotype" w:cs="Times-Roman"/>
          <w:i/>
          <w:sz w:val="24"/>
          <w:szCs w:val="24"/>
        </w:rPr>
        <w:t>Primer debate del Proyecto de Ordenanza Metro</w:t>
      </w:r>
      <w:r w:rsidR="005124E5" w:rsidRPr="005124E5">
        <w:rPr>
          <w:rFonts w:ascii="Palatino Linotype" w:hAnsi="Palatino Linotype" w:cs="Times-Roman"/>
          <w:i/>
          <w:sz w:val="24"/>
          <w:szCs w:val="24"/>
        </w:rPr>
        <w:t xml:space="preserve">politana Reformatoria del LIBRO </w:t>
      </w:r>
      <w:r w:rsidR="005124E5" w:rsidRPr="005124E5">
        <w:rPr>
          <w:rFonts w:ascii="Palatino Linotype" w:hAnsi="Palatino Linotype" w:cs="Times-Roman"/>
          <w:i/>
          <w:sz w:val="24"/>
          <w:szCs w:val="24"/>
        </w:rPr>
        <w:t>IV.6, TÍTULO IV, CAPÍTULO I,</w:t>
      </w:r>
      <w:r w:rsidR="005124E5" w:rsidRPr="005124E5">
        <w:rPr>
          <w:rFonts w:ascii="Palatino Linotype" w:hAnsi="Palatino Linotype" w:cs="Times-Roman"/>
          <w:i/>
          <w:sz w:val="24"/>
          <w:szCs w:val="24"/>
        </w:rPr>
        <w:t xml:space="preserve"> respecto al Procedimiento de </w:t>
      </w:r>
      <w:r w:rsidR="005124E5" w:rsidRPr="005124E5">
        <w:rPr>
          <w:rFonts w:ascii="Palatino Linotype" w:hAnsi="Palatino Linotype" w:cs="Times-Roman"/>
          <w:i/>
          <w:sz w:val="24"/>
          <w:szCs w:val="24"/>
        </w:rPr>
        <w:t>Declaratoria y</w:t>
      </w:r>
      <w:r w:rsidR="005124E5">
        <w:rPr>
          <w:rFonts w:ascii="Palatino Linotype" w:hAnsi="Palatino Linotype" w:cs="Times-Roman"/>
          <w:i/>
          <w:sz w:val="24"/>
          <w:szCs w:val="24"/>
        </w:rPr>
        <w:t xml:space="preserve"> </w:t>
      </w:r>
      <w:r w:rsidR="005124E5" w:rsidRPr="005124E5">
        <w:rPr>
          <w:rFonts w:ascii="Palatino Linotype" w:hAnsi="Palatino Linotype" w:cs="Times-Roman"/>
          <w:i/>
          <w:sz w:val="24"/>
          <w:szCs w:val="24"/>
        </w:rPr>
        <w:t>Regularización de Bienes Urbanos Mostrencos (IC-O-CPP-2024-024).</w:t>
      </w:r>
      <w:r w:rsidR="005124E5" w:rsidRPr="005124E5">
        <w:rPr>
          <w:rFonts w:ascii="Palatino Linotype" w:hAnsi="Palatino Linotype" w:cs="Times-Roman"/>
          <w:i/>
          <w:sz w:val="24"/>
          <w:szCs w:val="24"/>
        </w:rPr>
        <w:t>”</w:t>
      </w:r>
      <w:r w:rsidR="00C64999">
        <w:rPr>
          <w:rFonts w:ascii="Palatino Linotype" w:hAnsi="Palatino Linotype" w:cs="Times-Roman"/>
          <w:i/>
          <w:sz w:val="24"/>
          <w:szCs w:val="24"/>
        </w:rPr>
        <w:t>.</w:t>
      </w: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w:t>
      </w:r>
      <w:r w:rsidRPr="00E84803">
        <w:rPr>
          <w:rFonts w:ascii="Palatino Linotype" w:hAnsi="Palatino Linotype" w:cs="CourierNewNormal"/>
          <w:i/>
          <w:sz w:val="24"/>
          <w:szCs w:val="24"/>
        </w:rPr>
        <w:lastRenderedPageBreak/>
        <w:t>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5A057C" w:rsidRPr="001B0AD3" w:rsidRDefault="005A057C" w:rsidP="005A057C">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Fines de los gobiernos autónomos descentralizados. - Dentro de sus respectivas circunscripciones territoriales son fines de los gobiernos autónomos descentralizados: (...) e) La protección y promoción de la diversidad cultural y el respeto a sus espacios de generación e intercambio; la recuperación, preservación y desarrollo de la memoria social y el patrimonio cultural;”.</w:t>
      </w:r>
    </w:p>
    <w:p w:rsidR="006724BF" w:rsidRPr="008A4EEA" w:rsidRDefault="006724BF" w:rsidP="000E026C">
      <w:pPr>
        <w:autoSpaceDE w:val="0"/>
        <w:autoSpaceDN w:val="0"/>
        <w:adjustRightInd w:val="0"/>
        <w:spacing w:before="240"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w:t>
      </w:r>
      <w:proofErr w:type="gramStart"/>
      <w:r w:rsidRPr="008A4EEA">
        <w:rPr>
          <w:rFonts w:ascii="Palatino Linotype" w:hAnsi="Palatino Linotype" w:cs="Calibri-Bold"/>
          <w:b/>
          <w:bCs/>
          <w:i/>
          <w:color w:val="000000"/>
          <w:sz w:val="24"/>
          <w:szCs w:val="24"/>
        </w:rPr>
        <w:t>normativa.-</w:t>
      </w:r>
      <w:proofErr w:type="gramEnd"/>
      <w:r w:rsidRPr="008A4EEA">
        <w:rPr>
          <w:rFonts w:ascii="Palatino Linotype" w:hAnsi="Palatino Linotype" w:cs="Calibri-Bold"/>
          <w:b/>
          <w:bCs/>
          <w:i/>
          <w:color w:val="000000"/>
          <w:sz w:val="24"/>
          <w:szCs w:val="24"/>
        </w:rPr>
        <w:t xml:space="preserve">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lastRenderedPageBreak/>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 xml:space="preserve">Art. 87.- Atribuciones del Concejo </w:t>
      </w:r>
      <w:proofErr w:type="gramStart"/>
      <w:r w:rsidRPr="008A4EEA">
        <w:rPr>
          <w:rFonts w:ascii="Palatino Linotype" w:hAnsi="Palatino Linotype" w:cs="Calibri-Bold"/>
          <w:b/>
          <w:bCs/>
          <w:i/>
          <w:sz w:val="24"/>
          <w:szCs w:val="24"/>
        </w:rPr>
        <w:t>Metropolitano.-</w:t>
      </w:r>
      <w:proofErr w:type="gramEnd"/>
      <w:r w:rsidR="004B5A5A">
        <w:rPr>
          <w:rFonts w:ascii="Palatino Linotype" w:hAnsi="Palatino Linotype" w:cs="Calibri-Bold"/>
          <w:bCs/>
          <w:i/>
          <w:sz w:val="24"/>
          <w:szCs w:val="24"/>
        </w:rPr>
        <w:t xml:space="preserve"> </w:t>
      </w:r>
      <w:r w:rsidRPr="008A4EEA">
        <w:rPr>
          <w:rFonts w:ascii="Palatino Linotype" w:hAnsi="Palatino Linotype" w:cs="Calibri-Bold"/>
          <w:bCs/>
          <w:i/>
          <w:sz w:val="24"/>
          <w:szCs w:val="24"/>
        </w:rPr>
        <w:t xml:space="preserve">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D94526">
      <w:pPr>
        <w:autoSpaceDE w:val="0"/>
        <w:autoSpaceDN w:val="0"/>
        <w:adjustRightInd w:val="0"/>
        <w:spacing w:before="240" w:line="276" w:lineRule="auto"/>
        <w:ind w:right="-1"/>
        <w:jc w:val="both"/>
        <w:rPr>
          <w:rFonts w:ascii="Palatino Linotype" w:hAnsi="Palatino Linotype" w:cs="CourierNewNegrita"/>
          <w:i/>
          <w:sz w:val="24"/>
        </w:rPr>
      </w:pPr>
      <w:r w:rsidRPr="00690392">
        <w:rPr>
          <w:rFonts w:ascii="Palatino Linotype" w:hAnsi="Palatino Linotype" w:cs="CourierNewNegrita"/>
          <w:b/>
          <w:i/>
          <w:sz w:val="24"/>
        </w:rPr>
        <w:t>“</w:t>
      </w:r>
      <w:r w:rsidR="00690392" w:rsidRPr="00690392">
        <w:rPr>
          <w:rFonts w:ascii="Palatino Linotype" w:hAnsi="Palatino Linotype" w:cs="CourierNewNegrita"/>
          <w:b/>
          <w:i/>
          <w:sz w:val="24"/>
        </w:rPr>
        <w:t>Art. 322.- Decisiones legislativas.-</w:t>
      </w:r>
      <w:r w:rsidR="00690392" w:rsidRPr="00690392">
        <w:rPr>
          <w:rFonts w:ascii="Palatino Linotype" w:hAnsi="Palatino Linotype" w:cs="CourierNewNegrita"/>
          <w:i/>
          <w:sz w:val="24"/>
        </w:rPr>
        <w:t xml:space="preserve"> Los consejos regionales y provinciales y los concejos metropolitanos y municipales aprobarán ordenanzas regionales, provinciales, metropolitanas y municipales, respectivamente, con el voto conforme de la mayoría de sus miembros.</w:t>
      </w:r>
      <w:r w:rsidR="00690392" w:rsidRPr="00690392">
        <w:rPr>
          <w:rFonts w:ascii="Palatino Linotype" w:hAnsi="Palatino Linotype" w:cs="CourierNewNegrita"/>
          <w:i/>
          <w:sz w:val="24"/>
        </w:rPr>
        <w:br/>
      </w:r>
      <w:r w:rsidR="00690392" w:rsidRPr="00690392">
        <w:rPr>
          <w:rFonts w:ascii="Palatino Linotype" w:hAnsi="Palatino Linotype" w:cs="CourierNewNegrita"/>
          <w:i/>
          <w:sz w:val="24"/>
        </w:rPr>
        <w:b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00690392" w:rsidRPr="00690392">
        <w:rPr>
          <w:rFonts w:ascii="Palatino Linotype" w:hAnsi="Palatino Linotype" w:cs="CourierNewNegrita"/>
          <w:i/>
          <w:sz w:val="24"/>
        </w:rPr>
        <w:br/>
      </w:r>
      <w:r w:rsidR="00690392" w:rsidRPr="00690392">
        <w:rPr>
          <w:rFonts w:ascii="Palatino Linotype" w:hAnsi="Palatino Linotype" w:cs="CourierNewNegrita"/>
          <w:i/>
          <w:sz w:val="24"/>
        </w:rPr>
        <w:br/>
        <w:t>El proyecto de ordenanza será sometido a dos debates para su aprobación, realizados en días distintos.</w:t>
      </w:r>
      <w:r w:rsidR="00690392" w:rsidRPr="00690392">
        <w:rPr>
          <w:rFonts w:ascii="Palatino Linotype" w:hAnsi="Palatino Linotype" w:cs="CourierNewNegrita"/>
          <w:i/>
          <w:sz w:val="24"/>
        </w:rPr>
        <w:br/>
      </w:r>
      <w:r w:rsidR="00690392" w:rsidRPr="00690392">
        <w:rPr>
          <w:rFonts w:ascii="Palatino Linotype" w:hAnsi="Palatino Linotype" w:cs="CourierNewNegrita"/>
          <w:i/>
          <w:sz w:val="24"/>
        </w:rPr>
        <w:b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sidR="00690392" w:rsidRPr="00690392">
        <w:rPr>
          <w:rFonts w:ascii="Palatino Linotype" w:hAnsi="Palatino Linotype" w:cs="CourierNewNegrita"/>
          <w:i/>
          <w:sz w:val="24"/>
        </w:rPr>
        <w:br/>
      </w:r>
      <w:r w:rsidR="00690392" w:rsidRPr="00690392">
        <w:rPr>
          <w:rFonts w:ascii="Palatino Linotype" w:hAnsi="Palatino Linotype" w:cs="CourierNewNegrita"/>
          <w:i/>
          <w:sz w:val="24"/>
        </w:rPr>
        <w:b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690392">
        <w:rPr>
          <w:rFonts w:ascii="Palatino Linotype" w:hAnsi="Palatino Linotype" w:cs="CourierNewNegrita"/>
          <w:i/>
          <w:sz w:val="24"/>
        </w:rPr>
        <w:t>”</w:t>
      </w:r>
    </w:p>
    <w:p w:rsidR="00AA336E" w:rsidRPr="00E84803" w:rsidRDefault="00FF7354"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Pr>
          <w:rFonts w:ascii="Palatino Linotype" w:hAnsi="Palatino Linotype" w:cs="CourierNewNormal"/>
          <w:b/>
          <w:sz w:val="24"/>
        </w:rPr>
        <w:t xml:space="preserve">El </w:t>
      </w:r>
      <w:r w:rsidR="00DB080E" w:rsidRPr="00E84803">
        <w:rPr>
          <w:rFonts w:ascii="Palatino Linotype" w:hAnsi="Palatino Linotype" w:cs="CourierNewNormal"/>
          <w:b/>
          <w:sz w:val="24"/>
        </w:rPr>
        <w:t>Código Municipal para el Distrito Metropolitano de Quito señala</w:t>
      </w:r>
      <w:r w:rsidR="00AA336E" w:rsidRPr="00E84803">
        <w:rPr>
          <w:rFonts w:ascii="Palatino Linotype" w:hAnsi="Palatino Linotype" w:cs="CourierNewNormal"/>
          <w:b/>
          <w:i/>
          <w:sz w:val="24"/>
        </w:rPr>
        <w:t>:</w:t>
      </w:r>
    </w:p>
    <w:p w:rsidR="00FF7354" w:rsidRPr="00E84803" w:rsidRDefault="00FF7354" w:rsidP="00FF7354">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 xml:space="preserve">Las comisiones del Concejo Metropolitano son entes asesores del Cuerpo Edilicio, </w:t>
      </w:r>
      <w:r w:rsidRPr="00E84803">
        <w:rPr>
          <w:rFonts w:ascii="Palatino Linotype" w:hAnsi="Palatino Linotype" w:cs="CourierNewNormal"/>
          <w:i/>
          <w:sz w:val="24"/>
        </w:rPr>
        <w:lastRenderedPageBreak/>
        <w:t>conformados por concejalas y concejales metropolitanos, cuya principal función consiste en emitir informes para resolución del Concejo Metropolitano sobre los temas puestos en su conocimiento.”</w:t>
      </w:r>
    </w:p>
    <w:p w:rsidR="00DB080E" w:rsidRPr="00E84803" w:rsidRDefault="00D02999"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Pr>
          <w:rFonts w:ascii="Palatino Linotype" w:hAnsi="Palatino Linotype" w:cs="CourierNewNormal"/>
          <w:b/>
          <w:i/>
          <w:sz w:val="24"/>
        </w:rPr>
        <w:t>“</w:t>
      </w:r>
      <w:r w:rsidR="00DB080E" w:rsidRPr="00E84803">
        <w:rPr>
          <w:rFonts w:ascii="Palatino Linotype" w:hAnsi="Palatino Linotype" w:cs="CourierNewNormal"/>
          <w:b/>
          <w:i/>
          <w:sz w:val="24"/>
        </w:rPr>
        <w:t xml:space="preserve">Artículo 31.- Ámbito de las comisiones. - </w:t>
      </w:r>
      <w:r w:rsidR="00DB080E"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FF7354"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 </w:t>
      </w:r>
      <w:r w:rsidR="00DB080E" w:rsidRPr="00E84803">
        <w:rPr>
          <w:rFonts w:ascii="Palatino Linotype" w:hAnsi="Palatino Linotype" w:cs="Palatino Linotype"/>
          <w:b/>
          <w:bCs/>
          <w:i/>
          <w:color w:val="000000"/>
          <w:sz w:val="24"/>
        </w:rPr>
        <w:t xml:space="preserve">“Artículo 43.- Deberes y atribuciones de las comisiones permanentes. - </w:t>
      </w:r>
      <w:r w:rsidR="00DB080E"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5317BC"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p>
    <w:p w:rsidR="00D02999" w:rsidRPr="00D02999" w:rsidRDefault="00D02999" w:rsidP="00D02999">
      <w:pPr>
        <w:pStyle w:val="Default"/>
        <w:spacing w:before="240"/>
        <w:rPr>
          <w:i/>
        </w:rPr>
      </w:pPr>
      <w:r w:rsidRPr="00D02999">
        <w:rPr>
          <w:i/>
        </w:rPr>
        <w:t>“</w:t>
      </w:r>
      <w:r w:rsidRPr="00D02999">
        <w:rPr>
          <w:b/>
          <w:bCs/>
          <w:i/>
        </w:rPr>
        <w:t xml:space="preserve">Artículo 67.65.- Primer debate en el Pleno del Concejo. - </w:t>
      </w:r>
      <w:r w:rsidRPr="00D02999">
        <w:rPr>
          <w:i/>
        </w:rPr>
        <w:t xml:space="preserve">El día de la sesión, primero intervendrá el o la ponente designada por la comisión, quien expondrá el informe por un tiempo máximo de quince minutos. </w:t>
      </w:r>
    </w:p>
    <w:p w:rsidR="00D02999" w:rsidRPr="00D02999" w:rsidRDefault="00D02999" w:rsidP="00D02999">
      <w:pPr>
        <w:autoSpaceDE w:val="0"/>
        <w:autoSpaceDN w:val="0"/>
        <w:adjustRightInd w:val="0"/>
        <w:spacing w:before="240" w:after="0" w:line="240" w:lineRule="auto"/>
        <w:rPr>
          <w:rFonts w:ascii="Palatino Linotype" w:hAnsi="Palatino Linotype" w:cs="Palatino Linotype"/>
          <w:i/>
          <w:color w:val="000000"/>
          <w:sz w:val="24"/>
          <w:szCs w:val="24"/>
        </w:rPr>
      </w:pPr>
      <w:r w:rsidRPr="00D02999">
        <w:rPr>
          <w:rFonts w:ascii="Palatino Linotype" w:hAnsi="Palatino Linotype" w:cs="Palatino Linotype"/>
          <w:i/>
          <w:color w:val="000000"/>
          <w:sz w:val="24"/>
          <w:szCs w:val="24"/>
        </w:rPr>
        <w:t xml:space="preserve">Luego de la intervención del o la ponente del informe, cada uno de los integrantes del Concejo Metropolitano podrán solicitar la palabra hasta por dos ocasiones durante un tiempo máximo de 10 minutos en la primera ocasión y de 5 minutos en la segunda. </w:t>
      </w:r>
    </w:p>
    <w:p w:rsidR="00D02999" w:rsidRPr="00D02999" w:rsidRDefault="00D02999" w:rsidP="00D02999">
      <w:pPr>
        <w:autoSpaceDE w:val="0"/>
        <w:autoSpaceDN w:val="0"/>
        <w:adjustRightInd w:val="0"/>
        <w:spacing w:before="240" w:after="0" w:line="240" w:lineRule="auto"/>
        <w:rPr>
          <w:rFonts w:ascii="Palatino Linotype" w:hAnsi="Palatino Linotype" w:cs="Palatino Linotype"/>
          <w:i/>
          <w:color w:val="000000"/>
          <w:sz w:val="24"/>
          <w:szCs w:val="24"/>
        </w:rPr>
      </w:pPr>
      <w:r w:rsidRPr="00D02999">
        <w:rPr>
          <w:rFonts w:ascii="Palatino Linotype" w:hAnsi="Palatino Linotype" w:cs="Palatino Linotype"/>
          <w:i/>
          <w:color w:val="000000"/>
          <w:sz w:val="24"/>
          <w:szCs w:val="24"/>
        </w:rPr>
        <w:t xml:space="preserve">Concluido el debate, el alcalde o la alcaldesa o quien presida la sesión declarará que el proyecto de ordenanza ha sido conocido en primer debate. </w:t>
      </w:r>
    </w:p>
    <w:p w:rsidR="00D02999" w:rsidRDefault="00D02999" w:rsidP="00D02999">
      <w:pPr>
        <w:autoSpaceDE w:val="0"/>
        <w:autoSpaceDN w:val="0"/>
        <w:adjustRightInd w:val="0"/>
        <w:spacing w:before="240" w:after="0" w:line="240" w:lineRule="auto"/>
        <w:jc w:val="both"/>
        <w:rPr>
          <w:rFonts w:ascii="Palatino Linotype" w:hAnsi="Palatino Linotype" w:cs="Palatino Linotype"/>
          <w:i/>
          <w:color w:val="000000"/>
          <w:sz w:val="24"/>
          <w:szCs w:val="24"/>
        </w:rPr>
      </w:pPr>
      <w:r w:rsidRPr="00D02999">
        <w:rPr>
          <w:rFonts w:ascii="Palatino Linotype" w:hAnsi="Palatino Linotype" w:cs="Palatino Linotype"/>
          <w:i/>
          <w:color w:val="000000"/>
          <w:sz w:val="24"/>
          <w:szCs w:val="24"/>
        </w:rPr>
        <w:lastRenderedPageBreak/>
        <w:t>El proyecto de ordenanza regresará a la comisión para la elaboración del informe de segundo debate, aun cuando no se hubiere presentado observaciones por parte de las y los concejales.”</w:t>
      </w:r>
    </w:p>
    <w:p w:rsidR="001050EC" w:rsidRPr="003C7876" w:rsidRDefault="001050EC" w:rsidP="003C7876">
      <w:pPr>
        <w:pStyle w:val="Default"/>
        <w:spacing w:before="240"/>
        <w:jc w:val="both"/>
        <w:rPr>
          <w:i/>
        </w:rPr>
      </w:pPr>
      <w:r w:rsidRPr="003C7876">
        <w:rPr>
          <w:i/>
        </w:rPr>
        <w:t>“</w:t>
      </w:r>
      <w:r w:rsidRPr="003C7876">
        <w:rPr>
          <w:b/>
          <w:bCs/>
          <w:i/>
        </w:rPr>
        <w:t xml:space="preserve">Artículo 67.69.- Elaboración del informe de segundo debate. - </w:t>
      </w:r>
      <w:r w:rsidRPr="003C7876">
        <w:rPr>
          <w:i/>
        </w:rPr>
        <w:t xml:space="preserve">Luego del primer debate ante el Pleno del Concejo Metropolitano, la Secretaría General en un plazo máximo de 4 días, remitirá a la presidencia de la comisión las observaciones realizadas durante la sesión, con identificación de sus autores. Dentro del mismo plazo, las y los concejales y la ciudadanía o sus organizaciones, podrán hacer llegar a la presidencia de la comisión, por escrito, nuevas observaciones. </w:t>
      </w:r>
    </w:p>
    <w:p w:rsidR="001050EC" w:rsidRPr="003C7876" w:rsidRDefault="001050EC" w:rsidP="003C7876">
      <w:pPr>
        <w:pStyle w:val="Default"/>
        <w:spacing w:before="240"/>
        <w:jc w:val="both"/>
        <w:rPr>
          <w:i/>
        </w:rPr>
      </w:pPr>
      <w:r w:rsidRPr="003C7876">
        <w:rPr>
          <w:i/>
        </w:rPr>
        <w:t xml:space="preserve">Las observaciones formuladas en el primer debate deberán ser procesadas por la comisión. </w:t>
      </w:r>
    </w:p>
    <w:p w:rsidR="001050EC" w:rsidRPr="003C7876" w:rsidRDefault="001050EC" w:rsidP="003C7876">
      <w:pPr>
        <w:pStyle w:val="Default"/>
        <w:spacing w:before="240"/>
        <w:jc w:val="both"/>
        <w:rPr>
          <w:i/>
        </w:rPr>
      </w:pPr>
      <w:r w:rsidRPr="003C7876">
        <w:rPr>
          <w:i/>
        </w:rPr>
        <w:t xml:space="preserve">Para el procesamiento de las observaciones del primer debate, el presidente o presidenta de la comisión, en la siguiente reunión ordinaria de la misma, incluirá este punto en el orden del día, y en la sesión podrá solicitar la conformación de mesas de trabajo para este fin. </w:t>
      </w:r>
    </w:p>
    <w:p w:rsidR="001050EC" w:rsidRPr="003C7876" w:rsidRDefault="001050EC" w:rsidP="003C7876">
      <w:pPr>
        <w:pStyle w:val="Default"/>
        <w:spacing w:before="240"/>
        <w:jc w:val="both"/>
        <w:rPr>
          <w:i/>
        </w:rPr>
      </w:pPr>
      <w:r w:rsidRPr="003C7876">
        <w:rPr>
          <w:i/>
        </w:rPr>
        <w:t xml:space="preserve">Las comisiones tendrán un plazo máximo de noventa días, contado a partir del cierre de la sesión del Pleno del Concejo, para la emisión del informe de segundo debate con sus antecedentes, conclusiones, y recomendaciones, mismos que serán puestos a consideración del Concejo Metropolitano. </w:t>
      </w:r>
    </w:p>
    <w:p w:rsidR="001050EC" w:rsidRPr="003C7876" w:rsidRDefault="001050EC" w:rsidP="003C7876">
      <w:pPr>
        <w:pStyle w:val="Default"/>
        <w:spacing w:before="240"/>
        <w:jc w:val="both"/>
        <w:rPr>
          <w:i/>
        </w:rPr>
      </w:pPr>
      <w:r w:rsidRPr="003C7876">
        <w:rPr>
          <w:i/>
        </w:rPr>
        <w:t xml:space="preserve">Las comisiones, atendiendo a la naturaleza y complejidad del proyecto de ordenanza, podrán resolver con el voto de la mayoría simple, por una sola vez, la prórroga que consideren necesaria, para presentar el informe. </w:t>
      </w:r>
    </w:p>
    <w:p w:rsidR="001050EC" w:rsidRPr="003C7876" w:rsidRDefault="001050EC" w:rsidP="003C7876">
      <w:pPr>
        <w:autoSpaceDE w:val="0"/>
        <w:autoSpaceDN w:val="0"/>
        <w:adjustRightInd w:val="0"/>
        <w:spacing w:before="240" w:after="0" w:line="240" w:lineRule="auto"/>
        <w:jc w:val="both"/>
        <w:rPr>
          <w:rFonts w:ascii="Palatino Linotype" w:hAnsi="Palatino Linotype"/>
          <w:i/>
          <w:sz w:val="24"/>
          <w:szCs w:val="24"/>
        </w:rPr>
      </w:pPr>
      <w:r w:rsidRPr="003C7876">
        <w:rPr>
          <w:rFonts w:ascii="Palatino Linotype" w:hAnsi="Palatino Linotype"/>
          <w:i/>
          <w:sz w:val="24"/>
          <w:szCs w:val="24"/>
        </w:rPr>
        <w:t>El proyecto de informe de segundo debate será elaborado por la Secretaria o Secretario General del Concejo o su delegado o delegada y se deberá adjuntar a la convocatoria a sesión, para su correspondiente revisión, inclusión de observaciones, aprobación y suscripción.</w:t>
      </w:r>
    </w:p>
    <w:p w:rsidR="001050EC" w:rsidRPr="003C7876" w:rsidRDefault="001050EC" w:rsidP="003C7876">
      <w:pPr>
        <w:pStyle w:val="Default"/>
        <w:spacing w:before="240"/>
        <w:jc w:val="both"/>
        <w:rPr>
          <w:i/>
        </w:rPr>
      </w:pPr>
      <w:r w:rsidRPr="003C7876">
        <w:rPr>
          <w:i/>
        </w:rPr>
        <w:t xml:space="preserve">Para su aprobación, se requiere el voto de la mayoría simple de sus integrantes. </w:t>
      </w:r>
    </w:p>
    <w:p w:rsidR="001050EC" w:rsidRPr="003C7876" w:rsidRDefault="001050EC" w:rsidP="003C7876">
      <w:pPr>
        <w:pStyle w:val="Default"/>
        <w:spacing w:before="240"/>
        <w:jc w:val="both"/>
        <w:rPr>
          <w:i/>
        </w:rPr>
      </w:pPr>
      <w:r w:rsidRPr="003C7876">
        <w:rPr>
          <w:i/>
        </w:rPr>
        <w:t xml:space="preserve">Una vez aprobado el informe, será suscrito por los miembros de la comisión dentro de un término máximo de hasta tres días. </w:t>
      </w:r>
    </w:p>
    <w:p w:rsidR="00C1537F" w:rsidRPr="003C7876" w:rsidRDefault="001050EC" w:rsidP="003C7876">
      <w:pPr>
        <w:autoSpaceDE w:val="0"/>
        <w:autoSpaceDN w:val="0"/>
        <w:adjustRightInd w:val="0"/>
        <w:spacing w:before="240" w:after="0" w:line="240" w:lineRule="auto"/>
        <w:jc w:val="both"/>
        <w:rPr>
          <w:rFonts w:ascii="Palatino Linotype" w:hAnsi="Palatino Linotype" w:cs="Palatino Linotype"/>
          <w:i/>
          <w:color w:val="000000"/>
          <w:sz w:val="24"/>
          <w:szCs w:val="24"/>
        </w:rPr>
      </w:pPr>
      <w:r w:rsidRPr="003C7876">
        <w:rPr>
          <w:rFonts w:ascii="Palatino Linotype" w:hAnsi="Palatino Linotype"/>
          <w:i/>
          <w:sz w:val="24"/>
          <w:szCs w:val="24"/>
        </w:rPr>
        <w:t>Una vez aprobado el informe de segundo debate, la Secretaría General lo pondrá en conocimiento del alcalde o alcaldesa y de las y los concejales.</w:t>
      </w:r>
      <w:r w:rsidRPr="003C7876">
        <w:rPr>
          <w:rFonts w:ascii="Palatino Linotype" w:hAnsi="Palatino Linotype" w:cs="Palatino Linotype"/>
          <w:i/>
          <w:color w:val="000000"/>
          <w:sz w:val="24"/>
          <w:szCs w:val="24"/>
        </w:rPr>
        <w:t>”</w:t>
      </w:r>
    </w:p>
    <w:p w:rsidR="00EC43E1" w:rsidRDefault="00EC43E1" w:rsidP="00EC43E1">
      <w:pPr>
        <w:pStyle w:val="Prrafodelista"/>
        <w:autoSpaceDE w:val="0"/>
        <w:autoSpaceDN w:val="0"/>
        <w:adjustRightInd w:val="0"/>
        <w:spacing w:after="0" w:line="240" w:lineRule="auto"/>
        <w:jc w:val="both"/>
        <w:rPr>
          <w:rFonts w:ascii="Palatino Linotype" w:hAnsi="Palatino Linotype" w:cs="Palatino Linotype"/>
          <w:i/>
          <w:color w:val="000000"/>
          <w:sz w:val="24"/>
        </w:rPr>
      </w:pP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1A1C42" w:rsidRDefault="001A1C42" w:rsidP="001A1C42">
      <w:pPr>
        <w:pStyle w:val="Prrafodelista"/>
        <w:spacing w:before="240" w:line="276" w:lineRule="auto"/>
        <w:ind w:left="284"/>
        <w:jc w:val="both"/>
        <w:rPr>
          <w:rFonts w:ascii="Palatino Linotype" w:hAnsi="Palatino Linotype"/>
          <w:bCs/>
          <w:sz w:val="24"/>
          <w:szCs w:val="24"/>
        </w:rPr>
      </w:pPr>
    </w:p>
    <w:p w:rsidR="00440773" w:rsidRDefault="00440773" w:rsidP="001A1C42">
      <w:pPr>
        <w:pStyle w:val="Prrafodelista"/>
        <w:spacing w:before="240" w:line="276" w:lineRule="auto"/>
        <w:ind w:left="0"/>
        <w:jc w:val="both"/>
        <w:rPr>
          <w:rFonts w:ascii="Palatino Linotype" w:hAnsi="Palatino Linotype"/>
          <w:bCs/>
          <w:sz w:val="24"/>
          <w:szCs w:val="24"/>
        </w:rPr>
      </w:pPr>
      <w:r w:rsidRPr="00440773">
        <w:rPr>
          <w:rFonts w:ascii="Palatino Linotype" w:hAnsi="Palatino Linotype"/>
          <w:bCs/>
          <w:sz w:val="24"/>
          <w:szCs w:val="24"/>
        </w:rPr>
        <w:t xml:space="preserve">La propuesta de ordenanza para la regularización de bienes rurales mostrencos en el Distrito Metropolitano de Quito (DMQ) constituye una oportunidad </w:t>
      </w:r>
      <w:r w:rsidRPr="00440773">
        <w:rPr>
          <w:rFonts w:ascii="Palatino Linotype" w:hAnsi="Palatino Linotype"/>
          <w:bCs/>
          <w:sz w:val="24"/>
          <w:szCs w:val="24"/>
        </w:rPr>
        <w:lastRenderedPageBreak/>
        <w:t>singular para abordar un vacío jurídico y fomentar el desarrollo sostenible en las áreas rurales. Tras un análisis minucioso de los principios legales y las necesidades comunitarias, resulta claro que la declaración de bienes mostrencos por parte del Municipio del DMQ es una medida viable y esencial.</w:t>
      </w:r>
    </w:p>
    <w:p w:rsidR="004D5AAC" w:rsidRPr="004D5AAC" w:rsidRDefault="004D5AAC" w:rsidP="001A1C42">
      <w:pPr>
        <w:pStyle w:val="Prrafodelista"/>
        <w:spacing w:line="276" w:lineRule="auto"/>
        <w:ind w:left="0"/>
        <w:jc w:val="both"/>
        <w:rPr>
          <w:rFonts w:ascii="Palatino Linotype" w:hAnsi="Palatino Linotype"/>
          <w:bCs/>
          <w:sz w:val="24"/>
          <w:szCs w:val="24"/>
        </w:rPr>
      </w:pPr>
    </w:p>
    <w:p w:rsidR="00440773" w:rsidRDefault="00440773" w:rsidP="001A1C42">
      <w:pPr>
        <w:pStyle w:val="Prrafodelista"/>
        <w:spacing w:line="276" w:lineRule="auto"/>
        <w:ind w:left="0"/>
        <w:jc w:val="both"/>
        <w:rPr>
          <w:rFonts w:ascii="Palatino Linotype" w:hAnsi="Palatino Linotype"/>
          <w:bCs/>
          <w:sz w:val="24"/>
          <w:szCs w:val="24"/>
        </w:rPr>
      </w:pPr>
      <w:r w:rsidRPr="00440773">
        <w:rPr>
          <w:rFonts w:ascii="Palatino Linotype" w:hAnsi="Palatino Linotype"/>
          <w:bCs/>
          <w:sz w:val="24"/>
          <w:szCs w:val="24"/>
        </w:rPr>
        <w:t>El examen legal del proyecto de ordenanza implica un análisis detallado de la normativa pertinente, en particular la Ley Orgánica de Tierras Rurales y Territorios Ancestrales, así como el Código Municipal del DMQ.</w:t>
      </w:r>
    </w:p>
    <w:p w:rsidR="00440773" w:rsidRPr="00440773" w:rsidRDefault="00440773" w:rsidP="001A1C42">
      <w:pPr>
        <w:pStyle w:val="Prrafodelista"/>
        <w:spacing w:line="276" w:lineRule="auto"/>
        <w:ind w:left="0"/>
        <w:jc w:val="both"/>
        <w:rPr>
          <w:rFonts w:ascii="Palatino Linotype" w:hAnsi="Palatino Linotype"/>
          <w:bCs/>
          <w:sz w:val="24"/>
          <w:szCs w:val="24"/>
        </w:rPr>
      </w:pPr>
    </w:p>
    <w:p w:rsidR="00440773" w:rsidRDefault="00440773" w:rsidP="001A1C42">
      <w:pPr>
        <w:pStyle w:val="Prrafodelista"/>
        <w:numPr>
          <w:ilvl w:val="0"/>
          <w:numId w:val="23"/>
        </w:numPr>
        <w:spacing w:line="276" w:lineRule="auto"/>
        <w:ind w:left="0" w:firstLine="0"/>
        <w:jc w:val="both"/>
        <w:rPr>
          <w:rFonts w:ascii="Palatino Linotype" w:hAnsi="Palatino Linotype"/>
          <w:bCs/>
          <w:sz w:val="24"/>
          <w:szCs w:val="24"/>
        </w:rPr>
      </w:pPr>
      <w:r w:rsidRPr="00440773">
        <w:rPr>
          <w:rFonts w:ascii="Palatino Linotype" w:hAnsi="Palatino Linotype"/>
          <w:bCs/>
          <w:sz w:val="24"/>
          <w:szCs w:val="24"/>
        </w:rPr>
        <w:t>Ley Orgánica de Tierras Rurales y Territorios Ancestrales (LOTRTA):</w:t>
      </w:r>
    </w:p>
    <w:p w:rsidR="00440773" w:rsidRP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La LOTRTA, en su artículo 4, define la tierra rural como una extensión territorial ubicada fuera del área urbana, con aptitud para diversas actividades productivas y de conservación, bajo la rectoría de la Autoridad Agraria Nacional.</w:t>
      </w:r>
    </w:p>
    <w:p w:rsidR="00440773" w:rsidRDefault="00440773" w:rsidP="001A1C42">
      <w:pPr>
        <w:pStyle w:val="Prrafodelista"/>
        <w:spacing w:line="276" w:lineRule="auto"/>
        <w:ind w:left="0"/>
        <w:jc w:val="both"/>
        <w:rPr>
          <w:rFonts w:ascii="Palatino Linotype" w:hAnsi="Palatino Linotype"/>
          <w:bCs/>
          <w:sz w:val="24"/>
          <w:szCs w:val="24"/>
        </w:rPr>
      </w:pPr>
    </w:p>
    <w:p w:rsidR="00440773" w:rsidRDefault="00440773" w:rsidP="001A1C42">
      <w:pPr>
        <w:pStyle w:val="Prrafodelista"/>
        <w:spacing w:line="276" w:lineRule="auto"/>
        <w:ind w:left="0"/>
        <w:jc w:val="both"/>
        <w:rPr>
          <w:rFonts w:ascii="Palatino Linotype" w:hAnsi="Palatino Linotype"/>
          <w:bCs/>
          <w:sz w:val="24"/>
          <w:szCs w:val="24"/>
        </w:rPr>
      </w:pPr>
      <w:r w:rsidRPr="00440773">
        <w:rPr>
          <w:rFonts w:ascii="Palatino Linotype" w:hAnsi="Palatino Linotype"/>
          <w:bCs/>
          <w:sz w:val="24"/>
          <w:szCs w:val="24"/>
        </w:rPr>
        <w:t xml:space="preserve">Además, en el artículo 5 de la LOTRTA se define el término "agrario", dejando claro que este término abarca actividades agrícolas, pecuarias, acuícolas, silvícolas, forestales, ecoturísticas, </w:t>
      </w:r>
      <w:proofErr w:type="spellStart"/>
      <w:r w:rsidRPr="00440773">
        <w:rPr>
          <w:rFonts w:ascii="Palatino Linotype" w:hAnsi="Palatino Linotype"/>
          <w:bCs/>
          <w:sz w:val="24"/>
          <w:szCs w:val="24"/>
        </w:rPr>
        <w:t>agroturísticas</w:t>
      </w:r>
      <w:proofErr w:type="spellEnd"/>
      <w:r w:rsidRPr="00440773">
        <w:rPr>
          <w:rFonts w:ascii="Palatino Linotype" w:hAnsi="Palatino Linotype"/>
          <w:bCs/>
          <w:sz w:val="24"/>
          <w:szCs w:val="24"/>
        </w:rPr>
        <w:t xml:space="preserve"> y de conservación relacionadas con el aprovechamiento productivo de la tierra rural.</w:t>
      </w:r>
    </w:p>
    <w:p w:rsidR="004D5AAC" w:rsidRPr="00440773" w:rsidRDefault="004D5AAC" w:rsidP="001A1C42">
      <w:pPr>
        <w:pStyle w:val="Prrafodelista"/>
        <w:spacing w:line="276" w:lineRule="auto"/>
        <w:ind w:left="0"/>
        <w:jc w:val="both"/>
        <w:rPr>
          <w:rFonts w:ascii="Palatino Linotype" w:hAnsi="Palatino Linotype"/>
          <w:bCs/>
          <w:sz w:val="24"/>
          <w:szCs w:val="24"/>
        </w:rPr>
      </w:pPr>
    </w:p>
    <w:p w:rsidR="00440773" w:rsidRDefault="00440773" w:rsidP="001A1C42">
      <w:pPr>
        <w:pStyle w:val="Prrafodelista"/>
        <w:spacing w:line="276" w:lineRule="auto"/>
        <w:ind w:left="0"/>
        <w:jc w:val="both"/>
        <w:rPr>
          <w:rFonts w:ascii="Palatino Linotype" w:hAnsi="Palatino Linotype"/>
          <w:bCs/>
          <w:sz w:val="24"/>
          <w:szCs w:val="24"/>
        </w:rPr>
      </w:pPr>
      <w:r w:rsidRPr="00440773">
        <w:rPr>
          <w:rFonts w:ascii="Palatino Linotype" w:hAnsi="Palatino Linotype"/>
          <w:bCs/>
          <w:sz w:val="24"/>
          <w:szCs w:val="24"/>
        </w:rPr>
        <w:t>Por otro lado, el artículo 85 de la LOTRTA establece que la propiedad rural es la titularidad de dominio que otorga el derecho a usar, gozar y disponer de la tierra con aptitud para diversas actividades agrícolas, pecuarias, forestales, entre otras. Además, menciona que la propiedad estatal incluye las tierras rurales que forman parte del territorio nacional y carecen de dueño.</w:t>
      </w:r>
    </w:p>
    <w:p w:rsidR="004D5AAC" w:rsidRPr="00440773" w:rsidRDefault="004D5AAC" w:rsidP="001A1C42">
      <w:pPr>
        <w:pStyle w:val="Prrafodelista"/>
        <w:spacing w:line="276" w:lineRule="auto"/>
        <w:ind w:left="0"/>
        <w:jc w:val="both"/>
        <w:rPr>
          <w:rFonts w:ascii="Palatino Linotype" w:hAnsi="Palatino Linotype"/>
          <w:bCs/>
          <w:sz w:val="24"/>
          <w:szCs w:val="24"/>
        </w:rPr>
      </w:pPr>
    </w:p>
    <w:p w:rsidR="00440773" w:rsidRDefault="00440773" w:rsidP="001A1C42">
      <w:pPr>
        <w:spacing w:line="276" w:lineRule="auto"/>
        <w:ind w:firstLine="708"/>
        <w:jc w:val="both"/>
        <w:rPr>
          <w:rFonts w:ascii="Palatino Linotype" w:hAnsi="Palatino Linotype"/>
          <w:bCs/>
          <w:sz w:val="24"/>
          <w:szCs w:val="24"/>
        </w:rPr>
      </w:pPr>
      <w:r w:rsidRPr="00440773">
        <w:rPr>
          <w:rFonts w:ascii="Palatino Linotype" w:hAnsi="Palatino Linotype"/>
          <w:bCs/>
          <w:sz w:val="24"/>
          <w:szCs w:val="24"/>
        </w:rPr>
        <w:t>2.</w:t>
      </w:r>
      <w:r w:rsidRPr="00440773">
        <w:rPr>
          <w:rFonts w:ascii="Palatino Linotype" w:hAnsi="Palatino Linotype"/>
          <w:bCs/>
          <w:sz w:val="24"/>
          <w:szCs w:val="24"/>
        </w:rPr>
        <w:tab/>
        <w:t>Código Municipal del DMQ:</w:t>
      </w:r>
    </w:p>
    <w:p w:rsid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Actualmente, el Código Municipal define el procedimiento para la declaratoria de bienes mostrencos, limitando su aplicabilidad únicamente a los inmuebles urbanos, excluyendo los bienes ubicados en suelo rural.</w:t>
      </w:r>
    </w:p>
    <w:p w:rsid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 xml:space="preserve">En primer lugar, es crucial reconocer que la Ley Orgánica de Tierras Rurales y Territorios Ancestrales (LOTRTA) establece la competencia del Ministerio de Agricultura y Ganadería (MAG) para la adquisición de titularidad de tierras rurales sin dueño, siempre que estas tierras tengan aptitud productiva. Sin embargo, este cuerpo normativo no aborda específicamente la situación de tierras </w:t>
      </w:r>
      <w:r w:rsidRPr="00440773">
        <w:rPr>
          <w:rFonts w:ascii="Palatino Linotype" w:hAnsi="Palatino Linotype"/>
          <w:bCs/>
          <w:sz w:val="24"/>
          <w:szCs w:val="24"/>
        </w:rPr>
        <w:lastRenderedPageBreak/>
        <w:t>rurales que carecen de aptitud productiva, lo que crea un vacío normativo que el Municipio del DMQ está en posición de suplir.</w:t>
      </w:r>
    </w:p>
    <w:p w:rsid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Al interpretar la normativa de manera amplia y coherente, se puede respaldar la competencia del Municipio del DMQ para declarar como bienes mostrencos aquellos predios que no cumplen con una aptitud productiva. Esta interpretación se basa en la consideración de que estas tierras están en situación de abandono y su regularización contribuiría al desarrollo y ordenamiento del territorio, en línea con los objetivos de la planificación urbana y rural.</w:t>
      </w:r>
    </w:p>
    <w:p w:rsid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Desde una perspectiva legal y administrativa, el Municipio del DMQ tiene la capacidad y la responsabilidad de establecer procedimientos claros y transparentes para la declaración y regularización de los predios mostrencos. Esto garantizaría que la intervención municipal se realice de manera efectiva y conforme a los principios legales y constitucionales, evitando invadir competencias establecidas por ley y asegurando la coordinación con otras entidades estatales pertinentes.</w:t>
      </w:r>
    </w:p>
    <w:p w:rsid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Además, la declaración de bienes mostrencos por parte del Municipio del DMQ tendría un impacto social y económico significativo en las zonas rurales. Permitiría el acceso a la tierra, facilitaría la inversión y el desarrollo en las áreas rurales del DMQ, y contribuiría a la seguridad jurídica y al bienestar de la comunidad en su conjunto. Esta medida representaría un paso importante hacia la reducción de la informalidad y la promoción de un desarrollo equitativo y sostenible en el DMQ.</w:t>
      </w:r>
    </w:p>
    <w:p w:rsidR="00440773" w:rsidRPr="00440773" w:rsidRDefault="00440773" w:rsidP="001A1C42">
      <w:pPr>
        <w:spacing w:line="276" w:lineRule="auto"/>
        <w:jc w:val="both"/>
        <w:rPr>
          <w:rFonts w:ascii="Palatino Linotype" w:hAnsi="Palatino Linotype"/>
          <w:bCs/>
          <w:sz w:val="24"/>
          <w:szCs w:val="24"/>
        </w:rPr>
      </w:pPr>
      <w:r w:rsidRPr="00440773">
        <w:rPr>
          <w:rFonts w:ascii="Palatino Linotype" w:hAnsi="Palatino Linotype"/>
          <w:bCs/>
          <w:sz w:val="24"/>
          <w:szCs w:val="24"/>
        </w:rPr>
        <w:t>En síntesis, la declaración de bienes mostrencos por parte del Municipio del DMQ es una medida viable y necesaria que contribuirá al desarrollo integral de las áreas en la ruralidad.</w:t>
      </w:r>
    </w:p>
    <w:p w:rsidR="0063778F" w:rsidRPr="001A1C42" w:rsidRDefault="003F341A" w:rsidP="001A1C42">
      <w:pPr>
        <w:pStyle w:val="Prrafodelista"/>
        <w:numPr>
          <w:ilvl w:val="0"/>
          <w:numId w:val="1"/>
        </w:numPr>
        <w:spacing w:line="276" w:lineRule="auto"/>
        <w:jc w:val="both"/>
        <w:rPr>
          <w:rFonts w:ascii="Palatino Linotype" w:hAnsi="Palatino Linotype"/>
          <w:b/>
          <w:sz w:val="24"/>
        </w:rPr>
      </w:pPr>
      <w:r w:rsidRPr="001A1C42">
        <w:rPr>
          <w:rFonts w:ascii="Palatino Linotype" w:hAnsi="Palatino Linotype"/>
          <w:b/>
          <w:sz w:val="24"/>
        </w:rPr>
        <w:t>RECOMENDACIONES</w:t>
      </w:r>
      <w:r w:rsidR="00660C4D" w:rsidRPr="001A1C42">
        <w:rPr>
          <w:rFonts w:ascii="Palatino Linotype" w:hAnsi="Palatino Linotype"/>
          <w:b/>
          <w:sz w:val="24"/>
        </w:rPr>
        <w:t xml:space="preserve"> Y CONCLUSIONES</w:t>
      </w:r>
      <w:r w:rsidRPr="001A1C42">
        <w:rPr>
          <w:rFonts w:ascii="Palatino Linotype" w:hAnsi="Palatino Linotype"/>
          <w:b/>
          <w:sz w:val="24"/>
        </w:rPr>
        <w:t>:</w:t>
      </w:r>
    </w:p>
    <w:p w:rsidR="00440773" w:rsidRDefault="00440773" w:rsidP="001A1C42">
      <w:pPr>
        <w:spacing w:line="276" w:lineRule="auto"/>
        <w:jc w:val="both"/>
        <w:rPr>
          <w:rFonts w:ascii="Palatino Linotype" w:eastAsia="Times New Roman" w:hAnsi="Palatino Linotype" w:cs="Times New Roman"/>
          <w:sz w:val="24"/>
          <w:szCs w:val="24"/>
          <w:lang w:eastAsia="es-ES_tradnl"/>
        </w:rPr>
      </w:pPr>
      <w:r w:rsidRPr="00440773">
        <w:rPr>
          <w:rFonts w:ascii="Palatino Linotype" w:eastAsia="Times New Roman" w:hAnsi="Palatino Linotype" w:cs="Times New Roman"/>
          <w:sz w:val="24"/>
          <w:szCs w:val="24"/>
          <w:lang w:eastAsia="es-ES_tradnl"/>
        </w:rPr>
        <w:t>En el marco de sus competencias, la Comisión de Propiedad y Espacio Público concluyó acoger los informes técnicos y legales emitidos, las observaciones y aportes entregados por funcionarios y equipos técnicos de los señores concejales, para enriquecer el texto del proyecto de ordenanza; y se recomienda que el Concejo Metropolitano del Distrito Metropolitano de Quito conozca</w:t>
      </w:r>
      <w:r w:rsidR="003C7876">
        <w:rPr>
          <w:rFonts w:ascii="Palatino Linotype" w:eastAsia="Times New Roman" w:hAnsi="Palatino Linotype" w:cs="Times New Roman"/>
          <w:sz w:val="24"/>
          <w:szCs w:val="24"/>
          <w:lang w:eastAsia="es-ES_tradnl"/>
        </w:rPr>
        <w:t xml:space="preserve"> y resuelva</w:t>
      </w:r>
      <w:r w:rsidRPr="00440773">
        <w:rPr>
          <w:rFonts w:ascii="Palatino Linotype" w:eastAsia="Times New Roman" w:hAnsi="Palatino Linotype" w:cs="Times New Roman"/>
          <w:sz w:val="24"/>
          <w:szCs w:val="24"/>
          <w:lang w:eastAsia="es-ES_tradnl"/>
        </w:rPr>
        <w:t xml:space="preserve"> en</w:t>
      </w:r>
      <w:r w:rsidR="003C7876">
        <w:rPr>
          <w:rFonts w:ascii="Palatino Linotype" w:eastAsia="Times New Roman" w:hAnsi="Palatino Linotype" w:cs="Times New Roman"/>
          <w:sz w:val="24"/>
          <w:szCs w:val="24"/>
          <w:lang w:eastAsia="es-ES_tradnl"/>
        </w:rPr>
        <w:t xml:space="preserve"> segundo </w:t>
      </w:r>
      <w:r w:rsidR="004D5AAC">
        <w:rPr>
          <w:rFonts w:ascii="Palatino Linotype" w:eastAsia="Times New Roman" w:hAnsi="Palatino Linotype" w:cs="Times New Roman"/>
          <w:sz w:val="24"/>
          <w:szCs w:val="24"/>
          <w:lang w:eastAsia="es-ES_tradnl"/>
        </w:rPr>
        <w:t xml:space="preserve"> debate el proyecto de “</w:t>
      </w:r>
      <w:r w:rsidRPr="00440773">
        <w:rPr>
          <w:rFonts w:ascii="Palatino Linotype" w:eastAsia="Times New Roman" w:hAnsi="Palatino Linotype" w:cs="Times New Roman"/>
          <w:sz w:val="24"/>
          <w:szCs w:val="24"/>
          <w:lang w:eastAsia="es-ES_tradnl"/>
        </w:rPr>
        <w:t>ORDENANZA METROPOLITANA REFORMATORIA DEL LIBRO IV.6, TÍTULO IV, CAPÍTULO I, RESPECTO AL PROCEDIMIENTO DE DECLARATORIA Y REGULARIZACIÓN DE BIENES URBANOS MOSTRENCOS”</w:t>
      </w:r>
    </w:p>
    <w:p w:rsidR="00440773" w:rsidRPr="004D5AAC" w:rsidRDefault="00F11835" w:rsidP="001A1C42">
      <w:pPr>
        <w:pStyle w:val="Prrafodelista"/>
        <w:numPr>
          <w:ilvl w:val="0"/>
          <w:numId w:val="1"/>
        </w:numPr>
        <w:spacing w:line="276" w:lineRule="auto"/>
        <w:jc w:val="both"/>
        <w:rPr>
          <w:rFonts w:ascii="Palatino Linotype" w:eastAsia="Times New Roman" w:hAnsi="Palatino Linotype" w:cs="Times New Roman"/>
          <w:b/>
          <w:sz w:val="24"/>
          <w:szCs w:val="24"/>
          <w:lang w:eastAsia="es-ES_tradnl"/>
        </w:rPr>
      </w:pPr>
      <w:r w:rsidRPr="004D5AAC">
        <w:rPr>
          <w:rFonts w:ascii="Palatino Linotype" w:hAnsi="Palatino Linotype"/>
          <w:b/>
          <w:sz w:val="24"/>
        </w:rPr>
        <w:lastRenderedPageBreak/>
        <w:t>RESOLUCIÓN</w:t>
      </w:r>
      <w:r w:rsidR="003F341A" w:rsidRPr="004D5AAC">
        <w:rPr>
          <w:rFonts w:ascii="Palatino Linotype" w:hAnsi="Palatino Linotype"/>
          <w:b/>
          <w:sz w:val="24"/>
        </w:rPr>
        <w:t xml:space="preserve"> DE LA COMISIÓN:</w:t>
      </w:r>
    </w:p>
    <w:p w:rsidR="00440773" w:rsidRDefault="003C7876" w:rsidP="001A1C42">
      <w:pPr>
        <w:spacing w:line="276" w:lineRule="auto"/>
        <w:jc w:val="both"/>
        <w:rPr>
          <w:rFonts w:ascii="Palatino Linotype" w:eastAsia="Times New Roman" w:hAnsi="Palatino Linotype" w:cs="Times New Roman"/>
          <w:b/>
          <w:sz w:val="24"/>
          <w:szCs w:val="24"/>
          <w:lang w:eastAsia="es-ES_tradnl"/>
        </w:rPr>
      </w:pPr>
      <w:r>
        <w:rPr>
          <w:rFonts w:ascii="Palatino Linotype" w:eastAsia="Times New Roman" w:hAnsi="Palatino Linotype" w:cs="Times New Roman"/>
          <w:sz w:val="24"/>
          <w:szCs w:val="24"/>
          <w:lang w:eastAsia="es-ES_tradnl"/>
        </w:rPr>
        <w:t xml:space="preserve">En la sesión </w:t>
      </w:r>
      <w:r w:rsidRPr="003C7876">
        <w:rPr>
          <w:rFonts w:ascii="Palatino Linotype" w:eastAsia="Times New Roman" w:hAnsi="Palatino Linotype" w:cs="Times New Roman"/>
          <w:sz w:val="24"/>
          <w:szCs w:val="24"/>
          <w:highlight w:val="yellow"/>
          <w:lang w:eastAsia="es-ES_tradnl"/>
        </w:rPr>
        <w:t>ordinaria No. …</w:t>
      </w:r>
      <w:r w:rsidR="00CC3A03" w:rsidRPr="00440773">
        <w:rPr>
          <w:rFonts w:ascii="Palatino Linotype" w:eastAsia="Times New Roman" w:hAnsi="Palatino Linotype" w:cs="Times New Roman"/>
          <w:sz w:val="24"/>
          <w:szCs w:val="24"/>
          <w:lang w:eastAsia="es-ES_tradnl"/>
        </w:rPr>
        <w:t xml:space="preserve"> de la Comisión de Propiedad y </w:t>
      </w:r>
      <w:r>
        <w:rPr>
          <w:rFonts w:ascii="Palatino Linotype" w:eastAsia="Times New Roman" w:hAnsi="Palatino Linotype" w:cs="Times New Roman"/>
          <w:sz w:val="24"/>
          <w:szCs w:val="24"/>
          <w:lang w:eastAsia="es-ES_tradnl"/>
        </w:rPr>
        <w:t xml:space="preserve">Espacio Público, celebrada </w:t>
      </w:r>
      <w:r w:rsidRPr="003C7876">
        <w:rPr>
          <w:rFonts w:ascii="Palatino Linotype" w:eastAsia="Times New Roman" w:hAnsi="Palatino Linotype" w:cs="Times New Roman"/>
          <w:sz w:val="24"/>
          <w:szCs w:val="24"/>
          <w:highlight w:val="yellow"/>
          <w:lang w:eastAsia="es-ES_tradnl"/>
        </w:rPr>
        <w:t>el… de jul</w:t>
      </w:r>
      <w:r w:rsidR="00CC3A03" w:rsidRPr="003C7876">
        <w:rPr>
          <w:rFonts w:ascii="Palatino Linotype" w:eastAsia="Times New Roman" w:hAnsi="Palatino Linotype" w:cs="Times New Roman"/>
          <w:sz w:val="24"/>
          <w:szCs w:val="24"/>
          <w:highlight w:val="yellow"/>
          <w:lang w:eastAsia="es-ES_tradnl"/>
        </w:rPr>
        <w:t>io</w:t>
      </w:r>
      <w:r w:rsidR="00CC3A03" w:rsidRPr="00440773">
        <w:rPr>
          <w:rFonts w:ascii="Palatino Linotype" w:eastAsia="Times New Roman" w:hAnsi="Palatino Linotype" w:cs="Times New Roman"/>
          <w:sz w:val="24"/>
          <w:szCs w:val="24"/>
          <w:lang w:eastAsia="es-ES_tradnl"/>
        </w:rPr>
        <w:t xml:space="preserve"> de 2024, luego de analizar y procesar las observaciones, aportes, informes técnicos y legales remitidos por las distintas dependencias municipales, la comisión procede a:</w:t>
      </w:r>
    </w:p>
    <w:p w:rsidR="00CC3A03" w:rsidRPr="00440773" w:rsidRDefault="00CC3A03" w:rsidP="001A1C42">
      <w:pPr>
        <w:spacing w:line="276" w:lineRule="auto"/>
        <w:jc w:val="both"/>
        <w:rPr>
          <w:rFonts w:ascii="Palatino Linotype" w:eastAsia="Times New Roman" w:hAnsi="Palatino Linotype" w:cs="Times New Roman"/>
          <w:b/>
          <w:sz w:val="24"/>
          <w:szCs w:val="24"/>
          <w:lang w:eastAsia="es-ES_tradnl"/>
        </w:rPr>
      </w:pPr>
      <w:r w:rsidRPr="00CC3A03">
        <w:rPr>
          <w:rFonts w:ascii="Palatino Linotype" w:eastAsia="Times New Roman" w:hAnsi="Palatino Linotype" w:cs="Times New Roman"/>
          <w:sz w:val="24"/>
          <w:szCs w:val="24"/>
          <w:lang w:eastAsia="es-ES_tradnl"/>
        </w:rPr>
        <w:t xml:space="preserve">Aprobar </w:t>
      </w:r>
      <w:r w:rsidR="003C7876">
        <w:rPr>
          <w:rFonts w:ascii="Palatino Linotype" w:eastAsia="Times New Roman" w:hAnsi="Palatino Linotype" w:cs="Times New Roman"/>
          <w:sz w:val="24"/>
          <w:szCs w:val="24"/>
          <w:lang w:eastAsia="es-ES_tradnl"/>
        </w:rPr>
        <w:t>el Informe No. IC-O-CPP-2024-027</w:t>
      </w:r>
      <w:r w:rsidRPr="00CC3A03">
        <w:rPr>
          <w:rFonts w:ascii="Palatino Linotype" w:eastAsia="Times New Roman" w:hAnsi="Palatino Linotype" w:cs="Times New Roman"/>
          <w:sz w:val="24"/>
          <w:szCs w:val="24"/>
          <w:lang w:eastAsia="es-ES_tradnl"/>
        </w:rPr>
        <w:t xml:space="preserve"> que contiene el proyecto de "ORDENANZA METROPOLITANA REFORMATORIA DEL LIBRO IV.6, TÍTULO IV, CAPÍTULO I, RESPECTO AL PROCEDIMIENTO DE DECLARATORIA Y REGULARIZACIÓN DE BIENES URBANOS MOSTRENCOS"; y recomendar que el Pleno del Concejo Metropolitano de Quito lo conozca</w:t>
      </w:r>
      <w:r w:rsidR="003C7876">
        <w:rPr>
          <w:rFonts w:ascii="Palatino Linotype" w:eastAsia="Times New Roman" w:hAnsi="Palatino Linotype" w:cs="Times New Roman"/>
          <w:sz w:val="24"/>
          <w:szCs w:val="24"/>
          <w:lang w:eastAsia="es-ES_tradnl"/>
        </w:rPr>
        <w:t xml:space="preserve"> y apruebe en segundo</w:t>
      </w:r>
      <w:r w:rsidRPr="00CC3A03">
        <w:rPr>
          <w:rFonts w:ascii="Palatino Linotype" w:eastAsia="Times New Roman" w:hAnsi="Palatino Linotype" w:cs="Times New Roman"/>
          <w:sz w:val="24"/>
          <w:szCs w:val="24"/>
          <w:lang w:eastAsia="es-ES_tradnl"/>
        </w:rPr>
        <w:t xml:space="preserve"> debate.</w:t>
      </w:r>
    </w:p>
    <w:p w:rsidR="00D606B1" w:rsidRPr="00CC3A03" w:rsidRDefault="006E5593" w:rsidP="001A1C42">
      <w:pPr>
        <w:pStyle w:val="Prrafodelista"/>
        <w:numPr>
          <w:ilvl w:val="0"/>
          <w:numId w:val="1"/>
        </w:numPr>
        <w:jc w:val="both"/>
        <w:rPr>
          <w:rFonts w:ascii="Palatino Linotype" w:hAnsi="Palatino Linotype"/>
          <w:b/>
          <w:sz w:val="24"/>
          <w:szCs w:val="24"/>
          <w:lang w:val="es-ES_tradnl"/>
        </w:rPr>
      </w:pPr>
      <w:r w:rsidRPr="00CC3A03">
        <w:rPr>
          <w:rFonts w:ascii="Palatino Linotype" w:eastAsia="Times New Roman" w:hAnsi="Palatino Linotype" w:cs="Times New Roman"/>
          <w:b/>
          <w:sz w:val="24"/>
          <w:szCs w:val="24"/>
          <w:lang w:val="es-ES_tradnl" w:eastAsia="es-ES_tradnl"/>
        </w:rPr>
        <w:t>P</w:t>
      </w:r>
      <w:r w:rsidRPr="00CC3A03">
        <w:rPr>
          <w:rFonts w:ascii="Palatino Linotype" w:hAnsi="Palatino Linotype"/>
          <w:b/>
          <w:sz w:val="24"/>
          <w:szCs w:val="24"/>
          <w:lang w:val="es-ES_tradnl"/>
        </w:rPr>
        <w:t>ONENTE DEL INFOME</w:t>
      </w:r>
    </w:p>
    <w:p w:rsidR="004A0613" w:rsidRDefault="006E5593" w:rsidP="00133E7E">
      <w:pPr>
        <w:spacing w:line="276" w:lineRule="auto"/>
        <w:jc w:val="both"/>
        <w:rPr>
          <w:rFonts w:ascii="Palatino Linotype" w:hAnsi="Palatino Linotype"/>
          <w:bCs/>
          <w:sz w:val="24"/>
          <w:lang w:val="es-ES_tradnl"/>
        </w:rPr>
      </w:pPr>
      <w:r w:rsidRPr="00E84803">
        <w:rPr>
          <w:rFonts w:ascii="Palatino Linotype" w:hAnsi="Palatino Linotype"/>
          <w:bCs/>
          <w:sz w:val="24"/>
          <w:lang w:val="es-ES_tradnl"/>
        </w:rPr>
        <w:t xml:space="preserve">El </w:t>
      </w:r>
      <w:r w:rsidR="00BC5EE4" w:rsidRPr="00E84803">
        <w:rPr>
          <w:rFonts w:ascii="Palatino Linotype" w:hAnsi="Palatino Linotype"/>
          <w:bCs/>
          <w:sz w:val="24"/>
          <w:lang w:val="es-ES_tradnl"/>
        </w:rPr>
        <w:t xml:space="preserve">Concejal Metropolitano </w:t>
      </w:r>
      <w:r w:rsidR="00BC5EE4" w:rsidRPr="00ED31E5">
        <w:rPr>
          <w:rFonts w:ascii="Palatino Linotype" w:hAnsi="Palatino Linotype"/>
          <w:bCs/>
          <w:sz w:val="24"/>
          <w:lang w:val="es-ES_tradnl"/>
        </w:rPr>
        <w:t>Ángel Vega</w:t>
      </w:r>
      <w:r w:rsidR="00BC5EE4">
        <w:rPr>
          <w:rFonts w:ascii="Palatino Linotype" w:hAnsi="Palatino Linotype"/>
          <w:bCs/>
          <w:sz w:val="24"/>
          <w:lang w:val="es-ES_tradnl"/>
        </w:rPr>
        <w:t xml:space="preserve">, </w:t>
      </w:r>
      <w:r w:rsidRPr="00E84803">
        <w:rPr>
          <w:rFonts w:ascii="Palatino Linotype" w:hAnsi="Palatino Linotype"/>
          <w:bCs/>
          <w:sz w:val="24"/>
          <w:lang w:val="es-ES_tradnl"/>
        </w:rPr>
        <w:t xml:space="preserve">Presidente e integrante de la </w:t>
      </w:r>
      <w:r w:rsidRPr="00E84803">
        <w:rPr>
          <w:rFonts w:ascii="Palatino Linotype" w:hAnsi="Palatino Linotype"/>
          <w:bCs/>
          <w:sz w:val="24"/>
        </w:rPr>
        <w:t>Comisión de Propiedad y Espacio Público</w:t>
      </w:r>
      <w:r w:rsidR="00BC5EE4">
        <w:rPr>
          <w:rFonts w:ascii="Palatino Linotype" w:hAnsi="Palatino Linotype"/>
          <w:bCs/>
          <w:sz w:val="24"/>
          <w:lang w:val="es-ES_tradnl"/>
        </w:rPr>
        <w:t xml:space="preserve">, </w:t>
      </w:r>
      <w:r w:rsidRPr="00E84803">
        <w:rPr>
          <w:rFonts w:ascii="Palatino Linotype" w:hAnsi="Palatino Linotype"/>
          <w:bCs/>
          <w:sz w:val="24"/>
          <w:lang w:val="es-ES_tradnl"/>
        </w:rPr>
        <w:t>será el ponente del presente Informe de Comisión.</w:t>
      </w:r>
    </w:p>
    <w:p w:rsidR="00D606B1" w:rsidRPr="00E84803" w:rsidRDefault="006E5593" w:rsidP="001A1C42">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CF577F">
      <w:pPr>
        <w:spacing w:line="276" w:lineRule="auto"/>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w:t>
      </w:r>
      <w:r w:rsidR="00935A57">
        <w:rPr>
          <w:rFonts w:ascii="Palatino Linotype" w:hAnsi="Palatino Linotype"/>
          <w:sz w:val="24"/>
        </w:rPr>
        <w:t xml:space="preserve">bajo firmantes, </w:t>
      </w:r>
      <w:r w:rsidR="00935A57" w:rsidRPr="003C7876">
        <w:rPr>
          <w:rFonts w:ascii="Palatino Linotype" w:hAnsi="Palatino Linotype"/>
          <w:sz w:val="24"/>
          <w:highlight w:val="yellow"/>
        </w:rPr>
        <w:t xml:space="preserve">aprueban el </w:t>
      </w:r>
      <w:r w:rsidR="003C7876" w:rsidRPr="003C7876">
        <w:rPr>
          <w:rFonts w:ascii="Palatino Linotype" w:hAnsi="Palatino Linotype"/>
          <w:sz w:val="24"/>
          <w:highlight w:val="yellow"/>
        </w:rPr>
        <w:t>…</w:t>
      </w:r>
      <w:r w:rsidR="00C656B6" w:rsidRPr="003C7876">
        <w:rPr>
          <w:rFonts w:ascii="Palatino Linotype" w:hAnsi="Palatino Linotype"/>
          <w:sz w:val="24"/>
          <w:highlight w:val="yellow"/>
        </w:rPr>
        <w:t xml:space="preserve"> de </w:t>
      </w:r>
      <w:r w:rsidR="003C7876" w:rsidRPr="003C7876">
        <w:rPr>
          <w:rFonts w:ascii="Palatino Linotype" w:hAnsi="Palatino Linotype"/>
          <w:sz w:val="24"/>
          <w:highlight w:val="yellow"/>
        </w:rPr>
        <w:t>jul</w:t>
      </w:r>
      <w:r w:rsidR="00340D42" w:rsidRPr="003C7876">
        <w:rPr>
          <w:rFonts w:ascii="Palatino Linotype" w:hAnsi="Palatino Linotype"/>
          <w:sz w:val="24"/>
          <w:highlight w:val="yellow"/>
        </w:rPr>
        <w:t>io</w:t>
      </w:r>
      <w:r w:rsidR="00E905CD" w:rsidRPr="003C7876">
        <w:rPr>
          <w:rFonts w:ascii="Palatino Linotype" w:hAnsi="Palatino Linotype"/>
          <w:sz w:val="24"/>
          <w:highlight w:val="yellow"/>
        </w:rPr>
        <w:t xml:space="preserve"> </w:t>
      </w:r>
      <w:r w:rsidR="00A41FA0" w:rsidRPr="003C7876">
        <w:rPr>
          <w:rFonts w:ascii="Palatino Linotype" w:hAnsi="Palatino Linotype"/>
          <w:sz w:val="24"/>
          <w:highlight w:val="yellow"/>
        </w:rPr>
        <w:t>de 2024</w:t>
      </w:r>
      <w:r w:rsidRPr="003C7876">
        <w:rPr>
          <w:rFonts w:ascii="Palatino Linotype" w:hAnsi="Palatino Linotype"/>
          <w:sz w:val="24"/>
          <w:highlight w:val="yellow"/>
        </w:rPr>
        <w:t xml:space="preserve">, </w:t>
      </w:r>
      <w:r w:rsidRPr="003C7876">
        <w:rPr>
          <w:rFonts w:ascii="Palatino Linotype" w:hAnsi="Palatino Linotype"/>
          <w:sz w:val="24"/>
          <w:highlight w:val="yellow"/>
          <w:lang w:val="es-ES_tradnl"/>
        </w:rPr>
        <w:t>el Informe</w:t>
      </w:r>
      <w:r w:rsidRPr="00E84803">
        <w:rPr>
          <w:rFonts w:ascii="Palatino Linotype" w:hAnsi="Palatino Linotype"/>
          <w:sz w:val="24"/>
          <w:lang w:val="es-ES_tradnl"/>
        </w:rPr>
        <w:t xml:space="preserve"> de la Comisión con sus respectivos anexos, para lo </w:t>
      </w:r>
      <w:r w:rsidR="00340D42">
        <w:rPr>
          <w:rFonts w:ascii="Palatino Linotype" w:hAnsi="Palatino Linotype"/>
          <w:sz w:val="24"/>
          <w:lang w:val="es-ES_tradnl"/>
        </w:rPr>
        <w:t>cual</w:t>
      </w:r>
      <w:r w:rsidRPr="00E84803">
        <w:rPr>
          <w:rFonts w:ascii="Palatino Linotype" w:hAnsi="Palatino Linotype"/>
          <w:sz w:val="24"/>
          <w:lang w:val="es-ES_tradnl"/>
        </w:rPr>
        <w:t xml:space="preserve"> suscriben el presente documento</w:t>
      </w:r>
      <w:r w:rsidRPr="00E84803">
        <w:rPr>
          <w:rFonts w:ascii="Palatino Linotype" w:hAnsi="Palatino Linotype"/>
          <w:sz w:val="24"/>
        </w:rPr>
        <w:t>.</w:t>
      </w:r>
    </w:p>
    <w:p w:rsidR="006E5593" w:rsidRDefault="006E5593" w:rsidP="00840921">
      <w:pPr>
        <w:pStyle w:val="Prrafodelista"/>
        <w:spacing w:line="276" w:lineRule="auto"/>
        <w:jc w:val="both"/>
        <w:rPr>
          <w:rFonts w:ascii="Palatino Linotype" w:hAnsi="Palatino Linotype"/>
          <w:b/>
          <w:sz w:val="24"/>
        </w:rPr>
      </w:pPr>
    </w:p>
    <w:p w:rsidR="00A5508C" w:rsidRPr="00E84803" w:rsidRDefault="00A5508C"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EE27C8" w:rsidRDefault="00EE27C8" w:rsidP="00840921">
      <w:pPr>
        <w:spacing w:line="276" w:lineRule="auto"/>
        <w:jc w:val="both"/>
        <w:rPr>
          <w:rFonts w:ascii="Palatino Linotype" w:hAnsi="Palatino Linotype"/>
          <w:b/>
          <w:sz w:val="24"/>
        </w:rPr>
      </w:pPr>
    </w:p>
    <w:p w:rsidR="00AB5AB0" w:rsidRDefault="00AB5AB0" w:rsidP="00AB5AB0">
      <w:pPr>
        <w:spacing w:line="276" w:lineRule="auto"/>
        <w:ind w:firstLine="708"/>
        <w:jc w:val="both"/>
        <w:rPr>
          <w:rFonts w:ascii="Palatino Linotype" w:hAnsi="Palatino Linotype"/>
          <w:b/>
          <w:sz w:val="24"/>
        </w:rPr>
      </w:pPr>
      <w:r>
        <w:rPr>
          <w:rFonts w:ascii="Palatino Linotype" w:hAnsi="Palatino Linotype"/>
          <w:b/>
          <w:sz w:val="24"/>
        </w:rPr>
        <w:t>Héctor Cueva</w:t>
      </w:r>
    </w:p>
    <w:p w:rsidR="00AB5AB0" w:rsidRDefault="00AB5AB0" w:rsidP="00AB5AB0">
      <w:pPr>
        <w:spacing w:line="276" w:lineRule="auto"/>
        <w:ind w:firstLine="708"/>
        <w:rPr>
          <w:rFonts w:ascii="Palatino Linotype" w:hAnsi="Palatino Linotype"/>
          <w:b/>
          <w:bCs/>
          <w:sz w:val="24"/>
          <w:szCs w:val="24"/>
          <w:lang w:val="es-ES_tradnl"/>
        </w:rPr>
      </w:pPr>
      <w:r w:rsidRPr="00E84803">
        <w:rPr>
          <w:rFonts w:ascii="Palatino Linotype" w:hAnsi="Palatino Linotype"/>
          <w:b/>
          <w:sz w:val="24"/>
        </w:rPr>
        <w:t>Integrante de la Comisión de Propiedad y Espacio Público</w:t>
      </w:r>
      <w:r>
        <w:rPr>
          <w:rFonts w:ascii="Palatino Linotype" w:hAnsi="Palatino Linotype"/>
          <w:b/>
          <w:sz w:val="24"/>
        </w:rPr>
        <w:tab/>
      </w:r>
    </w:p>
    <w:p w:rsidR="00F24C71" w:rsidRDefault="00AB5AB0" w:rsidP="00AB5AB0">
      <w:pPr>
        <w:spacing w:line="276" w:lineRule="auto"/>
        <w:ind w:firstLine="708"/>
        <w:jc w:val="both"/>
        <w:rPr>
          <w:rFonts w:ascii="Palatino Linotype" w:hAnsi="Palatino Linotype"/>
          <w:b/>
          <w:sz w:val="24"/>
        </w:rPr>
      </w:pPr>
      <w:r>
        <w:rPr>
          <w:rFonts w:ascii="Palatino Linotype" w:hAnsi="Palatino Linotype"/>
          <w:b/>
          <w:sz w:val="24"/>
        </w:rPr>
        <w:t xml:space="preserve"> </w:t>
      </w:r>
    </w:p>
    <w:p w:rsidR="00A5508C" w:rsidRDefault="00A5508C" w:rsidP="00840921">
      <w:pPr>
        <w:spacing w:line="276" w:lineRule="auto"/>
        <w:jc w:val="both"/>
        <w:rPr>
          <w:rFonts w:ascii="Palatino Linotype" w:hAnsi="Palatino Linotype"/>
          <w:b/>
          <w:sz w:val="24"/>
        </w:rPr>
      </w:pPr>
    </w:p>
    <w:p w:rsidR="007E21E2" w:rsidRDefault="007E21E2" w:rsidP="007E21E2">
      <w:pPr>
        <w:spacing w:line="276" w:lineRule="auto"/>
        <w:ind w:firstLine="708"/>
        <w:rPr>
          <w:rFonts w:ascii="Palatino Linotype" w:hAnsi="Palatino Linotype"/>
          <w:b/>
          <w:bCs/>
          <w:sz w:val="24"/>
          <w:szCs w:val="24"/>
          <w:lang w:val="es-ES_tradnl"/>
        </w:rPr>
      </w:pPr>
      <w:proofErr w:type="spellStart"/>
      <w:r>
        <w:rPr>
          <w:rFonts w:ascii="Palatino Linotype" w:hAnsi="Palatino Linotype"/>
          <w:b/>
          <w:sz w:val="24"/>
          <w:szCs w:val="24"/>
          <w:lang w:val="es-ES"/>
        </w:rPr>
        <w:t>Dario</w:t>
      </w:r>
      <w:proofErr w:type="spellEnd"/>
      <w:r>
        <w:rPr>
          <w:rFonts w:ascii="Palatino Linotype" w:hAnsi="Palatino Linotype"/>
          <w:b/>
          <w:sz w:val="24"/>
          <w:szCs w:val="24"/>
          <w:lang w:val="es-ES"/>
        </w:rPr>
        <w:t xml:space="preserve"> </w:t>
      </w:r>
      <w:proofErr w:type="spellStart"/>
      <w:r>
        <w:rPr>
          <w:rFonts w:ascii="Palatino Linotype" w:hAnsi="Palatino Linotype"/>
          <w:b/>
          <w:sz w:val="24"/>
          <w:szCs w:val="24"/>
          <w:lang w:val="es-ES"/>
        </w:rPr>
        <w:t>Cahueñas</w:t>
      </w:r>
      <w:proofErr w:type="spellEnd"/>
    </w:p>
    <w:p w:rsidR="005317BC" w:rsidRDefault="00601751" w:rsidP="00601751">
      <w:pPr>
        <w:spacing w:line="276" w:lineRule="auto"/>
        <w:ind w:firstLine="708"/>
        <w:rPr>
          <w:rFonts w:ascii="Palatino Linotype" w:hAnsi="Palatino Linotype"/>
          <w:b/>
          <w:bCs/>
          <w:sz w:val="24"/>
          <w:szCs w:val="24"/>
          <w:lang w:val="es-ES_tradnl"/>
        </w:rPr>
      </w:pPr>
      <w:r w:rsidRPr="00E84803">
        <w:rPr>
          <w:rFonts w:ascii="Palatino Linotype" w:hAnsi="Palatino Linotype"/>
          <w:b/>
          <w:sz w:val="24"/>
        </w:rPr>
        <w:t>Integrante de la Comisión de Propiedad y Espacio Público</w:t>
      </w:r>
      <w:r>
        <w:rPr>
          <w:rFonts w:ascii="Palatino Linotype" w:hAnsi="Palatino Linotype"/>
          <w:b/>
          <w:sz w:val="24"/>
        </w:rPr>
        <w:tab/>
      </w:r>
    </w:p>
    <w:p w:rsidR="00CF38FD" w:rsidRDefault="00CF38FD" w:rsidP="00840921">
      <w:pPr>
        <w:spacing w:line="276" w:lineRule="auto"/>
        <w:jc w:val="center"/>
        <w:rPr>
          <w:rFonts w:ascii="Palatino Linotype" w:hAnsi="Palatino Linotype"/>
          <w:b/>
          <w:bCs/>
          <w:sz w:val="24"/>
          <w:szCs w:val="24"/>
          <w:lang w:val="es-ES_tradnl"/>
        </w:rPr>
      </w:pPr>
    </w:p>
    <w:p w:rsidR="00A5508C" w:rsidRDefault="00A5508C" w:rsidP="00840921">
      <w:pPr>
        <w:spacing w:line="276" w:lineRule="auto"/>
        <w:jc w:val="center"/>
        <w:rPr>
          <w:rFonts w:ascii="Palatino Linotype" w:hAnsi="Palatino Linotype"/>
          <w:b/>
          <w:bCs/>
          <w:sz w:val="24"/>
          <w:szCs w:val="24"/>
          <w:lang w:val="es-ES_tradnl"/>
        </w:rPr>
      </w:pPr>
    </w:p>
    <w:p w:rsidR="00A5508C" w:rsidRDefault="00A5508C" w:rsidP="00840921">
      <w:pPr>
        <w:spacing w:line="276" w:lineRule="auto"/>
        <w:jc w:val="center"/>
        <w:rPr>
          <w:rFonts w:ascii="Palatino Linotype" w:hAnsi="Palatino Linotype"/>
          <w:b/>
          <w:bCs/>
          <w:sz w:val="24"/>
          <w:szCs w:val="24"/>
          <w:lang w:val="es-ES_tradnl"/>
        </w:rPr>
      </w:pPr>
    </w:p>
    <w:p w:rsidR="00A5508C" w:rsidRDefault="00A5508C" w:rsidP="00840921">
      <w:pPr>
        <w:spacing w:line="276" w:lineRule="auto"/>
        <w:jc w:val="center"/>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t>COMISIÓN DE PROPIEDAD Y ESPACIO PÚBLICO</w:t>
      </w:r>
    </w:p>
    <w:p w:rsidR="007D57EE" w:rsidRPr="00C3274A" w:rsidRDefault="007D57EE" w:rsidP="007D57EE">
      <w:pPr>
        <w:spacing w:line="276" w:lineRule="auto"/>
        <w:jc w:val="both"/>
        <w:rPr>
          <w:rFonts w:ascii="Palatino Linotype" w:hAnsi="Palatino Linotype"/>
          <w:sz w:val="24"/>
          <w:szCs w:val="24"/>
        </w:rPr>
      </w:pPr>
      <w:r w:rsidRPr="00907C12">
        <w:rPr>
          <w:rFonts w:ascii="Palatino Linotype" w:hAnsi="Palatino Linotype"/>
          <w:sz w:val="24"/>
          <w:szCs w:val="24"/>
        </w:rPr>
        <w:t>En mi calidad de delegado de la Secretaría General del Concejo Metropolitano de Quito ante la Secretaría de la Comisión de Propiedad y Espacio Público, certifico lo siguiente:</w:t>
      </w:r>
    </w:p>
    <w:p w:rsidR="007D57EE" w:rsidRDefault="007D57EE" w:rsidP="00840921">
      <w:pPr>
        <w:pStyle w:val="Prrafodelista"/>
        <w:spacing w:line="276" w:lineRule="auto"/>
        <w:jc w:val="center"/>
        <w:rPr>
          <w:rFonts w:ascii="Palatino Linotype" w:hAnsi="Palatino Linotype"/>
          <w:b/>
          <w:sz w:val="24"/>
          <w:szCs w:val="24"/>
          <w:lang w:val="es-ES_tradnl"/>
        </w:rPr>
      </w:pP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Que el presente Informe de la Comisión fue debatido y aprobado en la sesión</w:t>
      </w:r>
      <w:r w:rsidR="00340D42">
        <w:rPr>
          <w:rFonts w:ascii="Palatino Linotype" w:hAnsi="Palatino Linotype"/>
          <w:sz w:val="24"/>
          <w:szCs w:val="24"/>
          <w:lang w:val="es-ES_tradnl"/>
        </w:rPr>
        <w:t xml:space="preserve"> </w:t>
      </w:r>
      <w:r w:rsidR="00340D42" w:rsidRPr="008A4EEA">
        <w:rPr>
          <w:rFonts w:ascii="Palatino Linotype" w:hAnsi="Palatino Linotype"/>
          <w:sz w:val="24"/>
          <w:szCs w:val="24"/>
          <w:lang w:val="es-ES"/>
        </w:rPr>
        <w:t>ordinaria</w:t>
      </w:r>
      <w:r w:rsidRPr="008A4EEA">
        <w:rPr>
          <w:rFonts w:ascii="Palatino Linotype" w:hAnsi="Palatino Linotype"/>
          <w:sz w:val="24"/>
          <w:szCs w:val="24"/>
          <w:lang w:val="es-ES_tradnl"/>
        </w:rPr>
        <w:t xml:space="preserve"> </w:t>
      </w:r>
      <w:r w:rsidR="009E38A2" w:rsidRPr="009E38A2">
        <w:rPr>
          <w:rFonts w:ascii="Palatino Linotype" w:hAnsi="Palatino Linotype"/>
          <w:sz w:val="24"/>
          <w:szCs w:val="24"/>
          <w:highlight w:val="yellow"/>
          <w:lang w:val="es-ES"/>
        </w:rPr>
        <w:t>No. …</w:t>
      </w:r>
      <w:r w:rsidR="00417F54" w:rsidRPr="009E38A2">
        <w:rPr>
          <w:rFonts w:ascii="Palatino Linotype" w:hAnsi="Palatino Linotype"/>
          <w:sz w:val="24"/>
          <w:szCs w:val="24"/>
          <w:highlight w:val="yellow"/>
          <w:lang w:val="es-ES"/>
        </w:rPr>
        <w:t xml:space="preserve">, </w:t>
      </w:r>
      <w:r w:rsidRPr="009E38A2">
        <w:rPr>
          <w:rFonts w:ascii="Palatino Linotype" w:hAnsi="Palatino Linotype"/>
          <w:sz w:val="24"/>
          <w:szCs w:val="24"/>
          <w:highlight w:val="yellow"/>
          <w:lang w:val="es-ES"/>
        </w:rPr>
        <w:t xml:space="preserve">realizada </w:t>
      </w:r>
      <w:proofErr w:type="gramStart"/>
      <w:r w:rsidRPr="009E38A2">
        <w:rPr>
          <w:rFonts w:ascii="Palatino Linotype" w:hAnsi="Palatino Linotype"/>
          <w:sz w:val="24"/>
          <w:szCs w:val="24"/>
          <w:highlight w:val="yellow"/>
          <w:lang w:val="es-ES"/>
        </w:rPr>
        <w:t>el</w:t>
      </w:r>
      <w:r w:rsidR="007B4E8F" w:rsidRPr="009E38A2">
        <w:rPr>
          <w:rFonts w:ascii="Palatino Linotype" w:hAnsi="Palatino Linotype"/>
          <w:sz w:val="24"/>
          <w:szCs w:val="24"/>
          <w:highlight w:val="yellow"/>
          <w:lang w:val="es-ES"/>
        </w:rPr>
        <w:t xml:space="preserve"> </w:t>
      </w:r>
      <w:r w:rsidR="00E865DF" w:rsidRPr="009E38A2">
        <w:rPr>
          <w:rFonts w:ascii="Palatino Linotype" w:hAnsi="Palatino Linotype"/>
          <w:sz w:val="24"/>
          <w:szCs w:val="24"/>
          <w:highlight w:val="yellow"/>
          <w:lang w:val="es-ES"/>
        </w:rPr>
        <w:t xml:space="preserve"> </w:t>
      </w:r>
      <w:r w:rsidR="006A3767" w:rsidRPr="009E38A2">
        <w:rPr>
          <w:rFonts w:ascii="Palatino Linotype" w:hAnsi="Palatino Linotype"/>
          <w:sz w:val="24"/>
          <w:szCs w:val="24"/>
          <w:highlight w:val="yellow"/>
          <w:lang w:val="es-ES"/>
        </w:rPr>
        <w:t>de</w:t>
      </w:r>
      <w:proofErr w:type="gramEnd"/>
      <w:r w:rsidR="006A3767" w:rsidRPr="009E38A2">
        <w:rPr>
          <w:rFonts w:ascii="Palatino Linotype" w:hAnsi="Palatino Linotype"/>
          <w:sz w:val="24"/>
          <w:szCs w:val="24"/>
          <w:highlight w:val="yellow"/>
          <w:lang w:val="es-ES"/>
        </w:rPr>
        <w:t xml:space="preserve"> </w:t>
      </w:r>
      <w:r w:rsidR="009E38A2" w:rsidRPr="009E38A2">
        <w:rPr>
          <w:rFonts w:ascii="Palatino Linotype" w:hAnsi="Palatino Linotype"/>
          <w:sz w:val="24"/>
          <w:szCs w:val="24"/>
          <w:highlight w:val="yellow"/>
          <w:lang w:val="es-ES"/>
        </w:rPr>
        <w:t>jul</w:t>
      </w:r>
      <w:r w:rsidR="00E865DF" w:rsidRPr="009E38A2">
        <w:rPr>
          <w:rFonts w:ascii="Palatino Linotype" w:hAnsi="Palatino Linotype"/>
          <w:sz w:val="24"/>
          <w:szCs w:val="24"/>
          <w:highlight w:val="yellow"/>
          <w:lang w:val="es-ES"/>
        </w:rPr>
        <w:t>io</w:t>
      </w:r>
      <w:r w:rsidR="005D2D8A" w:rsidRPr="009E38A2">
        <w:rPr>
          <w:rFonts w:ascii="Palatino Linotype" w:hAnsi="Palatino Linotype"/>
          <w:sz w:val="24"/>
          <w:szCs w:val="24"/>
          <w:highlight w:val="yellow"/>
          <w:lang w:val="es-ES"/>
        </w:rPr>
        <w:t xml:space="preserve"> de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D340ED" w:rsidRPr="009E38A2">
        <w:rPr>
          <w:rFonts w:ascii="Palatino Linotype" w:hAnsi="Palatino Linotype"/>
          <w:b/>
          <w:sz w:val="24"/>
          <w:szCs w:val="24"/>
          <w:highlight w:val="yellow"/>
          <w:lang w:val="es-ES"/>
        </w:rPr>
        <w:t>Ángel Vega</w:t>
      </w:r>
      <w:r w:rsidR="009F1D56" w:rsidRPr="009E38A2">
        <w:rPr>
          <w:rFonts w:ascii="Palatino Linotype" w:hAnsi="Palatino Linotype"/>
          <w:b/>
          <w:sz w:val="24"/>
          <w:szCs w:val="24"/>
          <w:highlight w:val="yellow"/>
          <w:lang w:val="es-ES"/>
        </w:rPr>
        <w:t xml:space="preserve"> </w:t>
      </w:r>
      <w:r w:rsidR="00930A34" w:rsidRPr="009E38A2">
        <w:rPr>
          <w:rFonts w:ascii="Palatino Linotype" w:hAnsi="Palatino Linotype"/>
          <w:b/>
          <w:sz w:val="24"/>
          <w:szCs w:val="24"/>
          <w:highlight w:val="yellow"/>
          <w:lang w:val="es-ES"/>
        </w:rPr>
        <w:t>y</w:t>
      </w:r>
      <w:r w:rsidR="00CF38FD" w:rsidRPr="009E38A2">
        <w:rPr>
          <w:rFonts w:ascii="Palatino Linotype" w:hAnsi="Palatino Linotype"/>
          <w:b/>
          <w:sz w:val="24"/>
          <w:szCs w:val="24"/>
          <w:highlight w:val="yellow"/>
          <w:lang w:val="es-ES"/>
        </w:rPr>
        <w:t xml:space="preserve"> </w:t>
      </w:r>
      <w:proofErr w:type="spellStart"/>
      <w:r w:rsidR="00CF38FD" w:rsidRPr="009E38A2">
        <w:rPr>
          <w:rFonts w:ascii="Palatino Linotype" w:hAnsi="Palatino Linotype"/>
          <w:b/>
          <w:sz w:val="24"/>
          <w:szCs w:val="24"/>
          <w:highlight w:val="yellow"/>
          <w:lang w:val="es-ES"/>
        </w:rPr>
        <w:t>Dario</w:t>
      </w:r>
      <w:proofErr w:type="spellEnd"/>
      <w:r w:rsidR="00CF38FD" w:rsidRPr="009E38A2">
        <w:rPr>
          <w:rFonts w:ascii="Palatino Linotype" w:hAnsi="Palatino Linotype"/>
          <w:b/>
          <w:sz w:val="24"/>
          <w:szCs w:val="24"/>
          <w:highlight w:val="yellow"/>
          <w:lang w:val="es-ES"/>
        </w:rPr>
        <w:t xml:space="preserve"> </w:t>
      </w:r>
      <w:proofErr w:type="spellStart"/>
      <w:r w:rsidR="00CF38FD" w:rsidRPr="009E38A2">
        <w:rPr>
          <w:rFonts w:ascii="Palatino Linotype" w:hAnsi="Palatino Linotype"/>
          <w:b/>
          <w:sz w:val="24"/>
          <w:szCs w:val="24"/>
          <w:highlight w:val="yellow"/>
          <w:lang w:val="es-ES"/>
        </w:rPr>
        <w:t>Cahueñas</w:t>
      </w:r>
      <w:proofErr w:type="spellEnd"/>
      <w:r w:rsidRPr="009E38A2">
        <w:rPr>
          <w:rFonts w:ascii="Palatino Linotype" w:hAnsi="Palatino Linotype"/>
          <w:b/>
          <w:sz w:val="24"/>
          <w:szCs w:val="24"/>
          <w:highlight w:val="yellow"/>
          <w:lang w:val="es-ES"/>
        </w:rPr>
        <w:t>;</w:t>
      </w:r>
      <w:r w:rsidRPr="009E38A2">
        <w:rPr>
          <w:rFonts w:ascii="Palatino Linotype" w:hAnsi="Palatino Linotype"/>
          <w:sz w:val="24"/>
          <w:szCs w:val="24"/>
          <w:highlight w:val="yellow"/>
          <w:lang w:val="es-ES"/>
        </w:rPr>
        <w:t xml:space="preserve"> </w:t>
      </w:r>
      <w:r w:rsidR="006A3767" w:rsidRPr="009E38A2">
        <w:rPr>
          <w:rFonts w:ascii="Palatino Linotype" w:hAnsi="Palatino Linotype"/>
          <w:sz w:val="24"/>
          <w:szCs w:val="24"/>
          <w:highlight w:val="yellow"/>
          <w:lang w:val="es-ES"/>
        </w:rPr>
        <w:t>de conformidad con el siguiente detalle</w:t>
      </w:r>
      <w:r w:rsidRPr="009E38A2">
        <w:rPr>
          <w:rFonts w:ascii="Palatino Linotype" w:hAnsi="Palatino Linotype"/>
          <w:sz w:val="24"/>
          <w:szCs w:val="24"/>
          <w:highlight w:val="yellow"/>
          <w:lang w:val="es-ES_tradnl"/>
        </w:rPr>
        <w:t xml:space="preserve">: </w:t>
      </w:r>
      <w:r w:rsidRPr="009E38A2">
        <w:rPr>
          <w:rFonts w:ascii="Palatino Linotype" w:hAnsi="Palatino Linotype"/>
          <w:b/>
          <w:sz w:val="24"/>
          <w:szCs w:val="24"/>
          <w:highlight w:val="yellow"/>
          <w:lang w:val="es-ES_tradnl"/>
        </w:rPr>
        <w:t>AFIRMATIVOS</w:t>
      </w:r>
      <w:r w:rsidR="00CD58A9" w:rsidRPr="009E38A2">
        <w:rPr>
          <w:rFonts w:ascii="Palatino Linotype" w:hAnsi="Palatino Linotype"/>
          <w:sz w:val="24"/>
          <w:szCs w:val="24"/>
          <w:highlight w:val="yellow"/>
          <w:lang w:val="es-ES_tradnl"/>
        </w:rPr>
        <w:t xml:space="preserve">: </w:t>
      </w:r>
      <w:r w:rsidR="009F1D56" w:rsidRPr="009E38A2">
        <w:rPr>
          <w:rFonts w:ascii="Palatino Linotype" w:hAnsi="Palatino Linotype"/>
          <w:sz w:val="24"/>
          <w:szCs w:val="24"/>
          <w:highlight w:val="yellow"/>
          <w:lang w:val="es-ES_tradnl"/>
        </w:rPr>
        <w:t>DO</w:t>
      </w:r>
      <w:r w:rsidR="009E25E5" w:rsidRPr="009E38A2">
        <w:rPr>
          <w:rFonts w:ascii="Palatino Linotype" w:hAnsi="Palatino Linotype"/>
          <w:sz w:val="24"/>
          <w:szCs w:val="24"/>
          <w:highlight w:val="yellow"/>
          <w:lang w:val="es-ES_tradnl"/>
        </w:rPr>
        <w:t>S (</w:t>
      </w:r>
      <w:r w:rsidR="009F1D56" w:rsidRPr="009E38A2">
        <w:rPr>
          <w:rFonts w:ascii="Palatino Linotype" w:hAnsi="Palatino Linotype"/>
          <w:sz w:val="24"/>
          <w:szCs w:val="24"/>
          <w:highlight w:val="yellow"/>
          <w:lang w:val="es-ES_tradnl"/>
        </w:rPr>
        <w:t>2</w:t>
      </w:r>
      <w:r w:rsidRPr="009E38A2">
        <w:rPr>
          <w:rFonts w:ascii="Palatino Linotype" w:hAnsi="Palatino Linotype"/>
          <w:sz w:val="24"/>
          <w:szCs w:val="24"/>
          <w:highlight w:val="yellow"/>
          <w:lang w:val="es-ES_tradnl"/>
        </w:rPr>
        <w:t xml:space="preserve">). </w:t>
      </w:r>
      <w:r w:rsidRPr="009E38A2">
        <w:rPr>
          <w:rFonts w:ascii="Palatino Linotype" w:hAnsi="Palatino Linotype"/>
          <w:b/>
          <w:sz w:val="24"/>
          <w:szCs w:val="24"/>
          <w:highlight w:val="yellow"/>
          <w:lang w:val="es-ES_tradnl"/>
        </w:rPr>
        <w:t>NEGATIVOS</w:t>
      </w:r>
      <w:r w:rsidRPr="009E38A2">
        <w:rPr>
          <w:rFonts w:ascii="Palatino Linotype" w:hAnsi="Palatino Linotype"/>
          <w:sz w:val="24"/>
          <w:szCs w:val="24"/>
          <w:highlight w:val="yellow"/>
          <w:lang w:val="es-ES_tradnl"/>
        </w:rPr>
        <w:t xml:space="preserve">: CERO (0). </w:t>
      </w:r>
      <w:r w:rsidRPr="009E38A2">
        <w:rPr>
          <w:rFonts w:ascii="Palatino Linotype" w:hAnsi="Palatino Linotype"/>
          <w:b/>
          <w:sz w:val="24"/>
          <w:szCs w:val="24"/>
          <w:highlight w:val="yellow"/>
          <w:lang w:val="es-ES_tradnl"/>
        </w:rPr>
        <w:t>ABSTENCIONES</w:t>
      </w:r>
      <w:r w:rsidR="00CD58A9" w:rsidRPr="009E38A2">
        <w:rPr>
          <w:rFonts w:ascii="Palatino Linotype" w:hAnsi="Palatino Linotype"/>
          <w:sz w:val="24"/>
          <w:szCs w:val="24"/>
          <w:highlight w:val="yellow"/>
          <w:lang w:val="es-ES_tradnl"/>
        </w:rPr>
        <w:t>: CERO</w:t>
      </w:r>
      <w:r w:rsidRPr="009E38A2">
        <w:rPr>
          <w:rFonts w:ascii="Palatino Linotype" w:hAnsi="Palatino Linotype"/>
          <w:sz w:val="24"/>
          <w:szCs w:val="24"/>
          <w:highlight w:val="yellow"/>
          <w:lang w:val="es-ES_tradnl"/>
        </w:rPr>
        <w:t xml:space="preserve"> (0). </w:t>
      </w:r>
      <w:r w:rsidRPr="009E38A2">
        <w:rPr>
          <w:rFonts w:ascii="Palatino Linotype" w:hAnsi="Palatino Linotype"/>
          <w:b/>
          <w:sz w:val="24"/>
          <w:szCs w:val="24"/>
          <w:highlight w:val="yellow"/>
          <w:lang w:val="es-ES_tradnl"/>
        </w:rPr>
        <w:t>BLANCOS</w:t>
      </w:r>
      <w:r w:rsidR="00CD58A9" w:rsidRPr="009E38A2">
        <w:rPr>
          <w:rFonts w:ascii="Palatino Linotype" w:hAnsi="Palatino Linotype"/>
          <w:sz w:val="24"/>
          <w:szCs w:val="24"/>
          <w:highlight w:val="yellow"/>
          <w:lang w:val="es-ES_tradnl"/>
        </w:rPr>
        <w:t xml:space="preserve">: CERO </w:t>
      </w:r>
      <w:r w:rsidRPr="009E38A2">
        <w:rPr>
          <w:rFonts w:ascii="Palatino Linotype" w:hAnsi="Palatino Linotype"/>
          <w:sz w:val="24"/>
          <w:szCs w:val="24"/>
          <w:highlight w:val="yellow"/>
          <w:lang w:val="es-ES_tradnl"/>
        </w:rPr>
        <w:t xml:space="preserve">(0). </w:t>
      </w:r>
      <w:r w:rsidRPr="009E38A2">
        <w:rPr>
          <w:rFonts w:ascii="Palatino Linotype" w:hAnsi="Palatino Linotype"/>
          <w:b/>
          <w:sz w:val="24"/>
          <w:szCs w:val="24"/>
          <w:highlight w:val="yellow"/>
          <w:lang w:val="es-ES_tradnl"/>
        </w:rPr>
        <w:t>CONCEJALES AUSENTES EN LA VOTACIÓN</w:t>
      </w:r>
      <w:r w:rsidR="00207DBB" w:rsidRPr="009E38A2">
        <w:rPr>
          <w:rFonts w:ascii="Palatino Linotype" w:hAnsi="Palatino Linotype"/>
          <w:sz w:val="24"/>
          <w:szCs w:val="24"/>
          <w:highlight w:val="yellow"/>
          <w:lang w:val="es-ES_tradnl"/>
        </w:rPr>
        <w:t xml:space="preserve">: </w:t>
      </w:r>
      <w:r w:rsidR="009F1D56" w:rsidRPr="009E38A2">
        <w:rPr>
          <w:rFonts w:ascii="Palatino Linotype" w:hAnsi="Palatino Linotype"/>
          <w:sz w:val="24"/>
          <w:szCs w:val="24"/>
          <w:highlight w:val="yellow"/>
          <w:lang w:val="es-ES_tradnl"/>
        </w:rPr>
        <w:t>UN</w:t>
      </w:r>
      <w:r w:rsidR="00CF38FD" w:rsidRPr="009E38A2">
        <w:rPr>
          <w:rFonts w:ascii="Palatino Linotype" w:hAnsi="Palatino Linotype"/>
          <w:sz w:val="24"/>
          <w:szCs w:val="24"/>
          <w:highlight w:val="yellow"/>
          <w:lang w:val="es-ES_tradnl"/>
        </w:rPr>
        <w:t>O</w:t>
      </w:r>
      <w:r w:rsidRPr="009E38A2">
        <w:rPr>
          <w:rFonts w:ascii="Palatino Linotype" w:hAnsi="Palatino Linotype"/>
          <w:sz w:val="24"/>
          <w:szCs w:val="24"/>
          <w:highlight w:val="yellow"/>
          <w:lang w:val="es-ES_tradnl"/>
        </w:rPr>
        <w:t xml:space="preserve"> (</w:t>
      </w:r>
      <w:r w:rsidR="00CF38FD" w:rsidRPr="009E38A2">
        <w:rPr>
          <w:rFonts w:ascii="Palatino Linotype" w:hAnsi="Palatino Linotype"/>
          <w:sz w:val="24"/>
          <w:szCs w:val="24"/>
          <w:highlight w:val="yellow"/>
          <w:lang w:val="es-ES_tradnl"/>
        </w:rPr>
        <w:t>0</w:t>
      </w:r>
      <w:r w:rsidRPr="009E38A2">
        <w:rPr>
          <w:rFonts w:ascii="Palatino Linotype" w:hAnsi="Palatino Linotype"/>
          <w:sz w:val="24"/>
          <w:szCs w:val="24"/>
          <w:highlight w:val="yellow"/>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9E38A2"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865DF"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9E38A2" w:rsidP="00BB0066">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AA3170" w:rsidP="00840921">
            <w:pPr>
              <w:pStyle w:val="Prrafodelista"/>
              <w:spacing w:line="276" w:lineRule="auto"/>
              <w:ind w:left="0"/>
              <w:rPr>
                <w:rFonts w:ascii="Palatino Linotype" w:hAnsi="Palatino Linotype"/>
                <w:bCs/>
                <w:sz w:val="24"/>
                <w:szCs w:val="24"/>
                <w:lang w:val="es-ES_tradnl"/>
              </w:rPr>
            </w:pPr>
            <w:proofErr w:type="spellStart"/>
            <w:r>
              <w:rPr>
                <w:rFonts w:ascii="Palatino Linotype" w:hAnsi="Palatino Linotype"/>
                <w:bCs/>
                <w:sz w:val="24"/>
                <w:szCs w:val="24"/>
                <w:lang w:val="es-ES_tradnl"/>
              </w:rPr>
              <w:t>Dari</w:t>
            </w:r>
            <w:r w:rsidR="00B55CF5" w:rsidRPr="008A4EEA">
              <w:rPr>
                <w:rFonts w:ascii="Palatino Linotype" w:hAnsi="Palatino Linotype"/>
                <w:bCs/>
                <w:sz w:val="24"/>
                <w:szCs w:val="24"/>
                <w:lang w:val="es-ES_tradnl"/>
              </w:rPr>
              <w:t>o</w:t>
            </w:r>
            <w:proofErr w:type="spellEnd"/>
            <w:r w:rsidR="00B55CF5" w:rsidRPr="008A4EEA">
              <w:rPr>
                <w:rFonts w:ascii="Palatino Linotype" w:hAnsi="Palatino Linotype"/>
                <w:bCs/>
                <w:sz w:val="24"/>
                <w:szCs w:val="24"/>
                <w:lang w:val="es-ES_tradnl"/>
              </w:rPr>
              <w:t xml:space="preserve"> </w:t>
            </w:r>
            <w:proofErr w:type="spellStart"/>
            <w:r w:rsidR="00B55CF5"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9E38A2" w:rsidP="009E25E5">
            <w:pPr>
              <w:spacing w:line="276" w:lineRule="auto"/>
              <w:jc w:val="center"/>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55CF5" w:rsidRPr="00BB0066" w:rsidRDefault="009F1D56" w:rsidP="00B55CF5">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9E38A2"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9E38A2"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Quito D</w:t>
      </w:r>
      <w:r w:rsidRPr="008F3398">
        <w:rPr>
          <w:rFonts w:ascii="Palatino Linotype" w:hAnsi="Palatino Linotype"/>
          <w:sz w:val="24"/>
          <w:szCs w:val="24"/>
          <w:highlight w:val="yellow"/>
          <w:lang w:val="es-ES"/>
        </w:rPr>
        <w:t>.M.</w:t>
      </w:r>
      <w:proofErr w:type="gramStart"/>
      <w:r w:rsidRPr="008F3398">
        <w:rPr>
          <w:rFonts w:ascii="Palatino Linotype" w:hAnsi="Palatino Linotype"/>
          <w:sz w:val="24"/>
          <w:szCs w:val="24"/>
          <w:highlight w:val="yellow"/>
          <w:lang w:val="es-ES"/>
        </w:rPr>
        <w:t xml:space="preserve">, </w:t>
      </w:r>
      <w:r w:rsidR="00852175" w:rsidRPr="008F3398">
        <w:rPr>
          <w:rFonts w:ascii="Palatino Linotype" w:hAnsi="Palatino Linotype"/>
          <w:sz w:val="24"/>
          <w:szCs w:val="24"/>
          <w:highlight w:val="yellow"/>
          <w:lang w:val="es-ES"/>
        </w:rPr>
        <w:t xml:space="preserve"> de</w:t>
      </w:r>
      <w:proofErr w:type="gramEnd"/>
      <w:r w:rsidR="00852175" w:rsidRPr="008F3398">
        <w:rPr>
          <w:rFonts w:ascii="Palatino Linotype" w:hAnsi="Palatino Linotype"/>
          <w:sz w:val="24"/>
          <w:szCs w:val="24"/>
          <w:highlight w:val="yellow"/>
          <w:lang w:val="es-ES"/>
        </w:rPr>
        <w:t xml:space="preserve"> </w:t>
      </w:r>
      <w:r w:rsidR="00E865DF" w:rsidRPr="008F3398">
        <w:rPr>
          <w:rFonts w:ascii="Palatino Linotype" w:hAnsi="Palatino Linotype"/>
          <w:sz w:val="24"/>
          <w:szCs w:val="24"/>
          <w:highlight w:val="yellow"/>
          <w:lang w:val="es-ES"/>
        </w:rPr>
        <w:t>junio</w:t>
      </w:r>
      <w:r w:rsidR="005D2D8A" w:rsidRPr="008F3398">
        <w:rPr>
          <w:rFonts w:ascii="Palatino Linotype" w:hAnsi="Palatino Linotype"/>
          <w:sz w:val="24"/>
          <w:szCs w:val="24"/>
          <w:highlight w:val="yellow"/>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bookmarkStart w:id="0" w:name="_GoBack"/>
      <w:bookmarkEnd w:id="0"/>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BE1B6A">
      <w:headerReference w:type="default" r:id="rId8"/>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A8" w:rsidRDefault="006B54A8" w:rsidP="00EC7E3D">
      <w:pPr>
        <w:spacing w:after="0" w:line="240" w:lineRule="auto"/>
      </w:pPr>
      <w:r>
        <w:separator/>
      </w:r>
    </w:p>
  </w:endnote>
  <w:endnote w:type="continuationSeparator" w:id="0">
    <w:p w:rsidR="006B54A8" w:rsidRDefault="006B54A8"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A8" w:rsidRDefault="006B54A8" w:rsidP="00EC7E3D">
      <w:pPr>
        <w:spacing w:after="0" w:line="240" w:lineRule="auto"/>
      </w:pPr>
      <w:r>
        <w:separator/>
      </w:r>
    </w:p>
  </w:footnote>
  <w:footnote w:type="continuationSeparator" w:id="0">
    <w:p w:rsidR="006B54A8" w:rsidRDefault="006B54A8"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68" w:rsidRDefault="006B54A8">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B733C3A"/>
    <w:multiLevelType w:val="hybridMultilevel"/>
    <w:tmpl w:val="9B2C6828"/>
    <w:lvl w:ilvl="0" w:tplc="CBD65B14">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7"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15:restartNumberingAfterBreak="0">
    <w:nsid w:val="38B07136"/>
    <w:multiLevelType w:val="hybridMultilevel"/>
    <w:tmpl w:val="F08CD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51258DC"/>
    <w:multiLevelType w:val="hybridMultilevel"/>
    <w:tmpl w:val="D606222E"/>
    <w:lvl w:ilvl="0" w:tplc="ABE28C8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5F60197"/>
    <w:multiLevelType w:val="hybridMultilevel"/>
    <w:tmpl w:val="D21271D0"/>
    <w:lvl w:ilvl="0" w:tplc="D0BA183A">
      <w:start w:val="1"/>
      <w:numFmt w:val="decimal"/>
      <w:lvlText w:val="%1."/>
      <w:lvlJc w:val="left"/>
      <w:pPr>
        <w:ind w:left="1410" w:hanging="69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94274FA"/>
    <w:multiLevelType w:val="hybridMultilevel"/>
    <w:tmpl w:val="C9041AA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1"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4"/>
  </w:num>
  <w:num w:numId="4">
    <w:abstractNumId w:val="18"/>
  </w:num>
  <w:num w:numId="5">
    <w:abstractNumId w:val="12"/>
  </w:num>
  <w:num w:numId="6">
    <w:abstractNumId w:val="5"/>
  </w:num>
  <w:num w:numId="7">
    <w:abstractNumId w:val="7"/>
  </w:num>
  <w:num w:numId="8">
    <w:abstractNumId w:val="9"/>
  </w:num>
  <w:num w:numId="9">
    <w:abstractNumId w:val="19"/>
  </w:num>
  <w:num w:numId="10">
    <w:abstractNumId w:val="3"/>
  </w:num>
  <w:num w:numId="11">
    <w:abstractNumId w:val="17"/>
  </w:num>
  <w:num w:numId="12">
    <w:abstractNumId w:val="15"/>
  </w:num>
  <w:num w:numId="13">
    <w:abstractNumId w:val="0"/>
  </w:num>
  <w:num w:numId="14">
    <w:abstractNumId w:val="20"/>
  </w:num>
  <w:num w:numId="15">
    <w:abstractNumId w:val="10"/>
  </w:num>
  <w:num w:numId="16">
    <w:abstractNumId w:val="22"/>
  </w:num>
  <w:num w:numId="17">
    <w:abstractNumId w:val="1"/>
  </w:num>
  <w:num w:numId="18">
    <w:abstractNumId w:val="8"/>
  </w:num>
  <w:num w:numId="19">
    <w:abstractNumId w:val="11"/>
  </w:num>
  <w:num w:numId="20">
    <w:abstractNumId w:val="13"/>
  </w:num>
  <w:num w:numId="21">
    <w:abstractNumId w:val="16"/>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604E"/>
    <w:rsid w:val="00016817"/>
    <w:rsid w:val="00016BA3"/>
    <w:rsid w:val="00017508"/>
    <w:rsid w:val="00017893"/>
    <w:rsid w:val="00025E45"/>
    <w:rsid w:val="00027168"/>
    <w:rsid w:val="000309C2"/>
    <w:rsid w:val="00035ED2"/>
    <w:rsid w:val="000426AF"/>
    <w:rsid w:val="00044C33"/>
    <w:rsid w:val="00044CA6"/>
    <w:rsid w:val="00044F4F"/>
    <w:rsid w:val="00046C68"/>
    <w:rsid w:val="0005008F"/>
    <w:rsid w:val="000500A7"/>
    <w:rsid w:val="00052339"/>
    <w:rsid w:val="00062579"/>
    <w:rsid w:val="00064EE6"/>
    <w:rsid w:val="00065498"/>
    <w:rsid w:val="00065969"/>
    <w:rsid w:val="000668AF"/>
    <w:rsid w:val="00071432"/>
    <w:rsid w:val="000728DF"/>
    <w:rsid w:val="00077E81"/>
    <w:rsid w:val="00081A7D"/>
    <w:rsid w:val="00082013"/>
    <w:rsid w:val="00083471"/>
    <w:rsid w:val="00086462"/>
    <w:rsid w:val="000917D9"/>
    <w:rsid w:val="00093B25"/>
    <w:rsid w:val="00094411"/>
    <w:rsid w:val="00097B55"/>
    <w:rsid w:val="000A2FA2"/>
    <w:rsid w:val="000A393E"/>
    <w:rsid w:val="000A4C28"/>
    <w:rsid w:val="000A535C"/>
    <w:rsid w:val="000B3CB5"/>
    <w:rsid w:val="000B6E5D"/>
    <w:rsid w:val="000B769B"/>
    <w:rsid w:val="000C033A"/>
    <w:rsid w:val="000C2679"/>
    <w:rsid w:val="000C3E96"/>
    <w:rsid w:val="000C60D5"/>
    <w:rsid w:val="000C6573"/>
    <w:rsid w:val="000C7C0E"/>
    <w:rsid w:val="000D074B"/>
    <w:rsid w:val="000D1EB7"/>
    <w:rsid w:val="000D4688"/>
    <w:rsid w:val="000D6F8E"/>
    <w:rsid w:val="000E026C"/>
    <w:rsid w:val="000E169C"/>
    <w:rsid w:val="000E4304"/>
    <w:rsid w:val="000E4C77"/>
    <w:rsid w:val="000F0B16"/>
    <w:rsid w:val="000F18A5"/>
    <w:rsid w:val="000F4632"/>
    <w:rsid w:val="000F4BCC"/>
    <w:rsid w:val="000F575E"/>
    <w:rsid w:val="000F676B"/>
    <w:rsid w:val="00100DEA"/>
    <w:rsid w:val="00100F4F"/>
    <w:rsid w:val="0010166A"/>
    <w:rsid w:val="00103BA0"/>
    <w:rsid w:val="00104198"/>
    <w:rsid w:val="001050EC"/>
    <w:rsid w:val="00105D65"/>
    <w:rsid w:val="001129C6"/>
    <w:rsid w:val="001154F5"/>
    <w:rsid w:val="0012363D"/>
    <w:rsid w:val="00125490"/>
    <w:rsid w:val="001263F1"/>
    <w:rsid w:val="00127022"/>
    <w:rsid w:val="00131EA4"/>
    <w:rsid w:val="00133E7E"/>
    <w:rsid w:val="001358EE"/>
    <w:rsid w:val="001436EB"/>
    <w:rsid w:val="00144432"/>
    <w:rsid w:val="001457A1"/>
    <w:rsid w:val="00146538"/>
    <w:rsid w:val="00146C5E"/>
    <w:rsid w:val="001513D6"/>
    <w:rsid w:val="001565A1"/>
    <w:rsid w:val="001621C2"/>
    <w:rsid w:val="0016469E"/>
    <w:rsid w:val="00165DC8"/>
    <w:rsid w:val="00165F3E"/>
    <w:rsid w:val="00174F0D"/>
    <w:rsid w:val="001761AE"/>
    <w:rsid w:val="001773F4"/>
    <w:rsid w:val="001819DB"/>
    <w:rsid w:val="00182075"/>
    <w:rsid w:val="0018289D"/>
    <w:rsid w:val="00184665"/>
    <w:rsid w:val="00184E9A"/>
    <w:rsid w:val="00192C61"/>
    <w:rsid w:val="00195473"/>
    <w:rsid w:val="00195A72"/>
    <w:rsid w:val="00196DF2"/>
    <w:rsid w:val="001A087F"/>
    <w:rsid w:val="001A13B1"/>
    <w:rsid w:val="001A1C42"/>
    <w:rsid w:val="001A2277"/>
    <w:rsid w:val="001B4CAB"/>
    <w:rsid w:val="001B4F7C"/>
    <w:rsid w:val="001C0B51"/>
    <w:rsid w:val="001C1DCD"/>
    <w:rsid w:val="001D2538"/>
    <w:rsid w:val="001D26D3"/>
    <w:rsid w:val="001D66BB"/>
    <w:rsid w:val="001E0996"/>
    <w:rsid w:val="001E54F7"/>
    <w:rsid w:val="001E5D11"/>
    <w:rsid w:val="001F34D7"/>
    <w:rsid w:val="001F63F2"/>
    <w:rsid w:val="001F6E01"/>
    <w:rsid w:val="001F73CA"/>
    <w:rsid w:val="001F7861"/>
    <w:rsid w:val="002049C3"/>
    <w:rsid w:val="00207DBB"/>
    <w:rsid w:val="00211F36"/>
    <w:rsid w:val="00212E67"/>
    <w:rsid w:val="002165AA"/>
    <w:rsid w:val="00216659"/>
    <w:rsid w:val="00216834"/>
    <w:rsid w:val="00224783"/>
    <w:rsid w:val="00225A07"/>
    <w:rsid w:val="00227730"/>
    <w:rsid w:val="00227B2A"/>
    <w:rsid w:val="00227BD8"/>
    <w:rsid w:val="00227E6B"/>
    <w:rsid w:val="00230095"/>
    <w:rsid w:val="0023355B"/>
    <w:rsid w:val="002350BB"/>
    <w:rsid w:val="00236DAA"/>
    <w:rsid w:val="00237B4A"/>
    <w:rsid w:val="00241579"/>
    <w:rsid w:val="00241ABE"/>
    <w:rsid w:val="00244A25"/>
    <w:rsid w:val="00260579"/>
    <w:rsid w:val="00263F82"/>
    <w:rsid w:val="002673A9"/>
    <w:rsid w:val="0027003D"/>
    <w:rsid w:val="00270949"/>
    <w:rsid w:val="00274F6E"/>
    <w:rsid w:val="00275CF8"/>
    <w:rsid w:val="00276663"/>
    <w:rsid w:val="00282813"/>
    <w:rsid w:val="00284A82"/>
    <w:rsid w:val="002852EE"/>
    <w:rsid w:val="002913A2"/>
    <w:rsid w:val="00292247"/>
    <w:rsid w:val="00292C32"/>
    <w:rsid w:val="00293D3B"/>
    <w:rsid w:val="00295EC0"/>
    <w:rsid w:val="00296035"/>
    <w:rsid w:val="002A163F"/>
    <w:rsid w:val="002A21CD"/>
    <w:rsid w:val="002A28D2"/>
    <w:rsid w:val="002A3156"/>
    <w:rsid w:val="002A5C54"/>
    <w:rsid w:val="002B34FC"/>
    <w:rsid w:val="002C03CB"/>
    <w:rsid w:val="002C102A"/>
    <w:rsid w:val="002C1320"/>
    <w:rsid w:val="002C66A4"/>
    <w:rsid w:val="002C6DA2"/>
    <w:rsid w:val="002D4F52"/>
    <w:rsid w:val="002E006B"/>
    <w:rsid w:val="002E059B"/>
    <w:rsid w:val="002E72F4"/>
    <w:rsid w:val="003015DD"/>
    <w:rsid w:val="00302221"/>
    <w:rsid w:val="003022B1"/>
    <w:rsid w:val="00303654"/>
    <w:rsid w:val="003069D9"/>
    <w:rsid w:val="003105CB"/>
    <w:rsid w:val="0031193D"/>
    <w:rsid w:val="00312025"/>
    <w:rsid w:val="003145D3"/>
    <w:rsid w:val="003202B6"/>
    <w:rsid w:val="00327021"/>
    <w:rsid w:val="00327C1F"/>
    <w:rsid w:val="0033691B"/>
    <w:rsid w:val="003369EF"/>
    <w:rsid w:val="00337822"/>
    <w:rsid w:val="00340D42"/>
    <w:rsid w:val="0034153D"/>
    <w:rsid w:val="00344386"/>
    <w:rsid w:val="00346D69"/>
    <w:rsid w:val="00350B4B"/>
    <w:rsid w:val="003515BC"/>
    <w:rsid w:val="003530AB"/>
    <w:rsid w:val="00354765"/>
    <w:rsid w:val="00355542"/>
    <w:rsid w:val="00362407"/>
    <w:rsid w:val="003650D5"/>
    <w:rsid w:val="00365507"/>
    <w:rsid w:val="00372043"/>
    <w:rsid w:val="003743F1"/>
    <w:rsid w:val="00375D08"/>
    <w:rsid w:val="0037627D"/>
    <w:rsid w:val="0038695F"/>
    <w:rsid w:val="00390215"/>
    <w:rsid w:val="00390979"/>
    <w:rsid w:val="00390D15"/>
    <w:rsid w:val="00391B39"/>
    <w:rsid w:val="003940B4"/>
    <w:rsid w:val="003A1C36"/>
    <w:rsid w:val="003A7306"/>
    <w:rsid w:val="003B1243"/>
    <w:rsid w:val="003B3B21"/>
    <w:rsid w:val="003B6456"/>
    <w:rsid w:val="003C168B"/>
    <w:rsid w:val="003C2A8B"/>
    <w:rsid w:val="003C2CCB"/>
    <w:rsid w:val="003C373A"/>
    <w:rsid w:val="003C3B53"/>
    <w:rsid w:val="003C3BE2"/>
    <w:rsid w:val="003C7876"/>
    <w:rsid w:val="003D27F6"/>
    <w:rsid w:val="003D4663"/>
    <w:rsid w:val="003E2999"/>
    <w:rsid w:val="003F341A"/>
    <w:rsid w:val="003F351B"/>
    <w:rsid w:val="003F6893"/>
    <w:rsid w:val="004119CB"/>
    <w:rsid w:val="00417F54"/>
    <w:rsid w:val="00422D6B"/>
    <w:rsid w:val="0042627E"/>
    <w:rsid w:val="0042789B"/>
    <w:rsid w:val="004345C9"/>
    <w:rsid w:val="00440773"/>
    <w:rsid w:val="0044594F"/>
    <w:rsid w:val="00446DBC"/>
    <w:rsid w:val="00451372"/>
    <w:rsid w:val="0046256F"/>
    <w:rsid w:val="0046284C"/>
    <w:rsid w:val="00462AA6"/>
    <w:rsid w:val="004650D9"/>
    <w:rsid w:val="00477767"/>
    <w:rsid w:val="00477AD1"/>
    <w:rsid w:val="00492B19"/>
    <w:rsid w:val="0049546A"/>
    <w:rsid w:val="004A0613"/>
    <w:rsid w:val="004A0699"/>
    <w:rsid w:val="004A0D86"/>
    <w:rsid w:val="004A2080"/>
    <w:rsid w:val="004A3D3F"/>
    <w:rsid w:val="004A5A05"/>
    <w:rsid w:val="004A73C0"/>
    <w:rsid w:val="004A7BB8"/>
    <w:rsid w:val="004B1619"/>
    <w:rsid w:val="004B2439"/>
    <w:rsid w:val="004B55F1"/>
    <w:rsid w:val="004B5A5A"/>
    <w:rsid w:val="004B62E5"/>
    <w:rsid w:val="004C2F39"/>
    <w:rsid w:val="004C5AE7"/>
    <w:rsid w:val="004D2D61"/>
    <w:rsid w:val="004D5AAC"/>
    <w:rsid w:val="004E3E66"/>
    <w:rsid w:val="004E4740"/>
    <w:rsid w:val="004E514A"/>
    <w:rsid w:val="004E517C"/>
    <w:rsid w:val="004E567A"/>
    <w:rsid w:val="004F1BD7"/>
    <w:rsid w:val="0050050A"/>
    <w:rsid w:val="005031C4"/>
    <w:rsid w:val="00507627"/>
    <w:rsid w:val="005103DA"/>
    <w:rsid w:val="005124E5"/>
    <w:rsid w:val="005130C7"/>
    <w:rsid w:val="00517571"/>
    <w:rsid w:val="00521894"/>
    <w:rsid w:val="005226AB"/>
    <w:rsid w:val="005244A8"/>
    <w:rsid w:val="00524C1A"/>
    <w:rsid w:val="005317BC"/>
    <w:rsid w:val="00537865"/>
    <w:rsid w:val="00540439"/>
    <w:rsid w:val="005428EE"/>
    <w:rsid w:val="00545E5A"/>
    <w:rsid w:val="00547E2C"/>
    <w:rsid w:val="00550F92"/>
    <w:rsid w:val="00553F50"/>
    <w:rsid w:val="00556175"/>
    <w:rsid w:val="0055642F"/>
    <w:rsid w:val="005578DD"/>
    <w:rsid w:val="00560BE3"/>
    <w:rsid w:val="00563312"/>
    <w:rsid w:val="00563C2B"/>
    <w:rsid w:val="005640B7"/>
    <w:rsid w:val="00571015"/>
    <w:rsid w:val="00577A1A"/>
    <w:rsid w:val="00585564"/>
    <w:rsid w:val="00590A5E"/>
    <w:rsid w:val="00591860"/>
    <w:rsid w:val="00593B87"/>
    <w:rsid w:val="00593D24"/>
    <w:rsid w:val="0059593F"/>
    <w:rsid w:val="005A0154"/>
    <w:rsid w:val="005A057C"/>
    <w:rsid w:val="005A4788"/>
    <w:rsid w:val="005A5507"/>
    <w:rsid w:val="005B17F6"/>
    <w:rsid w:val="005B25F5"/>
    <w:rsid w:val="005B2DE0"/>
    <w:rsid w:val="005B31FB"/>
    <w:rsid w:val="005B412A"/>
    <w:rsid w:val="005B48B5"/>
    <w:rsid w:val="005C232F"/>
    <w:rsid w:val="005D1541"/>
    <w:rsid w:val="005D24FB"/>
    <w:rsid w:val="005D2D8A"/>
    <w:rsid w:val="005D329A"/>
    <w:rsid w:val="005D3D2C"/>
    <w:rsid w:val="005D448A"/>
    <w:rsid w:val="005E13E8"/>
    <w:rsid w:val="005E2A16"/>
    <w:rsid w:val="005E2DC5"/>
    <w:rsid w:val="005E4C0C"/>
    <w:rsid w:val="005E7E8F"/>
    <w:rsid w:val="005F594D"/>
    <w:rsid w:val="005F5FAD"/>
    <w:rsid w:val="005F6715"/>
    <w:rsid w:val="005F755A"/>
    <w:rsid w:val="00601751"/>
    <w:rsid w:val="00601D5B"/>
    <w:rsid w:val="0060302C"/>
    <w:rsid w:val="00604A0C"/>
    <w:rsid w:val="00605954"/>
    <w:rsid w:val="00605F98"/>
    <w:rsid w:val="00610054"/>
    <w:rsid w:val="00610EE7"/>
    <w:rsid w:val="00613202"/>
    <w:rsid w:val="00613224"/>
    <w:rsid w:val="00615E36"/>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20EE"/>
    <w:rsid w:val="00663FC4"/>
    <w:rsid w:val="006724BF"/>
    <w:rsid w:val="00673398"/>
    <w:rsid w:val="00674FD6"/>
    <w:rsid w:val="00677CE5"/>
    <w:rsid w:val="00680C15"/>
    <w:rsid w:val="00680D38"/>
    <w:rsid w:val="00690392"/>
    <w:rsid w:val="00693816"/>
    <w:rsid w:val="006A2C57"/>
    <w:rsid w:val="006A2CAF"/>
    <w:rsid w:val="006A3767"/>
    <w:rsid w:val="006A4C66"/>
    <w:rsid w:val="006A6092"/>
    <w:rsid w:val="006A74AF"/>
    <w:rsid w:val="006B0CA2"/>
    <w:rsid w:val="006B4E9C"/>
    <w:rsid w:val="006B54A8"/>
    <w:rsid w:val="006C3145"/>
    <w:rsid w:val="006D0E3C"/>
    <w:rsid w:val="006D7083"/>
    <w:rsid w:val="006E5593"/>
    <w:rsid w:val="006E72DD"/>
    <w:rsid w:val="006F2A7B"/>
    <w:rsid w:val="006F38C0"/>
    <w:rsid w:val="006F7A2C"/>
    <w:rsid w:val="00701E38"/>
    <w:rsid w:val="00703FED"/>
    <w:rsid w:val="00704717"/>
    <w:rsid w:val="007050D0"/>
    <w:rsid w:val="007058F9"/>
    <w:rsid w:val="007058FC"/>
    <w:rsid w:val="00714A5F"/>
    <w:rsid w:val="007153C0"/>
    <w:rsid w:val="007155D3"/>
    <w:rsid w:val="00716D68"/>
    <w:rsid w:val="00721F02"/>
    <w:rsid w:val="00722BA9"/>
    <w:rsid w:val="00723074"/>
    <w:rsid w:val="00734CED"/>
    <w:rsid w:val="0074037E"/>
    <w:rsid w:val="0074202F"/>
    <w:rsid w:val="00743EC4"/>
    <w:rsid w:val="0074432A"/>
    <w:rsid w:val="00746E81"/>
    <w:rsid w:val="00747766"/>
    <w:rsid w:val="0075126A"/>
    <w:rsid w:val="007520F7"/>
    <w:rsid w:val="00754CF0"/>
    <w:rsid w:val="00754D46"/>
    <w:rsid w:val="00762EBE"/>
    <w:rsid w:val="0077206F"/>
    <w:rsid w:val="00774EDF"/>
    <w:rsid w:val="0077746C"/>
    <w:rsid w:val="00780743"/>
    <w:rsid w:val="00783E15"/>
    <w:rsid w:val="00790BD5"/>
    <w:rsid w:val="00793B8F"/>
    <w:rsid w:val="007943CE"/>
    <w:rsid w:val="007A443E"/>
    <w:rsid w:val="007A7CF4"/>
    <w:rsid w:val="007B38FD"/>
    <w:rsid w:val="007B3A1D"/>
    <w:rsid w:val="007B4E55"/>
    <w:rsid w:val="007B4E8F"/>
    <w:rsid w:val="007B60F8"/>
    <w:rsid w:val="007B7B36"/>
    <w:rsid w:val="007B7BD9"/>
    <w:rsid w:val="007C6199"/>
    <w:rsid w:val="007D03E3"/>
    <w:rsid w:val="007D5590"/>
    <w:rsid w:val="007D56A3"/>
    <w:rsid w:val="007D57EE"/>
    <w:rsid w:val="007D6C6A"/>
    <w:rsid w:val="007E21E2"/>
    <w:rsid w:val="007E3CE1"/>
    <w:rsid w:val="007E412C"/>
    <w:rsid w:val="007E4829"/>
    <w:rsid w:val="007E5198"/>
    <w:rsid w:val="007F23A0"/>
    <w:rsid w:val="007F2917"/>
    <w:rsid w:val="007F5262"/>
    <w:rsid w:val="007F6707"/>
    <w:rsid w:val="00802DC6"/>
    <w:rsid w:val="008041D2"/>
    <w:rsid w:val="0081036D"/>
    <w:rsid w:val="008107FE"/>
    <w:rsid w:val="008114F6"/>
    <w:rsid w:val="00811BB6"/>
    <w:rsid w:val="008132DA"/>
    <w:rsid w:val="00813520"/>
    <w:rsid w:val="00814B85"/>
    <w:rsid w:val="0082236C"/>
    <w:rsid w:val="0082767D"/>
    <w:rsid w:val="0083037F"/>
    <w:rsid w:val="008340AE"/>
    <w:rsid w:val="00837CEB"/>
    <w:rsid w:val="00840921"/>
    <w:rsid w:val="00842945"/>
    <w:rsid w:val="00847622"/>
    <w:rsid w:val="00847EBF"/>
    <w:rsid w:val="00851930"/>
    <w:rsid w:val="00852175"/>
    <w:rsid w:val="008524FA"/>
    <w:rsid w:val="00856A2A"/>
    <w:rsid w:val="00856AD3"/>
    <w:rsid w:val="00857641"/>
    <w:rsid w:val="00860C22"/>
    <w:rsid w:val="0086129D"/>
    <w:rsid w:val="008637EE"/>
    <w:rsid w:val="00865642"/>
    <w:rsid w:val="00871032"/>
    <w:rsid w:val="008712E8"/>
    <w:rsid w:val="00871591"/>
    <w:rsid w:val="00872899"/>
    <w:rsid w:val="00873702"/>
    <w:rsid w:val="008804AA"/>
    <w:rsid w:val="00881145"/>
    <w:rsid w:val="00881FA4"/>
    <w:rsid w:val="00885AA1"/>
    <w:rsid w:val="008874BF"/>
    <w:rsid w:val="00887577"/>
    <w:rsid w:val="00890048"/>
    <w:rsid w:val="00893AED"/>
    <w:rsid w:val="0089609A"/>
    <w:rsid w:val="008A101B"/>
    <w:rsid w:val="008A1ABC"/>
    <w:rsid w:val="008A2FD5"/>
    <w:rsid w:val="008A4EEA"/>
    <w:rsid w:val="008A5C87"/>
    <w:rsid w:val="008A6115"/>
    <w:rsid w:val="008B1E09"/>
    <w:rsid w:val="008B2CFB"/>
    <w:rsid w:val="008B59E7"/>
    <w:rsid w:val="008B666E"/>
    <w:rsid w:val="008C4F46"/>
    <w:rsid w:val="008D0CA6"/>
    <w:rsid w:val="008D32EF"/>
    <w:rsid w:val="008D54EB"/>
    <w:rsid w:val="008E1B87"/>
    <w:rsid w:val="008E44B8"/>
    <w:rsid w:val="008F239C"/>
    <w:rsid w:val="008F2EC4"/>
    <w:rsid w:val="008F3398"/>
    <w:rsid w:val="008F4866"/>
    <w:rsid w:val="008F6006"/>
    <w:rsid w:val="00901B31"/>
    <w:rsid w:val="00902751"/>
    <w:rsid w:val="00904114"/>
    <w:rsid w:val="0090547A"/>
    <w:rsid w:val="00906F64"/>
    <w:rsid w:val="009122CB"/>
    <w:rsid w:val="00912BCB"/>
    <w:rsid w:val="00912EEE"/>
    <w:rsid w:val="0091732E"/>
    <w:rsid w:val="00930A34"/>
    <w:rsid w:val="00933969"/>
    <w:rsid w:val="00933AC8"/>
    <w:rsid w:val="00935004"/>
    <w:rsid w:val="00935A57"/>
    <w:rsid w:val="0093614D"/>
    <w:rsid w:val="00940D6A"/>
    <w:rsid w:val="00944BFE"/>
    <w:rsid w:val="009458ED"/>
    <w:rsid w:val="0095014B"/>
    <w:rsid w:val="00950B81"/>
    <w:rsid w:val="00951FDB"/>
    <w:rsid w:val="009618FC"/>
    <w:rsid w:val="0096199D"/>
    <w:rsid w:val="009637FD"/>
    <w:rsid w:val="0096409D"/>
    <w:rsid w:val="009644C5"/>
    <w:rsid w:val="009659F2"/>
    <w:rsid w:val="00966525"/>
    <w:rsid w:val="00966A5A"/>
    <w:rsid w:val="00972714"/>
    <w:rsid w:val="00972842"/>
    <w:rsid w:val="00974BBE"/>
    <w:rsid w:val="00975149"/>
    <w:rsid w:val="00982AE4"/>
    <w:rsid w:val="00985B29"/>
    <w:rsid w:val="00994FA3"/>
    <w:rsid w:val="009959C3"/>
    <w:rsid w:val="00995C8E"/>
    <w:rsid w:val="009A0B84"/>
    <w:rsid w:val="009A0E8C"/>
    <w:rsid w:val="009A247D"/>
    <w:rsid w:val="009A31AB"/>
    <w:rsid w:val="009A3CE8"/>
    <w:rsid w:val="009A54CA"/>
    <w:rsid w:val="009A7650"/>
    <w:rsid w:val="009B2D19"/>
    <w:rsid w:val="009B5455"/>
    <w:rsid w:val="009B54A4"/>
    <w:rsid w:val="009B56D9"/>
    <w:rsid w:val="009B5E6E"/>
    <w:rsid w:val="009C3CE2"/>
    <w:rsid w:val="009C42BB"/>
    <w:rsid w:val="009C5428"/>
    <w:rsid w:val="009C6656"/>
    <w:rsid w:val="009C6DC7"/>
    <w:rsid w:val="009D1484"/>
    <w:rsid w:val="009D30C9"/>
    <w:rsid w:val="009E25E5"/>
    <w:rsid w:val="009E2FA2"/>
    <w:rsid w:val="009E38A2"/>
    <w:rsid w:val="009E4BCA"/>
    <w:rsid w:val="009E5CA3"/>
    <w:rsid w:val="009E6FB3"/>
    <w:rsid w:val="009E6FD3"/>
    <w:rsid w:val="009E7638"/>
    <w:rsid w:val="009F1D56"/>
    <w:rsid w:val="009F7E03"/>
    <w:rsid w:val="00A02DB7"/>
    <w:rsid w:val="00A033A4"/>
    <w:rsid w:val="00A040CA"/>
    <w:rsid w:val="00A07EB7"/>
    <w:rsid w:val="00A10421"/>
    <w:rsid w:val="00A122E2"/>
    <w:rsid w:val="00A14830"/>
    <w:rsid w:val="00A1567E"/>
    <w:rsid w:val="00A15EED"/>
    <w:rsid w:val="00A21C18"/>
    <w:rsid w:val="00A23FA4"/>
    <w:rsid w:val="00A2502F"/>
    <w:rsid w:val="00A2728B"/>
    <w:rsid w:val="00A277AC"/>
    <w:rsid w:val="00A316DA"/>
    <w:rsid w:val="00A34ABA"/>
    <w:rsid w:val="00A3527B"/>
    <w:rsid w:val="00A35D34"/>
    <w:rsid w:val="00A363D1"/>
    <w:rsid w:val="00A40C7E"/>
    <w:rsid w:val="00A413BC"/>
    <w:rsid w:val="00A41FA0"/>
    <w:rsid w:val="00A51F7E"/>
    <w:rsid w:val="00A526D7"/>
    <w:rsid w:val="00A54802"/>
    <w:rsid w:val="00A5508C"/>
    <w:rsid w:val="00A6023C"/>
    <w:rsid w:val="00A64DE8"/>
    <w:rsid w:val="00A65789"/>
    <w:rsid w:val="00A666E0"/>
    <w:rsid w:val="00A74F15"/>
    <w:rsid w:val="00A75D8F"/>
    <w:rsid w:val="00A762A8"/>
    <w:rsid w:val="00A825E9"/>
    <w:rsid w:val="00A941CD"/>
    <w:rsid w:val="00AA3170"/>
    <w:rsid w:val="00AA336E"/>
    <w:rsid w:val="00AA4F2F"/>
    <w:rsid w:val="00AA721F"/>
    <w:rsid w:val="00AA7B32"/>
    <w:rsid w:val="00AB1E30"/>
    <w:rsid w:val="00AB5AB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4E3"/>
    <w:rsid w:val="00AF5821"/>
    <w:rsid w:val="00AF71F7"/>
    <w:rsid w:val="00B10EA2"/>
    <w:rsid w:val="00B120B7"/>
    <w:rsid w:val="00B201F0"/>
    <w:rsid w:val="00B2313A"/>
    <w:rsid w:val="00B24CB1"/>
    <w:rsid w:val="00B3281C"/>
    <w:rsid w:val="00B37B3A"/>
    <w:rsid w:val="00B44E67"/>
    <w:rsid w:val="00B454CA"/>
    <w:rsid w:val="00B53D20"/>
    <w:rsid w:val="00B55CF5"/>
    <w:rsid w:val="00B55FFD"/>
    <w:rsid w:val="00B60A32"/>
    <w:rsid w:val="00B630D4"/>
    <w:rsid w:val="00B7238B"/>
    <w:rsid w:val="00B73F6F"/>
    <w:rsid w:val="00B76200"/>
    <w:rsid w:val="00B807BA"/>
    <w:rsid w:val="00B80EB2"/>
    <w:rsid w:val="00B86107"/>
    <w:rsid w:val="00B86876"/>
    <w:rsid w:val="00B967A3"/>
    <w:rsid w:val="00B97FA0"/>
    <w:rsid w:val="00BA114F"/>
    <w:rsid w:val="00BA1A5D"/>
    <w:rsid w:val="00BA1C33"/>
    <w:rsid w:val="00BA1FC3"/>
    <w:rsid w:val="00BA2D16"/>
    <w:rsid w:val="00BA57AA"/>
    <w:rsid w:val="00BA69FD"/>
    <w:rsid w:val="00BB0066"/>
    <w:rsid w:val="00BB0A30"/>
    <w:rsid w:val="00BB6067"/>
    <w:rsid w:val="00BC1FE8"/>
    <w:rsid w:val="00BC2736"/>
    <w:rsid w:val="00BC29E1"/>
    <w:rsid w:val="00BC2C29"/>
    <w:rsid w:val="00BC45D4"/>
    <w:rsid w:val="00BC4C08"/>
    <w:rsid w:val="00BC5EE4"/>
    <w:rsid w:val="00BC638A"/>
    <w:rsid w:val="00BD0B55"/>
    <w:rsid w:val="00BD12D7"/>
    <w:rsid w:val="00BD34C8"/>
    <w:rsid w:val="00BD4213"/>
    <w:rsid w:val="00BD5F16"/>
    <w:rsid w:val="00BD63E7"/>
    <w:rsid w:val="00BE0CED"/>
    <w:rsid w:val="00BE1B6A"/>
    <w:rsid w:val="00BE67F4"/>
    <w:rsid w:val="00BE6D7D"/>
    <w:rsid w:val="00BE76C1"/>
    <w:rsid w:val="00BF6047"/>
    <w:rsid w:val="00BF6C5C"/>
    <w:rsid w:val="00BF750B"/>
    <w:rsid w:val="00C01FCC"/>
    <w:rsid w:val="00C020D2"/>
    <w:rsid w:val="00C03D5E"/>
    <w:rsid w:val="00C04C18"/>
    <w:rsid w:val="00C05617"/>
    <w:rsid w:val="00C064A9"/>
    <w:rsid w:val="00C113EC"/>
    <w:rsid w:val="00C144AB"/>
    <w:rsid w:val="00C1537F"/>
    <w:rsid w:val="00C20236"/>
    <w:rsid w:val="00C24276"/>
    <w:rsid w:val="00C24B64"/>
    <w:rsid w:val="00C2504E"/>
    <w:rsid w:val="00C26DDB"/>
    <w:rsid w:val="00C317F8"/>
    <w:rsid w:val="00C36E6C"/>
    <w:rsid w:val="00C3719D"/>
    <w:rsid w:val="00C41534"/>
    <w:rsid w:val="00C43138"/>
    <w:rsid w:val="00C51D1D"/>
    <w:rsid w:val="00C60A6F"/>
    <w:rsid w:val="00C60DCA"/>
    <w:rsid w:val="00C616CF"/>
    <w:rsid w:val="00C64999"/>
    <w:rsid w:val="00C656B6"/>
    <w:rsid w:val="00C8079B"/>
    <w:rsid w:val="00C80B23"/>
    <w:rsid w:val="00C816D4"/>
    <w:rsid w:val="00C82929"/>
    <w:rsid w:val="00C87768"/>
    <w:rsid w:val="00C91EF3"/>
    <w:rsid w:val="00C92085"/>
    <w:rsid w:val="00C94897"/>
    <w:rsid w:val="00C9513C"/>
    <w:rsid w:val="00CA1C9C"/>
    <w:rsid w:val="00CA35BE"/>
    <w:rsid w:val="00CA36B1"/>
    <w:rsid w:val="00CA5A20"/>
    <w:rsid w:val="00CA6DA5"/>
    <w:rsid w:val="00CB4A71"/>
    <w:rsid w:val="00CC0FB3"/>
    <w:rsid w:val="00CC3A03"/>
    <w:rsid w:val="00CC58CB"/>
    <w:rsid w:val="00CD306D"/>
    <w:rsid w:val="00CD4563"/>
    <w:rsid w:val="00CD58A9"/>
    <w:rsid w:val="00CE1FD9"/>
    <w:rsid w:val="00CF146C"/>
    <w:rsid w:val="00CF38FD"/>
    <w:rsid w:val="00CF577F"/>
    <w:rsid w:val="00CF640D"/>
    <w:rsid w:val="00CF6790"/>
    <w:rsid w:val="00D00399"/>
    <w:rsid w:val="00D02999"/>
    <w:rsid w:val="00D03491"/>
    <w:rsid w:val="00D04A67"/>
    <w:rsid w:val="00D061B5"/>
    <w:rsid w:val="00D12723"/>
    <w:rsid w:val="00D131C8"/>
    <w:rsid w:val="00D15A02"/>
    <w:rsid w:val="00D17482"/>
    <w:rsid w:val="00D23B2A"/>
    <w:rsid w:val="00D27119"/>
    <w:rsid w:val="00D31CF6"/>
    <w:rsid w:val="00D340ED"/>
    <w:rsid w:val="00D36201"/>
    <w:rsid w:val="00D4263B"/>
    <w:rsid w:val="00D501E7"/>
    <w:rsid w:val="00D50813"/>
    <w:rsid w:val="00D508DD"/>
    <w:rsid w:val="00D543DA"/>
    <w:rsid w:val="00D55BD1"/>
    <w:rsid w:val="00D569F7"/>
    <w:rsid w:val="00D60484"/>
    <w:rsid w:val="00D606B1"/>
    <w:rsid w:val="00D657B1"/>
    <w:rsid w:val="00D678C8"/>
    <w:rsid w:val="00D71E15"/>
    <w:rsid w:val="00D72961"/>
    <w:rsid w:val="00D82224"/>
    <w:rsid w:val="00D840A7"/>
    <w:rsid w:val="00D85938"/>
    <w:rsid w:val="00D93932"/>
    <w:rsid w:val="00D94526"/>
    <w:rsid w:val="00DA0E7C"/>
    <w:rsid w:val="00DB005E"/>
    <w:rsid w:val="00DB040D"/>
    <w:rsid w:val="00DB04F1"/>
    <w:rsid w:val="00DB080E"/>
    <w:rsid w:val="00DC1E4A"/>
    <w:rsid w:val="00DD2728"/>
    <w:rsid w:val="00DD6B47"/>
    <w:rsid w:val="00DE13AA"/>
    <w:rsid w:val="00DE5AE6"/>
    <w:rsid w:val="00DE6E6B"/>
    <w:rsid w:val="00DE7AC8"/>
    <w:rsid w:val="00DE7D97"/>
    <w:rsid w:val="00DE7FE5"/>
    <w:rsid w:val="00DF3A43"/>
    <w:rsid w:val="00DF3AAD"/>
    <w:rsid w:val="00DF43A5"/>
    <w:rsid w:val="00DF5266"/>
    <w:rsid w:val="00DF52BF"/>
    <w:rsid w:val="00DF7534"/>
    <w:rsid w:val="00E0236F"/>
    <w:rsid w:val="00E04A0B"/>
    <w:rsid w:val="00E06E31"/>
    <w:rsid w:val="00E07A2F"/>
    <w:rsid w:val="00E10BF7"/>
    <w:rsid w:val="00E115DC"/>
    <w:rsid w:val="00E12048"/>
    <w:rsid w:val="00E13ED7"/>
    <w:rsid w:val="00E14765"/>
    <w:rsid w:val="00E14A4A"/>
    <w:rsid w:val="00E1510C"/>
    <w:rsid w:val="00E17BD1"/>
    <w:rsid w:val="00E20204"/>
    <w:rsid w:val="00E216FC"/>
    <w:rsid w:val="00E223F8"/>
    <w:rsid w:val="00E22C7C"/>
    <w:rsid w:val="00E249E9"/>
    <w:rsid w:val="00E32E74"/>
    <w:rsid w:val="00E357B5"/>
    <w:rsid w:val="00E453EE"/>
    <w:rsid w:val="00E5387B"/>
    <w:rsid w:val="00E54068"/>
    <w:rsid w:val="00E61F92"/>
    <w:rsid w:val="00E65A73"/>
    <w:rsid w:val="00E65CAA"/>
    <w:rsid w:val="00E661BB"/>
    <w:rsid w:val="00E676A8"/>
    <w:rsid w:val="00E67AE8"/>
    <w:rsid w:val="00E740E4"/>
    <w:rsid w:val="00E74F1C"/>
    <w:rsid w:val="00E75376"/>
    <w:rsid w:val="00E75BD6"/>
    <w:rsid w:val="00E77127"/>
    <w:rsid w:val="00E80F94"/>
    <w:rsid w:val="00E81A72"/>
    <w:rsid w:val="00E820E1"/>
    <w:rsid w:val="00E839B7"/>
    <w:rsid w:val="00E84803"/>
    <w:rsid w:val="00E85798"/>
    <w:rsid w:val="00E85C38"/>
    <w:rsid w:val="00E865DF"/>
    <w:rsid w:val="00E86C65"/>
    <w:rsid w:val="00E905CD"/>
    <w:rsid w:val="00E90C2F"/>
    <w:rsid w:val="00E923DF"/>
    <w:rsid w:val="00E9310D"/>
    <w:rsid w:val="00E946A7"/>
    <w:rsid w:val="00E976A0"/>
    <w:rsid w:val="00EA0211"/>
    <w:rsid w:val="00EA13FC"/>
    <w:rsid w:val="00EA191D"/>
    <w:rsid w:val="00EA288C"/>
    <w:rsid w:val="00EA2AE7"/>
    <w:rsid w:val="00EA2CF4"/>
    <w:rsid w:val="00EB51A6"/>
    <w:rsid w:val="00EC43E1"/>
    <w:rsid w:val="00EC4D3E"/>
    <w:rsid w:val="00EC7D15"/>
    <w:rsid w:val="00EC7E3D"/>
    <w:rsid w:val="00ED2CA7"/>
    <w:rsid w:val="00ED31E5"/>
    <w:rsid w:val="00ED3F71"/>
    <w:rsid w:val="00ED6E72"/>
    <w:rsid w:val="00EE27C8"/>
    <w:rsid w:val="00EE3346"/>
    <w:rsid w:val="00EE3A4B"/>
    <w:rsid w:val="00EE3B7E"/>
    <w:rsid w:val="00EE4EDC"/>
    <w:rsid w:val="00EF06A4"/>
    <w:rsid w:val="00EF281B"/>
    <w:rsid w:val="00F02FA9"/>
    <w:rsid w:val="00F04300"/>
    <w:rsid w:val="00F0506E"/>
    <w:rsid w:val="00F06E26"/>
    <w:rsid w:val="00F11835"/>
    <w:rsid w:val="00F11B25"/>
    <w:rsid w:val="00F163E4"/>
    <w:rsid w:val="00F24C71"/>
    <w:rsid w:val="00F2618E"/>
    <w:rsid w:val="00F26E63"/>
    <w:rsid w:val="00F27FF5"/>
    <w:rsid w:val="00F3000E"/>
    <w:rsid w:val="00F332FF"/>
    <w:rsid w:val="00F34B98"/>
    <w:rsid w:val="00F35D3E"/>
    <w:rsid w:val="00F36634"/>
    <w:rsid w:val="00F3706D"/>
    <w:rsid w:val="00F4140F"/>
    <w:rsid w:val="00F41E5D"/>
    <w:rsid w:val="00F42DB4"/>
    <w:rsid w:val="00F43C63"/>
    <w:rsid w:val="00F43DC7"/>
    <w:rsid w:val="00F45239"/>
    <w:rsid w:val="00F469CB"/>
    <w:rsid w:val="00F50E12"/>
    <w:rsid w:val="00F51C94"/>
    <w:rsid w:val="00F55A23"/>
    <w:rsid w:val="00F55FAD"/>
    <w:rsid w:val="00F61FC7"/>
    <w:rsid w:val="00F63BB7"/>
    <w:rsid w:val="00F664AC"/>
    <w:rsid w:val="00F725AD"/>
    <w:rsid w:val="00F72C8E"/>
    <w:rsid w:val="00F7348D"/>
    <w:rsid w:val="00F73528"/>
    <w:rsid w:val="00F75D79"/>
    <w:rsid w:val="00F83DE8"/>
    <w:rsid w:val="00F864B2"/>
    <w:rsid w:val="00F86C89"/>
    <w:rsid w:val="00F86E0C"/>
    <w:rsid w:val="00F90720"/>
    <w:rsid w:val="00F93EDB"/>
    <w:rsid w:val="00FA1B88"/>
    <w:rsid w:val="00FA6FED"/>
    <w:rsid w:val="00FB4341"/>
    <w:rsid w:val="00FB7F7A"/>
    <w:rsid w:val="00FC2B21"/>
    <w:rsid w:val="00FC3927"/>
    <w:rsid w:val="00FC4784"/>
    <w:rsid w:val="00FC5DE2"/>
    <w:rsid w:val="00FC5E47"/>
    <w:rsid w:val="00FC7DE0"/>
    <w:rsid w:val="00FD079E"/>
    <w:rsid w:val="00FD744B"/>
    <w:rsid w:val="00FE16CD"/>
    <w:rsid w:val="00FE197F"/>
    <w:rsid w:val="00FE2EF6"/>
    <w:rsid w:val="00FE40C3"/>
    <w:rsid w:val="00FE46F1"/>
    <w:rsid w:val="00FE4994"/>
    <w:rsid w:val="00FE4D3F"/>
    <w:rsid w:val="00FF4643"/>
    <w:rsid w:val="00FF4749"/>
    <w:rsid w:val="00FF6D56"/>
    <w:rsid w:val="00FF7354"/>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1AE98"/>
  <w15:docId w15:val="{D23659AC-2933-4499-83A3-CE9B8A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7D6C6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F00A-117F-4065-9E56-1C1B3113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4099</Words>
  <Characters>22548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41</cp:revision>
  <cp:lastPrinted>2024-06-18T17:37:00Z</cp:lastPrinted>
  <dcterms:created xsi:type="dcterms:W3CDTF">2024-06-13T15:55:00Z</dcterms:created>
  <dcterms:modified xsi:type="dcterms:W3CDTF">2024-07-09T19:27:00Z</dcterms:modified>
</cp:coreProperties>
</file>