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C4" w:rsidRPr="001374F2" w:rsidRDefault="004A3FC4" w:rsidP="00F13B16">
      <w:pPr>
        <w:jc w:val="center"/>
        <w:rPr>
          <w:rFonts w:cstheme="minorHAnsi"/>
          <w:b/>
          <w:sz w:val="20"/>
          <w:szCs w:val="20"/>
          <w:lang w:val="es-ES"/>
        </w:rPr>
      </w:pPr>
      <w:bookmarkStart w:id="0" w:name="_GoBack"/>
      <w:bookmarkEnd w:id="0"/>
      <w:r w:rsidRPr="001374F2">
        <w:rPr>
          <w:rFonts w:cstheme="minorHAnsi"/>
          <w:b/>
          <w:sz w:val="20"/>
          <w:szCs w:val="20"/>
          <w:lang w:val="es-ES"/>
        </w:rPr>
        <w:t>EXPOSICIÓN DE MOTIVOS</w:t>
      </w:r>
    </w:p>
    <w:p w:rsidR="004A3FC4" w:rsidRPr="001374F2" w:rsidRDefault="004A3FC4" w:rsidP="00F13B16">
      <w:pPr>
        <w:jc w:val="both"/>
        <w:rPr>
          <w:rFonts w:cstheme="minorHAnsi"/>
          <w:sz w:val="20"/>
          <w:szCs w:val="20"/>
          <w:lang w:val="es-ES"/>
        </w:rPr>
      </w:pPr>
    </w:p>
    <w:p w:rsidR="004A3FC4" w:rsidRPr="001374F2" w:rsidRDefault="004A3FC4" w:rsidP="00F13B16">
      <w:pPr>
        <w:ind w:right="45"/>
        <w:jc w:val="both"/>
        <w:rPr>
          <w:rFonts w:cstheme="minorHAnsi"/>
          <w:sz w:val="20"/>
          <w:szCs w:val="20"/>
        </w:rPr>
      </w:pPr>
      <w:r w:rsidRPr="001374F2">
        <w:rPr>
          <w:rFonts w:cstheme="minorHAnsi"/>
          <w:sz w:val="20"/>
          <w:szCs w:val="20"/>
        </w:rPr>
        <w:t>La Constitución de la República del Ecuador, garantiza a los ciudadanos la jubilación universal, por lo que las instituciones públicas deben poner en marcha sistemas de asistencia para las personas que prestaron sus servicios en las mismas, como lo es la seguridad social y una jubilación patronal, reconociendo sus derechos de protección como una prioridad para cuidar su particular vulnerabilidad.</w:t>
      </w:r>
    </w:p>
    <w:p w:rsidR="004A3FC4" w:rsidRPr="001374F2" w:rsidRDefault="004A3FC4" w:rsidP="00F13B16">
      <w:pPr>
        <w:ind w:right="45"/>
        <w:jc w:val="both"/>
        <w:rPr>
          <w:rFonts w:cstheme="minorHAnsi"/>
          <w:sz w:val="20"/>
          <w:szCs w:val="20"/>
        </w:rPr>
      </w:pPr>
    </w:p>
    <w:p w:rsidR="004A3FC4" w:rsidRPr="001374F2" w:rsidRDefault="004A3FC4" w:rsidP="00F13B16">
      <w:pPr>
        <w:jc w:val="both"/>
        <w:rPr>
          <w:rFonts w:cstheme="minorHAnsi"/>
          <w:sz w:val="20"/>
          <w:szCs w:val="20"/>
        </w:rPr>
      </w:pPr>
      <w:r w:rsidRPr="001374F2">
        <w:rPr>
          <w:rFonts w:cstheme="minorHAnsi"/>
          <w:sz w:val="20"/>
          <w:szCs w:val="20"/>
        </w:rPr>
        <w:t xml:space="preserve">La jubilación patronal en las entidades del sector público es un derecho consagrado en el Código del Trabajo para los trabajadores que laboraron para un mismo empleador durante 25 años; o que, habiendo laborado más de 20 años, fueron o son despedidos intempestivamente por su empleador, en cuyo caso tienen derecho a recibir la parte proporcional de dicha jubilación patronal. El Municipio del Distrito Metropolitano de Quito, desde el año 2001 reconoce el pago por concepto de jubilación patronal, conforme lo dispone el contrato colectivo y el correspondiente presupuesto; así como también la pensión del fondo que aportaba el Municipio y los trabajadores municipales. </w:t>
      </w:r>
    </w:p>
    <w:p w:rsidR="004A3FC4" w:rsidRPr="001374F2" w:rsidRDefault="004A3FC4" w:rsidP="00F13B16">
      <w:pPr>
        <w:jc w:val="both"/>
        <w:rPr>
          <w:rFonts w:cstheme="minorHAnsi"/>
          <w:sz w:val="20"/>
          <w:szCs w:val="20"/>
        </w:rPr>
      </w:pPr>
      <w:r w:rsidRPr="001374F2">
        <w:rPr>
          <w:rFonts w:cstheme="minorHAnsi"/>
          <w:i/>
          <w:sz w:val="20"/>
          <w:szCs w:val="20"/>
        </w:rPr>
        <w:t xml:space="preserve"> </w:t>
      </w:r>
    </w:p>
    <w:p w:rsidR="004A3FC4" w:rsidRPr="001374F2" w:rsidRDefault="004A3FC4" w:rsidP="00F13B16">
      <w:pPr>
        <w:ind w:right="-5"/>
        <w:jc w:val="both"/>
        <w:rPr>
          <w:rFonts w:cstheme="minorHAnsi"/>
          <w:sz w:val="20"/>
          <w:szCs w:val="20"/>
        </w:rPr>
      </w:pPr>
      <w:r w:rsidRPr="001374F2">
        <w:rPr>
          <w:rFonts w:cstheme="minorHAnsi"/>
          <w:sz w:val="20"/>
          <w:szCs w:val="20"/>
        </w:rPr>
        <w:t xml:space="preserve">El Gobierno Autónomo Descentralizado Municipal del Distrito Metropolitano de Quito, en el marco de su competencia en temas de índole laboral, reguló mediante la expedición de la Ordenanza Metropolitana No. 211, sancionada el 5 de junio de 2018, actual artículo 73 del Código Municipal, el porcentaje de  la jubilación patronal y estableció </w:t>
      </w:r>
      <w:r w:rsidRPr="001374F2">
        <w:rPr>
          <w:rFonts w:cstheme="minorHAnsi"/>
          <w:i/>
          <w:sz w:val="20"/>
          <w:szCs w:val="20"/>
        </w:rPr>
        <w:t>“el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1374F2">
        <w:rPr>
          <w:rFonts w:cstheme="minorHAnsi"/>
          <w:sz w:val="20"/>
          <w:szCs w:val="20"/>
        </w:rPr>
        <w:t xml:space="preserve">.   A pesar de lo ordenado, algunas Empresas Públicas Metropolitanas y Entidades Adscritas, consideraron que los trabajadores que laboraron en sus empresas, no estaban sujetos a lo dispuesto por la Ordenanza Metropolitana referida, vigente desde el año 2018, con relación al pago de la pensión jubilar patronal a favor de los trabajadores. </w:t>
      </w:r>
    </w:p>
    <w:p w:rsidR="004A3FC4" w:rsidRPr="001374F2" w:rsidRDefault="004A3FC4" w:rsidP="00F13B16">
      <w:pPr>
        <w:ind w:left="-5"/>
        <w:jc w:val="both"/>
        <w:rPr>
          <w:rFonts w:cstheme="minorHAnsi"/>
          <w:sz w:val="20"/>
          <w:szCs w:val="20"/>
        </w:rPr>
      </w:pPr>
    </w:p>
    <w:p w:rsidR="004A3FC4" w:rsidRPr="001374F2" w:rsidRDefault="004A3FC4" w:rsidP="00F13B16">
      <w:pPr>
        <w:ind w:left="-5"/>
        <w:jc w:val="both"/>
        <w:rPr>
          <w:rFonts w:cstheme="minorHAnsi"/>
          <w:i/>
          <w:sz w:val="20"/>
          <w:szCs w:val="20"/>
        </w:rPr>
      </w:pPr>
      <w:r w:rsidRPr="001374F2">
        <w:rPr>
          <w:rFonts w:cstheme="minorHAnsi"/>
          <w:sz w:val="20"/>
          <w:szCs w:val="20"/>
        </w:rPr>
        <w:t>Mediante Ordenanza Metropolitana No. 036-2022, sancionada el 15 de julio de 2022, intitulada “Ordenanza Interpretativa al libro 1.2, Título II, que contiene las normas sobre Pensión Mensual de Jubilación Patronal del Municipio del Distrito Metropolitano de Quito, De la Ordenanza Metropolitana No. 001 que contiene el Código Municipal, sancionada el 29 de marzo de 2019”; y, con el propósito de aclarar y dilucidar la situación jurídica de los ex trabajadores de las Empresas Públicas, en su Artículo Único, en la parte pertinente indica:</w:t>
      </w:r>
      <w:r w:rsidRPr="001374F2">
        <w:rPr>
          <w:rFonts w:cstheme="minorHAnsi"/>
          <w:i/>
          <w:sz w:val="20"/>
          <w:szCs w:val="20"/>
        </w:rPr>
        <w:t xml:space="preserve">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4A3FC4" w:rsidRPr="001374F2" w:rsidRDefault="004A3FC4" w:rsidP="00F13B16">
      <w:pPr>
        <w:ind w:right="45"/>
        <w:jc w:val="both"/>
        <w:rPr>
          <w:rFonts w:cstheme="minorHAnsi"/>
          <w:sz w:val="20"/>
          <w:szCs w:val="20"/>
        </w:rPr>
      </w:pPr>
    </w:p>
    <w:p w:rsidR="004A3FC4" w:rsidRPr="001374F2" w:rsidRDefault="004A3FC4" w:rsidP="00F13B16">
      <w:pPr>
        <w:ind w:right="45"/>
        <w:jc w:val="both"/>
        <w:rPr>
          <w:rFonts w:cstheme="minorHAnsi"/>
          <w:sz w:val="20"/>
          <w:szCs w:val="20"/>
        </w:rPr>
      </w:pPr>
      <w:r w:rsidRPr="001374F2">
        <w:rPr>
          <w:rFonts w:cstheme="minorHAnsi"/>
          <w:sz w:val="20"/>
          <w:szCs w:val="20"/>
        </w:rPr>
        <w:t>Los Gobiernos Autónomos Descentralizados Municipales en el marco de su competencia en temas de índole laboral, regularán mediante la expedición de ordenanza la jubilación patronal.</w:t>
      </w:r>
    </w:p>
    <w:p w:rsidR="004A3FC4" w:rsidRPr="001374F2" w:rsidRDefault="004A3FC4" w:rsidP="00F13B16">
      <w:pPr>
        <w:jc w:val="both"/>
        <w:rPr>
          <w:rFonts w:cstheme="minorHAnsi"/>
          <w:sz w:val="20"/>
          <w:szCs w:val="20"/>
        </w:rPr>
      </w:pPr>
    </w:p>
    <w:p w:rsidR="004A3FC4" w:rsidRPr="001374F2" w:rsidRDefault="004A3FC4" w:rsidP="00F13B16">
      <w:pPr>
        <w:jc w:val="both"/>
        <w:rPr>
          <w:rFonts w:cstheme="minorHAnsi"/>
          <w:sz w:val="20"/>
          <w:szCs w:val="20"/>
        </w:rPr>
      </w:pPr>
    </w:p>
    <w:p w:rsidR="004A3FC4" w:rsidRPr="001374F2" w:rsidRDefault="004A3FC4" w:rsidP="00F13B16">
      <w:pPr>
        <w:jc w:val="both"/>
        <w:rPr>
          <w:rFonts w:cstheme="minorHAnsi"/>
          <w:sz w:val="20"/>
          <w:szCs w:val="20"/>
        </w:rPr>
      </w:pPr>
    </w:p>
    <w:p w:rsidR="004A3FC4" w:rsidRPr="001374F2" w:rsidRDefault="004A3FC4" w:rsidP="00F13B16">
      <w:pPr>
        <w:jc w:val="both"/>
        <w:rPr>
          <w:rFonts w:cstheme="minorHAnsi"/>
          <w:sz w:val="20"/>
          <w:szCs w:val="20"/>
          <w:lang w:val="es-ES"/>
        </w:rPr>
      </w:pPr>
    </w:p>
    <w:p w:rsidR="004A3FC4" w:rsidRPr="001374F2" w:rsidRDefault="004A3FC4" w:rsidP="00F13B16">
      <w:pPr>
        <w:pStyle w:val="Ttulo1"/>
        <w:spacing w:after="0" w:line="240" w:lineRule="auto"/>
        <w:ind w:right="5"/>
        <w:jc w:val="both"/>
        <w:rPr>
          <w:rFonts w:asciiTheme="minorHAnsi" w:hAnsiTheme="minorHAnsi" w:cstheme="minorHAnsi"/>
          <w:color w:val="auto"/>
          <w:sz w:val="20"/>
          <w:szCs w:val="20"/>
        </w:rPr>
      </w:pPr>
      <w:r w:rsidRPr="001374F2">
        <w:rPr>
          <w:rFonts w:asciiTheme="minorHAnsi" w:hAnsiTheme="minorHAnsi" w:cstheme="minorHAnsi"/>
          <w:color w:val="auto"/>
          <w:sz w:val="20"/>
          <w:szCs w:val="20"/>
        </w:rPr>
        <w:lastRenderedPageBreak/>
        <w:t>EL CONCEJO METROPOLITANO DE QUITO</w:t>
      </w:r>
    </w:p>
    <w:p w:rsidR="004A3FC4" w:rsidRPr="001374F2" w:rsidRDefault="004A3FC4" w:rsidP="00F13B16">
      <w:pPr>
        <w:ind w:left="49"/>
        <w:jc w:val="both"/>
        <w:rPr>
          <w:rFonts w:cstheme="minorHAnsi"/>
          <w:sz w:val="20"/>
          <w:szCs w:val="20"/>
        </w:rPr>
      </w:pPr>
    </w:p>
    <w:p w:rsidR="004A3FC4" w:rsidRPr="001374F2" w:rsidRDefault="004A3FC4" w:rsidP="00F13B16">
      <w:pPr>
        <w:ind w:right="3"/>
        <w:jc w:val="both"/>
        <w:rPr>
          <w:rFonts w:cstheme="minorHAnsi"/>
          <w:sz w:val="20"/>
          <w:szCs w:val="20"/>
        </w:rPr>
      </w:pPr>
      <w:r w:rsidRPr="001374F2">
        <w:rPr>
          <w:rFonts w:cstheme="minorHAnsi"/>
          <w:b/>
          <w:sz w:val="20"/>
          <w:szCs w:val="20"/>
        </w:rPr>
        <w:t>CONSIDERANDO:</w:t>
      </w:r>
    </w:p>
    <w:p w:rsidR="004A3FC4" w:rsidRPr="001374F2" w:rsidRDefault="004A3FC4" w:rsidP="00F13B16">
      <w:pPr>
        <w:ind w:left="49"/>
        <w:jc w:val="both"/>
        <w:rPr>
          <w:rFonts w:cstheme="minorHAnsi"/>
          <w:sz w:val="20"/>
          <w:szCs w:val="20"/>
        </w:rPr>
      </w:pPr>
      <w:r w:rsidRPr="001374F2">
        <w:rPr>
          <w:rFonts w:cstheme="minorHAnsi"/>
          <w:b/>
          <w:sz w:val="20"/>
          <w:szCs w:val="20"/>
        </w:rPr>
        <w:t xml:space="preserve"> </w:t>
      </w:r>
    </w:p>
    <w:p w:rsidR="004A3FC4" w:rsidRPr="001374F2" w:rsidRDefault="004A3FC4" w:rsidP="00F13B16">
      <w:pPr>
        <w:ind w:left="708" w:right="-5" w:hanging="708"/>
        <w:jc w:val="both"/>
        <w:rPr>
          <w:rFonts w:cstheme="minorHAnsi"/>
          <w:sz w:val="20"/>
          <w:szCs w:val="20"/>
        </w:rPr>
      </w:pPr>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t xml:space="preserve">el número 9 del artículo 11 de la Constitución de República del Ecuador establece que, </w:t>
      </w:r>
      <w:r w:rsidRPr="001374F2">
        <w:rPr>
          <w:rFonts w:cstheme="minorHAnsi"/>
          <w:i/>
          <w:sz w:val="20"/>
          <w:szCs w:val="20"/>
        </w:rPr>
        <w:t>“El más alto deber del Estado consiste en respetar y hacer respetar los derechos garantizados en la Constitución”</w:t>
      </w:r>
      <w:r w:rsidRPr="001374F2">
        <w:rPr>
          <w:rFonts w:cstheme="minorHAnsi"/>
          <w:sz w:val="20"/>
          <w:szCs w:val="20"/>
        </w:rPr>
        <w:t xml:space="preserve">; </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el número 3 del artículo 37 de la Constitución dispone que el Estado garantizará a las personas adultas mayores, </w:t>
      </w:r>
      <w:r w:rsidRPr="001374F2">
        <w:rPr>
          <w:rFonts w:cstheme="minorHAnsi"/>
          <w:i/>
          <w:sz w:val="20"/>
          <w:szCs w:val="20"/>
        </w:rPr>
        <w:t>“3. La jubilación universal”</w:t>
      </w:r>
      <w:r w:rsidRPr="001374F2">
        <w:rPr>
          <w:rFonts w:cstheme="minorHAnsi"/>
          <w:sz w:val="20"/>
          <w:szCs w:val="20"/>
        </w:rPr>
        <w:t>;</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el número 2 del artículo 66 de la Constitución reconoce y garantiza el derecho a una vida digna que asegure la salud, alimentación y nutrición, agua potable, vivienda, saneamiento ambiental, educación, trabajo, empleo, descanso y ocio;</w:t>
      </w:r>
    </w:p>
    <w:p w:rsidR="004A3FC4" w:rsidRPr="001374F2" w:rsidRDefault="004A3FC4" w:rsidP="00F13B16">
      <w:pPr>
        <w:ind w:left="708" w:right="-5"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el artículo 226 de la Constitución ordena: </w:t>
      </w:r>
      <w:r w:rsidRPr="001374F2">
        <w:rPr>
          <w:rFonts w:cstheme="minorHAnsi"/>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374F2">
        <w:rPr>
          <w:rFonts w:cstheme="minorHAnsi"/>
          <w:sz w:val="20"/>
          <w:szCs w:val="20"/>
        </w:rPr>
        <w:t xml:space="preserve">; </w:t>
      </w:r>
    </w:p>
    <w:p w:rsidR="004A3FC4" w:rsidRPr="001374F2" w:rsidRDefault="004A3FC4" w:rsidP="00F13B16">
      <w:pPr>
        <w:ind w:left="708" w:right="-5"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el artículo 238 de la Constitución, establece la autonomía política, administrativa y financiera de los gobiernos autónomos descentralizados, además que se regirán por los principios de solidaridad, subsidiariedad, equidad interterritorial, integración y participación ciudadana;</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en los numerales 2 y 16 de los artículos 326 de la Constitución, señalan lo siguiente: </w:t>
      </w:r>
    </w:p>
    <w:p w:rsidR="004A3FC4" w:rsidRPr="001374F2" w:rsidRDefault="004A3FC4" w:rsidP="00F13B16">
      <w:pPr>
        <w:ind w:left="693"/>
        <w:jc w:val="both"/>
        <w:rPr>
          <w:rFonts w:cstheme="minorHAnsi"/>
          <w:i/>
          <w:sz w:val="20"/>
          <w:szCs w:val="20"/>
        </w:rPr>
      </w:pPr>
      <w:r w:rsidRPr="001374F2">
        <w:rPr>
          <w:rFonts w:cstheme="minorHAnsi"/>
          <w:i/>
          <w:sz w:val="20"/>
          <w:szCs w:val="20"/>
        </w:rPr>
        <w:t>“2. Los derechos laborales son irrenunciables e intangibles. Será nula toda estipulación en contrario.”</w:t>
      </w:r>
    </w:p>
    <w:p w:rsidR="004A3FC4" w:rsidRPr="004A3FC4" w:rsidRDefault="004A3FC4" w:rsidP="00F13B16">
      <w:pPr>
        <w:ind w:left="693"/>
        <w:jc w:val="both"/>
        <w:rPr>
          <w:rFonts w:cstheme="minorHAnsi"/>
          <w:i/>
          <w:sz w:val="20"/>
          <w:szCs w:val="20"/>
        </w:rPr>
      </w:pPr>
      <w:r w:rsidRPr="001374F2">
        <w:rPr>
          <w:rFonts w:cstheme="minorHAnsi"/>
          <w:i/>
          <w:sz w:val="20"/>
          <w:szCs w:val="20"/>
        </w:rPr>
        <w:t>“16. En las instituciones del Estado y en las entidades de derecho privado en las que haya participación mayoritaria de recursos públicos, quienes cumplan actividades de representación, directivas, administrativas o profesionales, se sujetarán a las leyes que regulan la administración pública. Aquellos que no se incluyen en esta categorización estarán amparados por el Código del Trabajo.”</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el inciso séptimo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 </w:t>
      </w:r>
    </w:p>
    <w:p w:rsidR="004A3FC4" w:rsidRPr="001374F2" w:rsidRDefault="004A3FC4" w:rsidP="00F13B16">
      <w:pPr>
        <w:autoSpaceDE w:val="0"/>
        <w:autoSpaceDN w:val="0"/>
        <w:adjustRightInd w:val="0"/>
        <w:ind w:left="693" w:hanging="693"/>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el artículo 216 del Código del Trabajo dispone:</w:t>
      </w:r>
    </w:p>
    <w:p w:rsidR="004A3FC4" w:rsidRPr="001374F2" w:rsidRDefault="004A3FC4" w:rsidP="00F13B16">
      <w:pPr>
        <w:ind w:left="693"/>
        <w:jc w:val="both"/>
        <w:rPr>
          <w:rFonts w:cstheme="minorHAnsi"/>
          <w:i/>
          <w:sz w:val="20"/>
          <w:szCs w:val="20"/>
        </w:rPr>
      </w:pPr>
      <w:r w:rsidRPr="001374F2">
        <w:rPr>
          <w:rFonts w:eastAsia="Arial" w:cstheme="minorHAnsi"/>
          <w:i/>
          <w:sz w:val="20"/>
          <w:szCs w:val="20"/>
        </w:rPr>
        <w:t xml:space="preserve">“Jubilación a cargo de </w:t>
      </w:r>
      <w:proofErr w:type="gramStart"/>
      <w:r w:rsidRPr="001374F2">
        <w:rPr>
          <w:rFonts w:eastAsia="Arial" w:cstheme="minorHAnsi"/>
          <w:i/>
          <w:sz w:val="20"/>
          <w:szCs w:val="20"/>
        </w:rPr>
        <w:t>empleadores.-</w:t>
      </w:r>
      <w:proofErr w:type="gramEnd"/>
      <w:r w:rsidRPr="001374F2">
        <w:rPr>
          <w:rFonts w:eastAsia="Arial" w:cstheme="minorHAnsi"/>
          <w:i/>
          <w:sz w:val="20"/>
          <w:szCs w:val="20"/>
        </w:rPr>
        <w:t xml:space="preserve"> Los trabajadores que por veinticinco años o más hubieren prestado servicios, continuada o interrumpidamente, tendrán derecho a ser jubilados por sus empleadores de acuerdo con las siguientes reglas:</w:t>
      </w:r>
    </w:p>
    <w:p w:rsidR="004A3FC4" w:rsidRPr="001374F2" w:rsidRDefault="004A3FC4" w:rsidP="00F13B16">
      <w:pPr>
        <w:ind w:left="693" w:firstLine="15"/>
        <w:jc w:val="both"/>
        <w:rPr>
          <w:rFonts w:cstheme="minorHAnsi"/>
          <w:i/>
          <w:sz w:val="20"/>
          <w:szCs w:val="20"/>
        </w:rPr>
      </w:pPr>
      <w:r w:rsidRPr="001374F2">
        <w:rPr>
          <w:rFonts w:eastAsia="Arial" w:cstheme="minorHAnsi"/>
          <w:i/>
          <w:sz w:val="20"/>
          <w:szCs w:val="20"/>
        </w:rPr>
        <w:t>1. 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4A3FC4" w:rsidRPr="001374F2" w:rsidRDefault="004A3FC4" w:rsidP="00F13B16">
      <w:pPr>
        <w:ind w:left="693" w:firstLine="15"/>
        <w:jc w:val="both"/>
        <w:rPr>
          <w:rFonts w:cstheme="minorHAnsi"/>
          <w:i/>
          <w:sz w:val="20"/>
          <w:szCs w:val="20"/>
        </w:rPr>
      </w:pPr>
      <w:r w:rsidRPr="001374F2">
        <w:rPr>
          <w:rFonts w:eastAsia="Arial" w:cstheme="minorHAnsi"/>
          <w:i/>
          <w:sz w:val="20"/>
          <w:szCs w:val="20"/>
        </w:rPr>
        <w:t>Se considerará como "haber individual de jubilación" el formado por las siguientes partidas:</w:t>
      </w:r>
    </w:p>
    <w:p w:rsidR="004A3FC4" w:rsidRPr="001374F2" w:rsidRDefault="004A3FC4" w:rsidP="00F13B16">
      <w:pPr>
        <w:jc w:val="both"/>
        <w:rPr>
          <w:rFonts w:cstheme="minorHAnsi"/>
          <w:i/>
          <w:sz w:val="20"/>
          <w:szCs w:val="20"/>
        </w:rPr>
      </w:pPr>
      <w:r w:rsidRPr="001374F2">
        <w:rPr>
          <w:rFonts w:eastAsia="Arial" w:cstheme="minorHAnsi"/>
          <w:i/>
          <w:sz w:val="20"/>
          <w:szCs w:val="20"/>
        </w:rPr>
        <w:t xml:space="preserve">      </w:t>
      </w:r>
      <w:r w:rsidRPr="001374F2">
        <w:rPr>
          <w:rFonts w:eastAsia="Arial" w:cstheme="minorHAnsi"/>
          <w:i/>
          <w:sz w:val="20"/>
          <w:szCs w:val="20"/>
        </w:rPr>
        <w:tab/>
        <w:t>a) Por el fondo de reserva a que tenga derecho el trabajador; y,</w:t>
      </w:r>
    </w:p>
    <w:p w:rsidR="004A3FC4" w:rsidRPr="001374F2" w:rsidRDefault="004A3FC4" w:rsidP="00F13B16">
      <w:pPr>
        <w:ind w:left="708"/>
        <w:jc w:val="both"/>
        <w:rPr>
          <w:rFonts w:cstheme="minorHAnsi"/>
          <w:i/>
          <w:sz w:val="20"/>
          <w:szCs w:val="20"/>
        </w:rPr>
      </w:pPr>
      <w:r w:rsidRPr="001374F2">
        <w:rPr>
          <w:rFonts w:eastAsia="Arial" w:cstheme="minorHAnsi"/>
          <w:i/>
          <w:sz w:val="20"/>
          <w:szCs w:val="20"/>
        </w:rPr>
        <w:t>b) Por una suma equivalente al cinco por ciento del promedio de la remuneración anual percibida en los cinco últimos años, multiplicada por los años de servicio.</w:t>
      </w:r>
    </w:p>
    <w:p w:rsidR="004A3FC4" w:rsidRPr="001374F2" w:rsidRDefault="004A3FC4" w:rsidP="00F13B16">
      <w:pPr>
        <w:ind w:left="708"/>
        <w:jc w:val="both"/>
        <w:rPr>
          <w:rFonts w:cstheme="minorHAnsi"/>
          <w:i/>
          <w:sz w:val="20"/>
          <w:szCs w:val="20"/>
        </w:rPr>
      </w:pPr>
      <w:r w:rsidRPr="001374F2">
        <w:rPr>
          <w:rFonts w:eastAsia="Arial" w:cstheme="minorHAnsi"/>
          <w:i/>
          <w:sz w:val="20"/>
          <w:szCs w:val="20"/>
        </w:rPr>
        <w:lastRenderedPageBreak/>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4A3FC4" w:rsidRPr="004A3FC4" w:rsidRDefault="004A3FC4" w:rsidP="00F13B16">
      <w:pPr>
        <w:ind w:left="708"/>
        <w:jc w:val="both"/>
        <w:rPr>
          <w:rFonts w:cstheme="minorHAnsi"/>
          <w:i/>
          <w:sz w:val="20"/>
          <w:szCs w:val="20"/>
        </w:rPr>
      </w:pPr>
      <w:r w:rsidRPr="001374F2">
        <w:rPr>
          <w:rFonts w:eastAsia="Arial" w:cstheme="minorHAnsi"/>
          <w:i/>
          <w:sz w:val="20"/>
          <w:szCs w:val="20"/>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4A3FC4" w:rsidRPr="001374F2" w:rsidRDefault="004A3FC4" w:rsidP="00F13B16">
      <w:pPr>
        <w:ind w:left="708"/>
        <w:jc w:val="both"/>
        <w:rPr>
          <w:rFonts w:cstheme="minorHAnsi"/>
          <w:sz w:val="20"/>
          <w:szCs w:val="20"/>
        </w:rPr>
      </w:pPr>
      <w:r w:rsidRPr="001374F2">
        <w:rPr>
          <w:rFonts w:eastAsia="Arial" w:cstheme="minorHAnsi"/>
          <w:i/>
          <w:sz w:val="20"/>
          <w:szCs w:val="20"/>
        </w:rPr>
        <w:t>Las actuales pensiones jubilares a cargo de los empleadores en sus valores mínimos se sujetarán a lo dispuesto en esta regla. (…)”;</w:t>
      </w:r>
    </w:p>
    <w:p w:rsidR="004A3FC4" w:rsidRPr="001374F2" w:rsidRDefault="004A3FC4" w:rsidP="00F13B16">
      <w:pPr>
        <w:ind w:left="691" w:hanging="706"/>
        <w:jc w:val="both"/>
        <w:rPr>
          <w:rFonts w:cstheme="minorHAnsi"/>
          <w:sz w:val="20"/>
          <w:szCs w:val="20"/>
        </w:rPr>
      </w:pPr>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t xml:space="preserve">el artículo 166 del Código Orgánico de Organización Territorial, COOTAD, dispone que: </w:t>
      </w:r>
      <w:r w:rsidRPr="001374F2">
        <w:rPr>
          <w:rFonts w:cstheme="minorHAnsi"/>
          <w:i/>
          <w:sz w:val="20"/>
          <w:szCs w:val="20"/>
        </w:rPr>
        <w:t xml:space="preserve">“Financiamiento de </w:t>
      </w:r>
      <w:proofErr w:type="gramStart"/>
      <w:r w:rsidRPr="001374F2">
        <w:rPr>
          <w:rFonts w:cstheme="minorHAnsi"/>
          <w:i/>
          <w:sz w:val="20"/>
          <w:szCs w:val="20"/>
        </w:rPr>
        <w:t>obligaciones.-</w:t>
      </w:r>
      <w:proofErr w:type="gramEnd"/>
      <w:r w:rsidRPr="001374F2">
        <w:rPr>
          <w:rFonts w:cstheme="minorHAnsi"/>
          <w:i/>
          <w:sz w:val="20"/>
          <w:szCs w:val="20"/>
        </w:rPr>
        <w:t xml:space="preserve"> Toda norma que expida un gobierno autónomo descentralizado que genere una obligación financiada con recursos públicos establecerá la fuente de financiamiento correspondiente”;</w:t>
      </w:r>
    </w:p>
    <w:p w:rsidR="004A3FC4" w:rsidRPr="001374F2" w:rsidRDefault="004A3FC4" w:rsidP="00F13B16">
      <w:pPr>
        <w:ind w:right="55"/>
        <w:jc w:val="both"/>
        <w:rPr>
          <w:rFonts w:cstheme="minorHAnsi"/>
          <w:sz w:val="20"/>
          <w:szCs w:val="20"/>
        </w:rPr>
      </w:pPr>
      <w:r w:rsidRPr="004A3FC4">
        <w:rPr>
          <w:rFonts w:cstheme="minorHAnsi"/>
          <w:b/>
          <w:sz w:val="20"/>
          <w:szCs w:val="20"/>
        </w:rPr>
        <w:t>Que,</w:t>
      </w:r>
      <w:r>
        <w:rPr>
          <w:rFonts w:cstheme="minorHAnsi"/>
          <w:sz w:val="20"/>
          <w:szCs w:val="20"/>
        </w:rPr>
        <w:t xml:space="preserve">      </w:t>
      </w:r>
      <w:r w:rsidRPr="001374F2">
        <w:rPr>
          <w:rFonts w:cstheme="minorHAnsi"/>
          <w:sz w:val="20"/>
          <w:szCs w:val="20"/>
        </w:rPr>
        <w:t>en el Código Orgánico de Planificación y Finanzas Públicas en su Títul</w:t>
      </w:r>
      <w:r>
        <w:rPr>
          <w:rFonts w:cstheme="minorHAnsi"/>
          <w:sz w:val="20"/>
          <w:szCs w:val="20"/>
        </w:rPr>
        <w:t xml:space="preserve">o IV, Capítulo II De las Reglas </w:t>
      </w:r>
      <w:r w:rsidRPr="001374F2">
        <w:rPr>
          <w:rFonts w:cstheme="minorHAnsi"/>
          <w:sz w:val="20"/>
          <w:szCs w:val="20"/>
        </w:rPr>
        <w:t xml:space="preserve">Fiscales, Sección I Del Ingreso Permanente y Egreso Permanente, dispone que: </w:t>
      </w:r>
      <w:r w:rsidRPr="001374F2">
        <w:rPr>
          <w:rFonts w:cstheme="minorHAnsi"/>
          <w:i/>
          <w:iCs/>
          <w:sz w:val="20"/>
          <w:szCs w:val="20"/>
        </w:rPr>
        <w:t>“Art. (...).- Ingreso permanente y egreso permanente del Sector Público No Financiero y de la Seguridad Social.- Para garantizar la conducción de las finanzas públicas de manera sostenible, responsable, transparente y procurar la estabilidad económica, los egresos permanentes se financiarán única y exclusivamente con ingresos permanentes. No obstante, los ingresos permanentes pueden también financiar egresos no permanentes”</w:t>
      </w:r>
      <w:r w:rsidRPr="001374F2">
        <w:rPr>
          <w:rFonts w:cstheme="minorHAnsi"/>
          <w:iCs/>
          <w:sz w:val="20"/>
          <w:szCs w:val="20"/>
        </w:rPr>
        <w:t>;</w:t>
      </w:r>
    </w:p>
    <w:p w:rsidR="004A3FC4" w:rsidRDefault="004A3FC4" w:rsidP="00F13B16">
      <w:pPr>
        <w:spacing w:after="10" w:line="248" w:lineRule="auto"/>
        <w:ind w:hanging="10"/>
        <w:jc w:val="both"/>
        <w:rPr>
          <w:rFonts w:ascii="Times New Roman" w:eastAsia="Times New Roman" w:hAnsi="Times New Roman" w:cs="Times New Roman"/>
          <w:b/>
        </w:rPr>
      </w:pPr>
      <w:r w:rsidRPr="001374F2">
        <w:rPr>
          <w:rFonts w:cstheme="minorHAnsi"/>
          <w:b/>
          <w:sz w:val="20"/>
          <w:szCs w:val="20"/>
        </w:rPr>
        <w:t xml:space="preserve">Que,    </w:t>
      </w:r>
      <w:r w:rsidRPr="001374F2">
        <w:rPr>
          <w:rFonts w:cstheme="minorHAnsi"/>
          <w:sz w:val="20"/>
          <w:szCs w:val="20"/>
        </w:rPr>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artículo 73 de la Ordenanza Metropolitana No. 001 Código Municipal, sancionada el 29 de marzo de 2019, que determina, </w:t>
      </w:r>
      <w:r w:rsidRPr="001374F2">
        <w:rPr>
          <w:rFonts w:cstheme="minorHAnsi"/>
          <w:i/>
          <w:sz w:val="20"/>
          <w:szCs w:val="20"/>
        </w:rPr>
        <w:t>“Establecer en 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Pr>
          <w:rFonts w:cstheme="minorHAnsi"/>
          <w:sz w:val="20"/>
          <w:szCs w:val="20"/>
        </w:rPr>
        <w:t>.</w:t>
      </w:r>
    </w:p>
    <w:p w:rsidR="004A3FC4" w:rsidRDefault="004A3FC4" w:rsidP="00BC21CC">
      <w:pPr>
        <w:spacing w:after="10" w:line="248" w:lineRule="auto"/>
        <w:ind w:hanging="10"/>
        <w:jc w:val="both"/>
        <w:rPr>
          <w:rFonts w:ascii="Times New Roman" w:eastAsia="Times New Roman" w:hAnsi="Times New Roman" w:cs="Times New Roman"/>
          <w:b/>
        </w:rPr>
      </w:pPr>
    </w:p>
    <w:p w:rsidR="00BC21CC" w:rsidRDefault="00BC21CC" w:rsidP="00BC21CC">
      <w:pPr>
        <w:spacing w:after="10" w:line="248" w:lineRule="auto"/>
        <w:ind w:hanging="10"/>
        <w:jc w:val="both"/>
        <w:rPr>
          <w:rFonts w:ascii="Times New Roman" w:eastAsia="Times New Roman" w:hAnsi="Times New Roman" w:cs="Times New Roman"/>
          <w:b/>
        </w:rPr>
      </w:pPr>
      <w:r>
        <w:rPr>
          <w:rFonts w:ascii="Times New Roman" w:eastAsia="Times New Roman" w:hAnsi="Times New Roman" w:cs="Times New Roman"/>
          <w:b/>
        </w:rPr>
        <w:t>En ejercicio de sus atribuciones legales que le confiere el inciso primero del artículo 240 de la Constitución de la República del Ecuador; letra a) del artículo 87 y 322 del Código Orgánico de Organización, Autonomía y Descentralización; y, artículo 8, números 1 y 18 de la Ley de Régimen del Distrito Metropolitano de Quito, expide la siguiente:</w:t>
      </w:r>
    </w:p>
    <w:p w:rsidR="00BC21CC" w:rsidRDefault="00BC21CC" w:rsidP="00BC21CC">
      <w:pPr>
        <w:spacing w:after="10" w:line="248" w:lineRule="auto"/>
        <w:ind w:hanging="10"/>
        <w:jc w:val="both"/>
      </w:pPr>
    </w:p>
    <w:p w:rsidR="00F13B16" w:rsidRDefault="00F13B16" w:rsidP="00BC21CC">
      <w:pPr>
        <w:spacing w:after="10" w:line="248" w:lineRule="auto"/>
        <w:ind w:hanging="10"/>
        <w:jc w:val="both"/>
      </w:pPr>
    </w:p>
    <w:p w:rsidR="00BC21CC" w:rsidRDefault="00BC21CC" w:rsidP="004A3FC4">
      <w:pPr>
        <w:spacing w:after="235" w:line="248" w:lineRule="auto"/>
        <w:ind w:hanging="10"/>
        <w:jc w:val="center"/>
      </w:pPr>
      <w:r>
        <w:rPr>
          <w:rFonts w:ascii="Times New Roman" w:eastAsia="Times New Roman" w:hAnsi="Times New Roman" w:cs="Times New Roman"/>
          <w:b/>
        </w:rPr>
        <w:t>ORDENANZA METROPOLITANA QUE SUSTITUYE EL TÍTULO II “DE LA PENSIÓN MENSUAL DE JUBILACIÓN PATRONAL DEL MUNICIPIO DEL DISTRITO METROPOLITANO DE QUITO” DEL LIBRO I.2 DEL CÓDIGO MUNICIPAL PARA EL DISTRITO METROPOLITANO DE QUITO</w:t>
      </w:r>
    </w:p>
    <w:p w:rsidR="00BC21CC" w:rsidRDefault="00BC21CC" w:rsidP="00BC21CC">
      <w:pPr>
        <w:spacing w:after="231" w:line="244" w:lineRule="auto"/>
        <w:ind w:hanging="10"/>
        <w:jc w:val="both"/>
        <w:rPr>
          <w:rFonts w:ascii="Times New Roman" w:eastAsia="Times New Roman" w:hAnsi="Times New Roman" w:cs="Times New Roman"/>
        </w:rPr>
      </w:pPr>
      <w:r>
        <w:rPr>
          <w:rFonts w:ascii="Times New Roman" w:eastAsia="Times New Roman" w:hAnsi="Times New Roman" w:cs="Times New Roman"/>
          <w:b/>
        </w:rPr>
        <w:t xml:space="preserve">Artículo Único. – </w:t>
      </w:r>
      <w:r>
        <w:rPr>
          <w:rFonts w:ascii="Times New Roman" w:eastAsia="Times New Roman" w:hAnsi="Times New Roman" w:cs="Times New Roman"/>
        </w:rPr>
        <w:t>Sustitúyase el Título II “DE LA PENSIÓN MENSUAL DE JUBILACIÓN PATRONAL DEL MUNICIPIO DEL DISTRITO METROPOLITANO DE QUITO”, del Libro I.2</w:t>
      </w:r>
      <w:r>
        <w:t xml:space="preserve"> “</w:t>
      </w:r>
      <w:r>
        <w:rPr>
          <w:rFonts w:ascii="Times New Roman" w:eastAsia="Times New Roman" w:hAnsi="Times New Roman" w:cs="Times New Roman"/>
        </w:rPr>
        <w:t xml:space="preserve">DE LA ORGANIZACIÓN ADMINISTRATIVA”; por el siguiente: </w:t>
      </w:r>
    </w:p>
    <w:p w:rsidR="00F13B16" w:rsidRDefault="00F13B16" w:rsidP="00BC21CC">
      <w:pPr>
        <w:spacing w:after="231" w:line="244" w:lineRule="auto"/>
        <w:ind w:hanging="10"/>
        <w:jc w:val="both"/>
      </w:pPr>
    </w:p>
    <w:p w:rsidR="00BC21CC" w:rsidRPr="00BC21CC" w:rsidRDefault="00BC21CC" w:rsidP="00882A19">
      <w:pPr>
        <w:spacing w:after="0"/>
        <w:ind w:left="30" w:right="7" w:hanging="10"/>
        <w:jc w:val="center"/>
        <w:rPr>
          <w:b/>
        </w:rPr>
      </w:pPr>
      <w:r>
        <w:rPr>
          <w:rFonts w:ascii="Times New Roman" w:eastAsia="Times New Roman" w:hAnsi="Times New Roman" w:cs="Times New Roman"/>
          <w:i/>
        </w:rPr>
        <w:t>“</w:t>
      </w:r>
      <w:r w:rsidRPr="00BC21CC">
        <w:rPr>
          <w:rFonts w:ascii="Times New Roman" w:eastAsia="Times New Roman" w:hAnsi="Times New Roman" w:cs="Times New Roman"/>
          <w:b/>
          <w:i/>
        </w:rPr>
        <w:t xml:space="preserve">TÍTULO II </w:t>
      </w:r>
    </w:p>
    <w:p w:rsidR="00BC21CC" w:rsidRPr="00BC21CC" w:rsidRDefault="00BC21CC" w:rsidP="00882A19">
      <w:pPr>
        <w:spacing w:after="0"/>
        <w:ind w:left="30" w:right="13" w:hanging="10"/>
        <w:jc w:val="center"/>
        <w:rPr>
          <w:b/>
        </w:rPr>
      </w:pPr>
      <w:r w:rsidRPr="00BC21CC">
        <w:rPr>
          <w:rFonts w:ascii="Times New Roman" w:eastAsia="Times New Roman" w:hAnsi="Times New Roman" w:cs="Times New Roman"/>
          <w:b/>
          <w:i/>
        </w:rPr>
        <w:t xml:space="preserve">DE LA PENSIÓN MENSUAL DE JUBILACIÓN PATRONAL DEL MUNICIPIO DEL </w:t>
      </w:r>
    </w:p>
    <w:p w:rsidR="00BC21CC" w:rsidRPr="00BC21CC" w:rsidRDefault="00BC21CC" w:rsidP="00882A19">
      <w:pPr>
        <w:spacing w:after="216"/>
        <w:ind w:left="30" w:right="12" w:hanging="10"/>
        <w:jc w:val="center"/>
        <w:rPr>
          <w:b/>
        </w:rPr>
      </w:pPr>
      <w:r w:rsidRPr="00BC21CC">
        <w:rPr>
          <w:rFonts w:ascii="Times New Roman" w:eastAsia="Times New Roman" w:hAnsi="Times New Roman" w:cs="Times New Roman"/>
          <w:b/>
          <w:i/>
        </w:rPr>
        <w:t xml:space="preserve">DISTRITO METROPOLITANO DE QUITO </w:t>
      </w:r>
    </w:p>
    <w:p w:rsidR="005E3BB5" w:rsidRDefault="00BC21CC" w:rsidP="00882A19">
      <w:pPr>
        <w:spacing w:after="228" w:line="248" w:lineRule="auto"/>
        <w:ind w:left="20" w:right="20" w:hanging="10"/>
        <w:jc w:val="both"/>
        <w:rPr>
          <w:rFonts w:ascii="Times New Roman" w:eastAsia="Times New Roman" w:hAnsi="Times New Roman" w:cs="Times New Roman"/>
          <w:i/>
        </w:rPr>
      </w:pPr>
      <w:r w:rsidRPr="00BC21CC">
        <w:rPr>
          <w:rFonts w:ascii="Times New Roman" w:eastAsia="Times New Roman" w:hAnsi="Times New Roman" w:cs="Times New Roman"/>
          <w:b/>
          <w:i/>
        </w:rPr>
        <w:lastRenderedPageBreak/>
        <w:t xml:space="preserve">Artículo 73. </w:t>
      </w:r>
      <w:r>
        <w:rPr>
          <w:rFonts w:ascii="Times New Roman" w:eastAsia="Times New Roman" w:hAnsi="Times New Roman" w:cs="Times New Roman"/>
          <w:b/>
          <w:i/>
        </w:rPr>
        <w:t>–</w:t>
      </w:r>
      <w:r>
        <w:rPr>
          <w:rFonts w:ascii="Times New Roman" w:eastAsia="Times New Roman" w:hAnsi="Times New Roman" w:cs="Times New Roman"/>
          <w:i/>
        </w:rPr>
        <w:t xml:space="preserve"> </w:t>
      </w:r>
      <w:r w:rsidRPr="00BC21CC">
        <w:rPr>
          <w:rFonts w:ascii="Times New Roman" w:eastAsia="Times New Roman" w:hAnsi="Times New Roman" w:cs="Times New Roman"/>
          <w:b/>
          <w:i/>
        </w:rPr>
        <w:t xml:space="preserve">Pensión Mensual de Jubilación Patronal. </w:t>
      </w:r>
      <w:r>
        <w:rPr>
          <w:rFonts w:ascii="Times New Roman" w:eastAsia="Times New Roman" w:hAnsi="Times New Roman" w:cs="Times New Roman"/>
          <w:b/>
          <w:i/>
        </w:rPr>
        <w:t>–</w:t>
      </w:r>
      <w:r>
        <w:rPr>
          <w:rFonts w:ascii="Times New Roman" w:eastAsia="Times New Roman" w:hAnsi="Times New Roman" w:cs="Times New Roman"/>
          <w:i/>
        </w:rPr>
        <w:t xml:space="preserve"> Se establece como monto de la pensión mensual de jubilación patronal a favor de los trabajadores que prestaron sus servicios lícitos y personales por más de veinticinco (25) años</w:t>
      </w:r>
      <w:r w:rsidR="005E3BB5">
        <w:rPr>
          <w:rFonts w:ascii="Times New Roman" w:eastAsia="Times New Roman" w:hAnsi="Times New Roman" w:cs="Times New Roman"/>
          <w:i/>
        </w:rPr>
        <w:t xml:space="preserve"> en 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el </w:t>
      </w:r>
      <w:r w:rsidR="005E3BB5">
        <w:rPr>
          <w:rFonts w:ascii="Times New Roman" w:eastAsia="Times New Roman" w:hAnsi="Times New Roman" w:cs="Times New Roman"/>
          <w:i/>
        </w:rPr>
        <w:t xml:space="preserve">cincuenta por ciento </w:t>
      </w:r>
      <w:r w:rsidR="005E3BB5" w:rsidRPr="00323ED6">
        <w:rPr>
          <w:rFonts w:ascii="Times New Roman" w:eastAsia="Times New Roman" w:hAnsi="Times New Roman" w:cs="Times New Roman"/>
          <w:i/>
        </w:rPr>
        <w:t>(</w:t>
      </w:r>
      <w:r w:rsidRPr="00323ED6">
        <w:rPr>
          <w:rFonts w:ascii="Times New Roman" w:eastAsia="Times New Roman" w:hAnsi="Times New Roman" w:cs="Times New Roman"/>
          <w:i/>
        </w:rPr>
        <w:t>50%</w:t>
      </w:r>
      <w:r w:rsidR="005E3BB5" w:rsidRPr="00323ED6">
        <w:rPr>
          <w:rFonts w:ascii="Times New Roman" w:eastAsia="Times New Roman" w:hAnsi="Times New Roman" w:cs="Times New Roman"/>
          <w:i/>
        </w:rPr>
        <w:t>)</w:t>
      </w:r>
      <w:r w:rsidRPr="00323ED6">
        <w:rPr>
          <w:rFonts w:ascii="Times New Roman" w:eastAsia="Times New Roman" w:hAnsi="Times New Roman" w:cs="Times New Roman"/>
          <w:i/>
        </w:rPr>
        <w:t xml:space="preserve"> del salario básico unificado del trabajador en general</w:t>
      </w:r>
      <w:r w:rsidR="004C765E" w:rsidRPr="00323ED6">
        <w:rPr>
          <w:rFonts w:ascii="Times New Roman" w:eastAsia="Times New Roman" w:hAnsi="Times New Roman" w:cs="Times New Roman"/>
          <w:i/>
        </w:rPr>
        <w:t>.</w:t>
      </w:r>
    </w:p>
    <w:p w:rsidR="00BC21CC" w:rsidRPr="005E3BB5" w:rsidRDefault="00BC21CC" w:rsidP="00882A19">
      <w:pPr>
        <w:spacing w:after="228" w:line="248" w:lineRule="auto"/>
        <w:ind w:left="20" w:right="20" w:hanging="10"/>
        <w:jc w:val="both"/>
        <w:rPr>
          <w:rFonts w:ascii="Times New Roman" w:eastAsia="Times New Roman" w:hAnsi="Times New Roman" w:cs="Times New Roman"/>
          <w:i/>
        </w:rPr>
      </w:pPr>
      <w:r>
        <w:rPr>
          <w:rFonts w:ascii="Times New Roman" w:eastAsia="Times New Roman" w:hAnsi="Times New Roman" w:cs="Times New Roman"/>
          <w:i/>
        </w:rPr>
        <w:t xml:space="preserve">Este derecho a percibir la pensión jubilar patronal en el monto determinado, es independiente del derecho jubilatorio concedido por el Instituto Ecuatoriano de Seguridad Social.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74.-</w:t>
      </w:r>
      <w:r w:rsidR="004C765E">
        <w:rPr>
          <w:rFonts w:ascii="Times New Roman" w:eastAsia="Times New Roman" w:hAnsi="Times New Roman" w:cs="Times New Roman"/>
          <w:b/>
          <w:i/>
        </w:rPr>
        <w:t>Pensión Mensual Proporcional de Jubilación Patronal. -</w:t>
      </w:r>
      <w:r>
        <w:rPr>
          <w:rFonts w:ascii="Times New Roman" w:eastAsia="Times New Roman" w:hAnsi="Times New Roman" w:cs="Times New Roman"/>
          <w:i/>
        </w:rPr>
        <w:t xml:space="preserve"> Los trabajadores que desempeñaron sus funciones por más de 20 años y menos de 25 años</w:t>
      </w:r>
      <w:r w:rsidR="004C765E">
        <w:rPr>
          <w:rFonts w:ascii="Times New Roman" w:eastAsia="Times New Roman" w:hAnsi="Times New Roman" w:cs="Times New Roman"/>
          <w:i/>
        </w:rPr>
        <w:t xml:space="preserve"> en 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tendrán derecho a la parte proporcional de la pensión de jubilación patronal, de conformidad con lo </w:t>
      </w:r>
      <w:r w:rsidR="004C765E">
        <w:rPr>
          <w:rFonts w:ascii="Times New Roman" w:eastAsia="Times New Roman" w:hAnsi="Times New Roman" w:cs="Times New Roman"/>
          <w:i/>
        </w:rPr>
        <w:t xml:space="preserve">previsto en la normativa </w:t>
      </w:r>
      <w:r w:rsidR="00323ED6" w:rsidRPr="00323ED6">
        <w:rPr>
          <w:rFonts w:ascii="Times New Roman" w:eastAsia="Times New Roman" w:hAnsi="Times New Roman" w:cs="Times New Roman"/>
          <w:i/>
          <w:highlight w:val="yellow"/>
        </w:rPr>
        <w:t>laboral</w:t>
      </w:r>
      <w:r w:rsidR="004C765E">
        <w:rPr>
          <w:rFonts w:ascii="Times New Roman" w:eastAsia="Times New Roman" w:hAnsi="Times New Roman" w:cs="Times New Roman"/>
          <w:i/>
        </w:rPr>
        <w:t xml:space="preserve"> vigente.</w:t>
      </w:r>
      <w:r>
        <w:rPr>
          <w:rFonts w:ascii="Times New Roman" w:eastAsia="Times New Roman" w:hAnsi="Times New Roman" w:cs="Times New Roman"/>
          <w:i/>
        </w:rPr>
        <w:t xml:space="preserve">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75.-</w:t>
      </w:r>
      <w:r w:rsidR="005E3BB5">
        <w:rPr>
          <w:rFonts w:ascii="Times New Roman" w:eastAsia="Times New Roman" w:hAnsi="Times New Roman" w:cs="Times New Roman"/>
          <w:b/>
          <w:i/>
        </w:rPr>
        <w:t xml:space="preserve"> De la asignación presupuestaria. -</w:t>
      </w:r>
      <w:r>
        <w:rPr>
          <w:rFonts w:ascii="Times New Roman" w:eastAsia="Times New Roman" w:hAnsi="Times New Roman" w:cs="Times New Roman"/>
          <w:i/>
        </w:rPr>
        <w:t xml:space="preserve"> La Dirección Metropolitana Financiera del Municipio del Distrito Metropolitano de Quito, y la unidad que haga sus veces en las Empresas Públicas Metropolitanas y entidades adscritas, asignará el presupuesto correspondiente, para lo cual</w:t>
      </w:r>
      <w:r w:rsidR="005E3BB5">
        <w:rPr>
          <w:rFonts w:ascii="Times New Roman" w:eastAsia="Times New Roman" w:hAnsi="Times New Roman" w:cs="Times New Roman"/>
          <w:i/>
        </w:rPr>
        <w:t>,</w:t>
      </w:r>
      <w:r>
        <w:rPr>
          <w:rFonts w:ascii="Times New Roman" w:eastAsia="Times New Roman" w:hAnsi="Times New Roman" w:cs="Times New Roman"/>
          <w:i/>
        </w:rPr>
        <w:t xml:space="preserve"> hará constar en su presupuesto anual la partida específica para cumplimiento del pago de incremento de pensión jubilar. </w:t>
      </w:r>
    </w:p>
    <w:p w:rsidR="00BC21CC" w:rsidRDefault="00BC21CC" w:rsidP="00882A19">
      <w:pPr>
        <w:spacing w:after="228" w:line="248" w:lineRule="auto"/>
        <w:ind w:left="20" w:right="20" w:hanging="10"/>
        <w:jc w:val="both"/>
      </w:pPr>
      <w:r>
        <w:rPr>
          <w:rFonts w:ascii="Times New Roman" w:eastAsia="Times New Roman" w:hAnsi="Times New Roman" w:cs="Times New Roman"/>
          <w:i/>
        </w:rPr>
        <w:t xml:space="preserve">La </w:t>
      </w:r>
      <w:r w:rsidRPr="00323ED6">
        <w:rPr>
          <w:rFonts w:ascii="Times New Roman" w:eastAsia="Times New Roman" w:hAnsi="Times New Roman" w:cs="Times New Roman"/>
          <w:i/>
          <w:highlight w:val="yellow"/>
        </w:rPr>
        <w:t xml:space="preserve">Dirección Metropolitana de </w:t>
      </w:r>
      <w:r w:rsidR="00323ED6" w:rsidRPr="00323ED6">
        <w:rPr>
          <w:rFonts w:ascii="Times New Roman" w:eastAsia="Times New Roman" w:hAnsi="Times New Roman" w:cs="Times New Roman"/>
          <w:i/>
          <w:highlight w:val="yellow"/>
        </w:rPr>
        <w:t>Talento Humano</w:t>
      </w:r>
      <w:r>
        <w:rPr>
          <w:rFonts w:ascii="Times New Roman" w:eastAsia="Times New Roman" w:hAnsi="Times New Roman" w:cs="Times New Roman"/>
          <w:i/>
        </w:rPr>
        <w:t xml:space="preserve">, y la unidad que haga sus veces en las Empresas Públicas Metropolitanas y entidades adscritas, tendrá la base del plan de jubilación patronal de los trabajadores </w:t>
      </w:r>
      <w:r w:rsidR="00FF7376">
        <w:rPr>
          <w:rFonts w:ascii="Times New Roman" w:eastAsia="Times New Roman" w:hAnsi="Times New Roman" w:cs="Times New Roman"/>
          <w:i/>
        </w:rPr>
        <w:t>d</w:t>
      </w:r>
      <w:r w:rsidR="00323ED6">
        <w:rPr>
          <w:rFonts w:ascii="Times New Roman" w:eastAsia="Times New Roman" w:hAnsi="Times New Roman" w:cs="Times New Roman"/>
          <w:i/>
        </w:rPr>
        <w:t>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sobre la cual se determinará anualmente el respectivo presupuesto.”</w:t>
      </w:r>
      <w:r>
        <w:rPr>
          <w:rFonts w:ascii="Times New Roman" w:eastAsia="Times New Roman" w:hAnsi="Times New Roman" w:cs="Times New Roman"/>
        </w:rPr>
        <w:t xml:space="preserve">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76.-</w:t>
      </w:r>
      <w:r w:rsidR="005E3BB5">
        <w:rPr>
          <w:rFonts w:ascii="Times New Roman" w:eastAsia="Times New Roman" w:hAnsi="Times New Roman" w:cs="Times New Roman"/>
          <w:b/>
          <w:i/>
        </w:rPr>
        <w:t xml:space="preserve">De la asignación de </w:t>
      </w:r>
      <w:r w:rsidR="004C765E">
        <w:rPr>
          <w:rFonts w:ascii="Times New Roman" w:eastAsia="Times New Roman" w:hAnsi="Times New Roman" w:cs="Times New Roman"/>
          <w:b/>
          <w:i/>
        </w:rPr>
        <w:t>recursos. -</w:t>
      </w:r>
      <w:r>
        <w:rPr>
          <w:rFonts w:ascii="Times New Roman" w:eastAsia="Times New Roman" w:hAnsi="Times New Roman" w:cs="Times New Roman"/>
          <w:i/>
        </w:rPr>
        <w:t xml:space="preserve"> Encárguese a la Administración General, Secretaría </w:t>
      </w:r>
      <w:r w:rsidR="00FF7376">
        <w:rPr>
          <w:rFonts w:ascii="Times New Roman" w:eastAsia="Times New Roman" w:hAnsi="Times New Roman" w:cs="Times New Roman"/>
          <w:i/>
        </w:rPr>
        <w:t xml:space="preserve">General </w:t>
      </w:r>
      <w:r>
        <w:rPr>
          <w:rFonts w:ascii="Times New Roman" w:eastAsia="Times New Roman" w:hAnsi="Times New Roman" w:cs="Times New Roman"/>
          <w:i/>
        </w:rPr>
        <w:t xml:space="preserve">de Planificación y Dirección Metropolitana Financiera, y a la unidad que haga sus veces en las Empresas Públicas Metropolitanas y entidades adscritas, la asignación de los recursos necesarios para incluir en el presupuesto general de cada año del Municipio Metropolitano de Quito, para el cumplimiento de lo dispuesto en este Capítulo. </w:t>
      </w:r>
    </w:p>
    <w:p w:rsidR="00BC21CC" w:rsidRDefault="00BC21CC" w:rsidP="00882A19">
      <w:pPr>
        <w:spacing w:after="228" w:line="248" w:lineRule="auto"/>
        <w:ind w:left="20" w:right="20" w:hanging="10"/>
        <w:jc w:val="both"/>
        <w:rPr>
          <w:rFonts w:ascii="Times New Roman" w:eastAsia="Times New Roman" w:hAnsi="Times New Roman" w:cs="Times New Roman"/>
          <w:i/>
        </w:rPr>
      </w:pPr>
      <w:r w:rsidRPr="004C765E">
        <w:rPr>
          <w:rFonts w:ascii="Times New Roman" w:eastAsia="Times New Roman" w:hAnsi="Times New Roman" w:cs="Times New Roman"/>
          <w:b/>
          <w:i/>
        </w:rPr>
        <w:t>Artículo 77.-</w:t>
      </w:r>
      <w:r w:rsidR="004C765E">
        <w:rPr>
          <w:rFonts w:ascii="Times New Roman" w:eastAsia="Times New Roman" w:hAnsi="Times New Roman" w:cs="Times New Roman"/>
          <w:i/>
        </w:rPr>
        <w:t xml:space="preserve"> </w:t>
      </w:r>
      <w:r w:rsidR="004C765E" w:rsidRPr="004C765E">
        <w:rPr>
          <w:rFonts w:ascii="Times New Roman" w:eastAsia="Times New Roman" w:hAnsi="Times New Roman" w:cs="Times New Roman"/>
          <w:b/>
          <w:i/>
        </w:rPr>
        <w:t>Entidad ejecutora. -</w:t>
      </w:r>
      <w:r>
        <w:rPr>
          <w:rFonts w:ascii="Times New Roman" w:eastAsia="Times New Roman" w:hAnsi="Times New Roman" w:cs="Times New Roman"/>
          <w:i/>
        </w:rPr>
        <w:t xml:space="preserve"> Para la ejecución del presente Capítulo, encárguese a</w:t>
      </w:r>
      <w:r w:rsidR="00FF7376">
        <w:rPr>
          <w:rFonts w:ascii="Times New Roman" w:eastAsia="Times New Roman" w:hAnsi="Times New Roman" w:cs="Times New Roman"/>
          <w:i/>
        </w:rPr>
        <w:t xml:space="preserve"> la Dirección de Talento Humano</w:t>
      </w:r>
      <w:r>
        <w:rPr>
          <w:rFonts w:ascii="Times New Roman" w:eastAsia="Times New Roman" w:hAnsi="Times New Roman" w:cs="Times New Roman"/>
          <w:i/>
        </w:rPr>
        <w:t xml:space="preserve"> del Municipio del Distrito Metropolitano de Quito, y la unidad que haga sus veces en las Empresas Públicas Metropolitanas y entidades adscritas.” </w:t>
      </w:r>
    </w:p>
    <w:p w:rsidR="003C67DC" w:rsidRPr="003C67DC" w:rsidRDefault="003C67DC" w:rsidP="003C67DC">
      <w:pPr>
        <w:spacing w:after="228" w:line="248" w:lineRule="auto"/>
        <w:ind w:left="20" w:right="20" w:hanging="10"/>
        <w:jc w:val="center"/>
        <w:rPr>
          <w:b/>
        </w:rPr>
      </w:pPr>
      <w:r w:rsidRPr="003C67DC">
        <w:rPr>
          <w:b/>
        </w:rPr>
        <w:t>DISPOSICIÓN GENERAL</w:t>
      </w:r>
    </w:p>
    <w:p w:rsidR="003C67DC" w:rsidRDefault="003C67DC" w:rsidP="003C67DC">
      <w:pPr>
        <w:spacing w:after="228" w:line="248" w:lineRule="auto"/>
        <w:ind w:left="20" w:right="20" w:hanging="10"/>
        <w:jc w:val="both"/>
      </w:pPr>
      <w:r>
        <w:t>Disposición general única .</w:t>
      </w:r>
      <w:r w:rsidRPr="003C67DC">
        <w:t>–</w:t>
      </w:r>
      <w:r>
        <w:t xml:space="preserve"> </w:t>
      </w:r>
      <w:r w:rsidRPr="003C67DC">
        <w:t>Los ex trabajadores del Municipio del Distrito Metropolitano de Quito, Empresas Metropolitanas y demás entidades adscritas, salvo aquellas que se rigen bajo normas legales especiales, que a la fecha de expedición de la presente Ordenanza se encuentren percibiendo la jubilación patronal mensual, serán beneficiarios del aumento del cinco por ciento (5%) previsto en esta Reforma, y por tanto, se fijará dicho beneficio en cincuenta por ciento (50%) del salario básico u</w:t>
      </w:r>
      <w:r>
        <w:t>nificado del trabajador privado</w:t>
      </w:r>
    </w:p>
    <w:p w:rsidR="004A3FC4" w:rsidRDefault="00FF7376" w:rsidP="003C67DC">
      <w:pPr>
        <w:spacing w:after="231" w:line="244" w:lineRule="auto"/>
        <w:ind w:hanging="10"/>
        <w:jc w:val="center"/>
        <w:rPr>
          <w:rFonts w:ascii="Times New Roman" w:eastAsia="Times New Roman" w:hAnsi="Times New Roman" w:cs="Times New Roman"/>
          <w:b/>
        </w:rPr>
      </w:pPr>
      <w:r>
        <w:rPr>
          <w:rFonts w:ascii="Times New Roman" w:eastAsia="Times New Roman" w:hAnsi="Times New Roman" w:cs="Times New Roman"/>
          <w:b/>
        </w:rPr>
        <w:t>DISPOSICIONES TRANSITORIAS:</w:t>
      </w:r>
    </w:p>
    <w:p w:rsidR="00882A19" w:rsidRPr="004A3FC4" w:rsidRDefault="003C67DC" w:rsidP="003C67DC">
      <w:pPr>
        <w:spacing w:after="231" w:line="244" w:lineRule="auto"/>
        <w:ind w:hanging="10"/>
        <w:jc w:val="both"/>
        <w:rPr>
          <w:rFonts w:ascii="Times New Roman" w:eastAsia="Times New Roman" w:hAnsi="Times New Roman" w:cs="Times New Roman"/>
          <w:b/>
        </w:rPr>
      </w:pPr>
      <w:r w:rsidRPr="004A3FC4">
        <w:rPr>
          <w:rFonts w:ascii="Times New Roman" w:eastAsia="Times New Roman" w:hAnsi="Times New Roman" w:cs="Times New Roman"/>
          <w:b/>
          <w:highlight w:val="yellow"/>
        </w:rPr>
        <w:t>Disposición transitoria primera. –</w:t>
      </w:r>
      <w:r>
        <w:rPr>
          <w:rFonts w:ascii="Times New Roman" w:eastAsia="Times New Roman" w:hAnsi="Times New Roman" w:cs="Times New Roman"/>
          <w:b/>
        </w:rPr>
        <w:t xml:space="preserve"> </w:t>
      </w:r>
      <w:r w:rsidR="00882A19" w:rsidRPr="00882A19">
        <w:rPr>
          <w:rFonts w:ascii="Times New Roman" w:eastAsia="Times New Roman" w:hAnsi="Times New Roman" w:cs="Times New Roman"/>
        </w:rPr>
        <w:t>El Municipio del Distrito Metropolitano de Quito, Empresas Públicas Metropolitanas y demás entidades adscritas, salvo aquellas que se rigen bajo normas legales especiales</w:t>
      </w:r>
      <w:r w:rsidR="00882A19">
        <w:rPr>
          <w:rFonts w:ascii="Times New Roman" w:eastAsia="Times New Roman" w:hAnsi="Times New Roman" w:cs="Times New Roman"/>
        </w:rPr>
        <w:t>, deberán recalcular y efectuar los pagos de ju</w:t>
      </w:r>
      <w:r w:rsidR="00B503B4">
        <w:rPr>
          <w:rFonts w:ascii="Times New Roman" w:eastAsia="Times New Roman" w:hAnsi="Times New Roman" w:cs="Times New Roman"/>
        </w:rPr>
        <w:t>bilación mensual patronal a la</w:t>
      </w:r>
      <w:r w:rsidR="00882A19">
        <w:rPr>
          <w:rFonts w:ascii="Times New Roman" w:eastAsia="Times New Roman" w:hAnsi="Times New Roman" w:cs="Times New Roman"/>
        </w:rPr>
        <w:t>s</w:t>
      </w:r>
      <w:r w:rsidR="00B503B4">
        <w:rPr>
          <w:rFonts w:ascii="Times New Roman" w:eastAsia="Times New Roman" w:hAnsi="Times New Roman" w:cs="Times New Roman"/>
        </w:rPr>
        <w:t xml:space="preserve"> </w:t>
      </w:r>
      <w:r w:rsidR="00B503B4" w:rsidRPr="00F13B16">
        <w:rPr>
          <w:rFonts w:ascii="Times New Roman" w:eastAsia="Times New Roman" w:hAnsi="Times New Roman" w:cs="Times New Roman"/>
          <w:highlight w:val="yellow"/>
        </w:rPr>
        <w:t>ex trabajadora</w:t>
      </w:r>
      <w:r w:rsidR="00882A19" w:rsidRPr="00F13B16">
        <w:rPr>
          <w:rFonts w:ascii="Times New Roman" w:eastAsia="Times New Roman" w:hAnsi="Times New Roman" w:cs="Times New Roman"/>
          <w:highlight w:val="yellow"/>
        </w:rPr>
        <w:t>s</w:t>
      </w:r>
      <w:r w:rsidR="00B503B4" w:rsidRPr="00F13B16">
        <w:rPr>
          <w:rFonts w:ascii="Times New Roman" w:eastAsia="Times New Roman" w:hAnsi="Times New Roman" w:cs="Times New Roman"/>
          <w:highlight w:val="yellow"/>
        </w:rPr>
        <w:t xml:space="preserve"> y ex trabajadores,</w:t>
      </w:r>
      <w:r w:rsidR="00882A19" w:rsidRPr="00F13B16">
        <w:rPr>
          <w:rFonts w:ascii="Times New Roman" w:eastAsia="Times New Roman" w:hAnsi="Times New Roman" w:cs="Times New Roman"/>
          <w:highlight w:val="yellow"/>
        </w:rPr>
        <w:t xml:space="preserve"> considerando el monto previsto en esta Reforma, desde enero de 2024.</w:t>
      </w:r>
    </w:p>
    <w:p w:rsidR="00FF7376" w:rsidRDefault="003C67DC" w:rsidP="00FF7376">
      <w:pPr>
        <w:spacing w:after="231" w:line="244" w:lineRule="auto"/>
        <w:ind w:hanging="10"/>
        <w:jc w:val="both"/>
        <w:rPr>
          <w:rFonts w:ascii="Times New Roman" w:eastAsia="Times New Roman" w:hAnsi="Times New Roman" w:cs="Times New Roman"/>
        </w:rPr>
      </w:pPr>
      <w:r>
        <w:rPr>
          <w:rFonts w:ascii="Times New Roman" w:eastAsia="Times New Roman" w:hAnsi="Times New Roman" w:cs="Times New Roman"/>
          <w:b/>
        </w:rPr>
        <w:lastRenderedPageBreak/>
        <w:t>Disposición transitoria segunda.-</w:t>
      </w:r>
      <w:r w:rsidR="00FF7376">
        <w:rPr>
          <w:rFonts w:ascii="Times New Roman" w:eastAsia="Times New Roman" w:hAnsi="Times New Roman" w:cs="Times New Roman"/>
          <w:b/>
        </w:rPr>
        <w:t>. -</w:t>
      </w:r>
      <w:r w:rsidR="00FF7376" w:rsidRPr="00882A19">
        <w:rPr>
          <w:rFonts w:ascii="Times New Roman" w:eastAsia="Times New Roman" w:hAnsi="Times New Roman" w:cs="Times New Roman"/>
        </w:rPr>
        <w:t xml:space="preserve">El Municipio del Distrito Metropolitano de Quito, Empresas Públicas Metropolitanas y demás entidades adscritas, </w:t>
      </w:r>
      <w:r w:rsidR="00FF7376">
        <w:rPr>
          <w:rFonts w:ascii="Times New Roman" w:eastAsia="Times New Roman" w:hAnsi="Times New Roman" w:cs="Times New Roman"/>
        </w:rPr>
        <w:t>en el plazo de seis meses</w:t>
      </w:r>
      <w:r w:rsidR="00B27FF8">
        <w:rPr>
          <w:rFonts w:ascii="Times New Roman" w:eastAsia="Times New Roman" w:hAnsi="Times New Roman" w:cs="Times New Roman"/>
        </w:rPr>
        <w:t xml:space="preserve"> contados desde la sanción de esta Ordenanza</w:t>
      </w:r>
      <w:r w:rsidR="00FF7376">
        <w:rPr>
          <w:rFonts w:ascii="Times New Roman" w:eastAsia="Times New Roman" w:hAnsi="Times New Roman" w:cs="Times New Roman"/>
        </w:rPr>
        <w:t xml:space="preserve">, realizará los estudios económicos, financieros y legales, </w:t>
      </w:r>
      <w:r w:rsidR="00B27FF8">
        <w:rPr>
          <w:rFonts w:ascii="Times New Roman" w:eastAsia="Times New Roman" w:hAnsi="Times New Roman" w:cs="Times New Roman"/>
        </w:rPr>
        <w:t xml:space="preserve">que motive </w:t>
      </w:r>
      <w:r w:rsidR="00FF7376">
        <w:rPr>
          <w:rFonts w:ascii="Times New Roman" w:eastAsia="Times New Roman" w:hAnsi="Times New Roman" w:cs="Times New Roman"/>
        </w:rPr>
        <w:t>un posible incremento</w:t>
      </w:r>
      <w:r w:rsidR="00B27FF8">
        <w:rPr>
          <w:rFonts w:ascii="Times New Roman" w:eastAsia="Times New Roman" w:hAnsi="Times New Roman" w:cs="Times New Roman"/>
        </w:rPr>
        <w:t xml:space="preserve"> al monto de jubilación p</w:t>
      </w:r>
      <w:r w:rsidR="003A751D">
        <w:rPr>
          <w:rFonts w:ascii="Times New Roman" w:eastAsia="Times New Roman" w:hAnsi="Times New Roman" w:cs="Times New Roman"/>
        </w:rPr>
        <w:t>atronal, el cual, estará sujet</w:t>
      </w:r>
      <w:r w:rsidR="00B27FF8">
        <w:rPr>
          <w:rFonts w:ascii="Times New Roman" w:eastAsia="Times New Roman" w:hAnsi="Times New Roman" w:cs="Times New Roman"/>
        </w:rPr>
        <w:t>o la disponibilidad presupuestaria.</w:t>
      </w:r>
    </w:p>
    <w:p w:rsidR="00BC21CC" w:rsidRDefault="00BC21CC" w:rsidP="00BC21CC">
      <w:pPr>
        <w:spacing w:after="231" w:line="244" w:lineRule="auto"/>
        <w:ind w:hanging="10"/>
        <w:jc w:val="both"/>
      </w:pPr>
      <w:r>
        <w:rPr>
          <w:rFonts w:ascii="Times New Roman" w:eastAsia="Times New Roman" w:hAnsi="Times New Roman" w:cs="Times New Roman"/>
          <w:b/>
        </w:rPr>
        <w:t xml:space="preserve">Disposición Derogatoria Única. - </w:t>
      </w:r>
      <w:r>
        <w:rPr>
          <w:rFonts w:ascii="Times New Roman" w:eastAsia="Times New Roman" w:hAnsi="Times New Roman" w:cs="Times New Roman"/>
        </w:rPr>
        <w:t>Deróguese la Ordenanza Metropolitana Interpretativa No. 036-2022, sancionada el 15 de julio de 2022.</w:t>
      </w:r>
      <w:r>
        <w:rPr>
          <w:rFonts w:ascii="Times New Roman" w:eastAsia="Times New Roman" w:hAnsi="Times New Roman" w:cs="Times New Roman"/>
          <w:b/>
        </w:rPr>
        <w:t xml:space="preserve"> </w:t>
      </w:r>
    </w:p>
    <w:p w:rsidR="00BC21CC" w:rsidRDefault="00BC21CC" w:rsidP="00BC21CC">
      <w:pPr>
        <w:spacing w:after="231" w:line="244" w:lineRule="auto"/>
        <w:ind w:hanging="10"/>
        <w:jc w:val="both"/>
      </w:pPr>
      <w:r>
        <w:rPr>
          <w:rFonts w:ascii="Times New Roman" w:eastAsia="Times New Roman" w:hAnsi="Times New Roman" w:cs="Times New Roman"/>
          <w:b/>
        </w:rPr>
        <w:t xml:space="preserve">Disposición Final Única. - </w:t>
      </w:r>
      <w:r>
        <w:rPr>
          <w:rFonts w:ascii="Times New Roman" w:eastAsia="Times New Roman" w:hAnsi="Times New Roman" w:cs="Times New Roman"/>
        </w:rPr>
        <w:t xml:space="preserve">Esta Ordenanza entrará en vigencia, a partir de su sanción, sin perjuicio de su publicación en la Gaceta Oficial, y la página web institucional. </w:t>
      </w:r>
    </w:p>
    <w:p w:rsidR="00BC21CC" w:rsidRDefault="00BC21CC" w:rsidP="00BC21CC">
      <w:pPr>
        <w:spacing w:after="231" w:line="244" w:lineRule="auto"/>
        <w:ind w:left="696" w:hanging="706"/>
        <w:jc w:val="both"/>
      </w:pPr>
      <w:r>
        <w:rPr>
          <w:rFonts w:ascii="Times New Roman" w:eastAsia="Times New Roman" w:hAnsi="Times New Roman" w:cs="Times New Roman"/>
          <w:b/>
          <w:i/>
        </w:rPr>
        <w:t xml:space="preserve"> </w:t>
      </w:r>
    </w:p>
    <w:p w:rsidR="00BC21CC" w:rsidRDefault="00BC21CC" w:rsidP="00BC21CC">
      <w:pPr>
        <w:spacing w:after="0"/>
      </w:pPr>
      <w:r>
        <w:rPr>
          <w:rFonts w:ascii="Times New Roman" w:eastAsia="Times New Roman" w:hAnsi="Times New Roman" w:cs="Times New Roman"/>
        </w:rPr>
        <w:t xml:space="preserve">  </w:t>
      </w:r>
    </w:p>
    <w:p w:rsidR="00516543" w:rsidRDefault="006F623E"/>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Pr="00311FC8" w:rsidRDefault="00FA4CA0">
      <w:pPr>
        <w:rPr>
          <w:b/>
        </w:rPr>
      </w:pPr>
    </w:p>
    <w:p w:rsidR="003C67DC" w:rsidRDefault="00311FC8" w:rsidP="00FA4CA0">
      <w:pPr>
        <w:jc w:val="both"/>
        <w:rPr>
          <w:b/>
        </w:rPr>
      </w:pPr>
      <w:r w:rsidRPr="00311FC8">
        <w:rPr>
          <w:b/>
        </w:rPr>
        <w:lastRenderedPageBreak/>
        <w:t xml:space="preserve">MOCIÓN ÚNICA: </w:t>
      </w:r>
    </w:p>
    <w:p w:rsidR="003C67DC" w:rsidRDefault="003C67DC" w:rsidP="00FA4CA0">
      <w:pPr>
        <w:jc w:val="both"/>
        <w:rPr>
          <w:b/>
        </w:rPr>
      </w:pPr>
      <w:r>
        <w:rPr>
          <w:b/>
        </w:rPr>
        <w:t xml:space="preserve">1.- </w:t>
      </w:r>
      <w:r w:rsidRPr="003C67DC">
        <w:t xml:space="preserve">Aprobar </w:t>
      </w:r>
      <w:r>
        <w:t xml:space="preserve">el texto unificado titulado </w:t>
      </w:r>
      <w:r w:rsidRPr="00311FC8">
        <w:rPr>
          <w:i/>
        </w:rPr>
        <w:t xml:space="preserve">“Ordenanza </w:t>
      </w:r>
      <w:r>
        <w:rPr>
          <w:i/>
        </w:rPr>
        <w:t xml:space="preserve">Metropolitana que sustituye el </w:t>
      </w:r>
      <w:r w:rsidRPr="00311FC8">
        <w:rPr>
          <w:i/>
        </w:rPr>
        <w:t>Título II “DE LA PENSIÓN MENSUAL DE JUBILACIÓN PATRONAL DEL MUNICIPIO DEL DISTRITO METROPOLITANO DE QUITO” DEL LIBRO I.2 DEL CÓDIGO MUNICIPAL PARA EL DISTRITO METROPOLITANO DE QUITO”</w:t>
      </w:r>
      <w:r>
        <w:t>.</w:t>
      </w:r>
    </w:p>
    <w:p w:rsidR="00311FC8" w:rsidRDefault="003C67DC" w:rsidP="00FA4CA0">
      <w:pPr>
        <w:jc w:val="both"/>
      </w:pPr>
      <w:r w:rsidRPr="003C67DC">
        <w:rPr>
          <w:b/>
        </w:rPr>
        <w:t xml:space="preserve">2.- </w:t>
      </w:r>
      <w:r w:rsidR="000679D3" w:rsidRPr="000679D3">
        <w:t xml:space="preserve">Con el fin de sustentar el </w:t>
      </w:r>
      <w:r>
        <w:t xml:space="preserve">nuevo </w:t>
      </w:r>
      <w:r w:rsidR="000679D3" w:rsidRPr="000679D3">
        <w:t xml:space="preserve">texto del </w:t>
      </w:r>
      <w:r w:rsidR="00311FC8">
        <w:t>p</w:t>
      </w:r>
      <w:r w:rsidR="000679D3" w:rsidRPr="000679D3">
        <w:t xml:space="preserve">royecto de </w:t>
      </w:r>
      <w:r w:rsidR="00311FC8" w:rsidRPr="00311FC8">
        <w:rPr>
          <w:i/>
        </w:rPr>
        <w:t>“</w:t>
      </w:r>
      <w:r w:rsidR="000679D3" w:rsidRPr="00311FC8">
        <w:rPr>
          <w:i/>
        </w:rPr>
        <w:t xml:space="preserve">Ordenanza </w:t>
      </w:r>
      <w:r w:rsidR="00311FC8">
        <w:rPr>
          <w:i/>
        </w:rPr>
        <w:t xml:space="preserve">Metropolitana que sustituye el </w:t>
      </w:r>
      <w:r w:rsidR="000679D3" w:rsidRPr="00311FC8">
        <w:rPr>
          <w:i/>
        </w:rPr>
        <w:t>Título II “DE LA PENSIÓN MENSUAL DE JUBILACIÓN PATRONAL DEL MUNICIPIO DEL DISTRITO METROPOLITANO DE QUITO” DEL LIBRO I.2 DEL CÓDIGO MUNICIPAL PARA EL DISTRITO METROPOLITANO DE QUITO”</w:t>
      </w:r>
      <w:r w:rsidR="000679D3" w:rsidRPr="000679D3">
        <w:t>, se requiere que</w:t>
      </w:r>
      <w:r w:rsidR="00311FC8">
        <w:t>,</w:t>
      </w:r>
      <w:r w:rsidR="000679D3" w:rsidRPr="000679D3">
        <w:t xml:space="preserve"> en el término de </w:t>
      </w:r>
      <w:r w:rsidR="00311FC8">
        <w:t>5</w:t>
      </w:r>
      <w:r w:rsidR="000679D3" w:rsidRPr="000679D3">
        <w:t xml:space="preserve"> días, </w:t>
      </w:r>
      <w:r w:rsidR="00311FC8">
        <w:t>se presente en el ámbito de sus competencias</w:t>
      </w:r>
      <w:r>
        <w:t>,</w:t>
      </w:r>
      <w:r w:rsidR="00311FC8">
        <w:t xml:space="preserve"> los siguientes informes técnicos y/o jurídicos:</w:t>
      </w:r>
    </w:p>
    <w:p w:rsidR="00311FC8" w:rsidRDefault="003C67DC" w:rsidP="00311FC8">
      <w:pPr>
        <w:jc w:val="both"/>
      </w:pPr>
      <w:r w:rsidRPr="003C67DC">
        <w:rPr>
          <w:b/>
        </w:rPr>
        <w:t>2.</w:t>
      </w:r>
      <w:r w:rsidR="00311FC8" w:rsidRPr="003C67DC">
        <w:rPr>
          <w:b/>
        </w:rPr>
        <w:t>1.-</w:t>
      </w:r>
      <w:r w:rsidR="00311FC8">
        <w:t xml:space="preserve"> La Administración General, por medio de </w:t>
      </w:r>
      <w:r w:rsidR="000679D3" w:rsidRPr="000679D3">
        <w:t>la Dir</w:t>
      </w:r>
      <w:r w:rsidR="00311FC8">
        <w:t>ección Metropolitana Financiera y la</w:t>
      </w:r>
      <w:r w:rsidR="000679D3" w:rsidRPr="000679D3">
        <w:t xml:space="preserve"> Dirección Metropolitana de Talento Humano</w:t>
      </w:r>
      <w:r w:rsidR="00311FC8" w:rsidRPr="000679D3">
        <w:t xml:space="preserve">, presenten </w:t>
      </w:r>
      <w:r w:rsidR="00311FC8">
        <w:t xml:space="preserve">un </w:t>
      </w:r>
      <w:r w:rsidR="00311FC8" w:rsidRPr="000679D3">
        <w:t>informe</w:t>
      </w:r>
      <w:r w:rsidR="00311FC8">
        <w:t xml:space="preserve"> técnico y jurídico respecto del texto unificado propuesto, en donde se especifique también </w:t>
      </w:r>
      <w:r w:rsidR="00311FC8" w:rsidRPr="000679D3">
        <w:t>la fuente de financiamiento para</w:t>
      </w:r>
      <w:r w:rsidR="00311FC8">
        <w:t xml:space="preserve"> solventar los compromisos que se pudieren derivar de la misma; y,</w:t>
      </w:r>
    </w:p>
    <w:p w:rsidR="00311FC8" w:rsidRDefault="00311FC8" w:rsidP="00FA4CA0">
      <w:pPr>
        <w:jc w:val="both"/>
      </w:pPr>
      <w:r>
        <w:t xml:space="preserve"> </w:t>
      </w:r>
      <w:r w:rsidR="003C67DC" w:rsidRPr="003C67DC">
        <w:rPr>
          <w:b/>
        </w:rPr>
        <w:t>2.</w:t>
      </w:r>
      <w:r w:rsidRPr="003C67DC">
        <w:rPr>
          <w:b/>
        </w:rPr>
        <w:t>2.-</w:t>
      </w:r>
      <w:r>
        <w:t xml:space="preserve"> La Procuraduría Metropolitana emita un Informe Jurídico del texto unificado propuesto.</w:t>
      </w:r>
    </w:p>
    <w:p w:rsidR="00311FC8" w:rsidRDefault="00311FC8" w:rsidP="00FA4CA0">
      <w:pPr>
        <w:jc w:val="both"/>
      </w:pPr>
    </w:p>
    <w:p w:rsidR="00311FC8" w:rsidRDefault="00311FC8" w:rsidP="00FA4CA0">
      <w:pPr>
        <w:jc w:val="both"/>
      </w:pPr>
      <w:r>
        <w:t xml:space="preserve"> </w:t>
      </w:r>
    </w:p>
    <w:sectPr w:rsidR="00311FC8">
      <w:pgSz w:w="11906" w:h="16838"/>
      <w:pgMar w:top="1442" w:right="1425" w:bottom="1592"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CC"/>
    <w:rsid w:val="000679D3"/>
    <w:rsid w:val="00145A24"/>
    <w:rsid w:val="00193668"/>
    <w:rsid w:val="00311FC8"/>
    <w:rsid w:val="00323ED6"/>
    <w:rsid w:val="003A751D"/>
    <w:rsid w:val="003C67DC"/>
    <w:rsid w:val="004A3FC4"/>
    <w:rsid w:val="004C765E"/>
    <w:rsid w:val="005E3BB5"/>
    <w:rsid w:val="006F623E"/>
    <w:rsid w:val="00882A19"/>
    <w:rsid w:val="00B27FF8"/>
    <w:rsid w:val="00B42864"/>
    <w:rsid w:val="00B503B4"/>
    <w:rsid w:val="00BC21CC"/>
    <w:rsid w:val="00F11C7C"/>
    <w:rsid w:val="00F13B16"/>
    <w:rsid w:val="00FA4CA0"/>
    <w:rsid w:val="00FF73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B12CB-00BC-48B9-A312-71DFA252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CC"/>
    <w:rPr>
      <w:rFonts w:ascii="Calibri" w:eastAsia="Calibri" w:hAnsi="Calibri" w:cs="Calibri"/>
      <w:color w:val="000000"/>
      <w:lang w:eastAsia="es-EC"/>
    </w:rPr>
  </w:style>
  <w:style w:type="paragraph" w:styleId="Ttulo1">
    <w:name w:val="heading 1"/>
    <w:next w:val="Normal"/>
    <w:link w:val="Ttulo1Car"/>
    <w:uiPriority w:val="9"/>
    <w:unhideWhenUsed/>
    <w:qFormat/>
    <w:rsid w:val="004A3FC4"/>
    <w:pPr>
      <w:keepNext/>
      <w:keepLines/>
      <w:spacing w:after="2"/>
      <w:ind w:left="10" w:right="2" w:hanging="10"/>
      <w:jc w:val="center"/>
      <w:outlineLvl w:val="0"/>
    </w:pPr>
    <w:rPr>
      <w:rFonts w:ascii="Palatino Linotype" w:eastAsia="Palatino Linotype" w:hAnsi="Palatino Linotype" w:cs="Palatino Linotype"/>
      <w:b/>
      <w:color w:val="000000"/>
      <w:lang w:eastAsia="es-EC"/>
    </w:rPr>
  </w:style>
  <w:style w:type="paragraph" w:styleId="Ttulo6">
    <w:name w:val="heading 6"/>
    <w:basedOn w:val="Normal"/>
    <w:next w:val="Normal"/>
    <w:link w:val="Ttulo6Car"/>
    <w:uiPriority w:val="9"/>
    <w:semiHidden/>
    <w:unhideWhenUsed/>
    <w:qFormat/>
    <w:rsid w:val="004A3FC4"/>
    <w:pPr>
      <w:keepNext/>
      <w:keepLines/>
      <w:spacing w:before="40" w:after="0" w:line="240" w:lineRule="auto"/>
      <w:jc w:val="both"/>
      <w:outlineLvl w:val="5"/>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3FC4"/>
    <w:rPr>
      <w:rFonts w:ascii="Palatino Linotype" w:eastAsia="Palatino Linotype" w:hAnsi="Palatino Linotype" w:cs="Palatino Linotype"/>
      <w:b/>
      <w:color w:val="000000"/>
      <w:lang w:eastAsia="es-EC"/>
    </w:rPr>
  </w:style>
  <w:style w:type="character" w:customStyle="1" w:styleId="Ttulo6Car">
    <w:name w:val="Título 6 Car"/>
    <w:basedOn w:val="Fuentedeprrafopredeter"/>
    <w:link w:val="Ttulo6"/>
    <w:uiPriority w:val="9"/>
    <w:semiHidden/>
    <w:rsid w:val="004A3FC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13199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Samuel Byun Olivo</dc:creator>
  <cp:keywords/>
  <dc:description/>
  <cp:lastModifiedBy>Norma Karina Villavicencio Rivadeneira</cp:lastModifiedBy>
  <cp:revision>2</cp:revision>
  <dcterms:created xsi:type="dcterms:W3CDTF">2024-05-22T14:25:00Z</dcterms:created>
  <dcterms:modified xsi:type="dcterms:W3CDTF">2024-05-22T14:25:00Z</dcterms:modified>
</cp:coreProperties>
</file>