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45A22" w:rsidR="006D0496" w:rsidP="00DF36F2" w:rsidRDefault="006D0496" w14:paraId="717D898B" w14:textId="75D6F720">
      <w:pPr>
        <w:autoSpaceDE w:val="0"/>
        <w:autoSpaceDN w:val="0"/>
        <w:adjustRightInd w:val="0"/>
        <w:spacing w:after="0" w:line="240" w:lineRule="auto"/>
        <w:jc w:val="center"/>
        <w:rPr>
          <w:rFonts w:ascii="Palatino Linotype" w:hAnsi="Palatino Linotype" w:cstheme="minorHAnsi"/>
          <w:b/>
          <w:bCs/>
        </w:rPr>
      </w:pPr>
      <w:r w:rsidRPr="00345A22">
        <w:rPr>
          <w:rFonts w:ascii="Palatino Linotype" w:hAnsi="Palatino Linotype" w:cstheme="minorHAnsi"/>
          <w:b/>
          <w:bCs/>
        </w:rPr>
        <w:t>RESOLUCIÓN Nro. C xxx-2023</w:t>
      </w:r>
    </w:p>
    <w:p w:rsidRPr="00345A22" w:rsidR="006D0496" w:rsidP="00DF36F2" w:rsidRDefault="006D0496" w14:paraId="7812908E" w14:textId="77777777">
      <w:pPr>
        <w:autoSpaceDE w:val="0"/>
        <w:autoSpaceDN w:val="0"/>
        <w:adjustRightInd w:val="0"/>
        <w:spacing w:after="0" w:line="240" w:lineRule="auto"/>
        <w:jc w:val="center"/>
        <w:rPr>
          <w:rFonts w:ascii="Palatino Linotype" w:hAnsi="Palatino Linotype" w:cstheme="minorHAnsi"/>
          <w:b/>
          <w:bCs/>
        </w:rPr>
      </w:pPr>
    </w:p>
    <w:p w:rsidRPr="00345A22" w:rsidR="006D0496" w:rsidP="00DF36F2" w:rsidRDefault="006D0496" w14:paraId="7B40898C" w14:textId="77777777">
      <w:pPr>
        <w:autoSpaceDE w:val="0"/>
        <w:autoSpaceDN w:val="0"/>
        <w:adjustRightInd w:val="0"/>
        <w:spacing w:after="0" w:line="240" w:lineRule="auto"/>
        <w:jc w:val="center"/>
        <w:rPr>
          <w:rFonts w:ascii="Palatino Linotype" w:hAnsi="Palatino Linotype" w:cstheme="minorHAnsi"/>
          <w:b/>
          <w:bCs/>
        </w:rPr>
      </w:pPr>
      <w:r w:rsidRPr="00345A22">
        <w:rPr>
          <w:rFonts w:ascii="Palatino Linotype" w:hAnsi="Palatino Linotype" w:cstheme="minorHAnsi"/>
          <w:b/>
          <w:bCs/>
        </w:rPr>
        <w:t>EL CONCEJO METROPOLITANO DE QUITO</w:t>
      </w:r>
    </w:p>
    <w:p w:rsidRPr="00345A22" w:rsidR="006D0496" w:rsidP="00DF36F2" w:rsidRDefault="006D0496" w14:paraId="75E9CAB3" w14:textId="77777777">
      <w:pPr>
        <w:autoSpaceDE w:val="0"/>
        <w:autoSpaceDN w:val="0"/>
        <w:adjustRightInd w:val="0"/>
        <w:spacing w:after="0" w:line="240" w:lineRule="auto"/>
        <w:jc w:val="center"/>
        <w:rPr>
          <w:rFonts w:ascii="Palatino Linotype" w:hAnsi="Palatino Linotype" w:cstheme="minorHAnsi"/>
          <w:b/>
          <w:bCs/>
        </w:rPr>
      </w:pPr>
    </w:p>
    <w:p w:rsidRPr="00345A22" w:rsidR="006D0496" w:rsidP="00DF36F2" w:rsidRDefault="006D0496" w14:paraId="25122532" w14:textId="77777777">
      <w:pPr>
        <w:spacing w:after="0" w:line="240" w:lineRule="auto"/>
        <w:jc w:val="center"/>
        <w:rPr>
          <w:rFonts w:ascii="Palatino Linotype" w:hAnsi="Palatino Linotype" w:cstheme="minorHAnsi"/>
          <w:b/>
          <w:bCs/>
        </w:rPr>
      </w:pPr>
      <w:r w:rsidRPr="00345A22">
        <w:rPr>
          <w:rFonts w:ascii="Palatino Linotype" w:hAnsi="Palatino Linotype" w:cstheme="minorHAnsi"/>
          <w:b/>
          <w:bCs/>
        </w:rPr>
        <w:t>CONSIDERANDO:</w:t>
      </w:r>
    </w:p>
    <w:p w:rsidRPr="00345A22" w:rsidR="00DF36F2" w:rsidP="00DF36F2" w:rsidRDefault="00DF36F2" w14:paraId="2DDBD5DC" w14:textId="77777777">
      <w:pPr>
        <w:spacing w:after="0" w:line="240" w:lineRule="auto"/>
        <w:jc w:val="center"/>
        <w:rPr>
          <w:rFonts w:ascii="Palatino Linotype" w:hAnsi="Palatino Linotype" w:cstheme="minorHAnsi"/>
          <w:b/>
          <w:bCs/>
        </w:rPr>
      </w:pPr>
    </w:p>
    <w:p w:rsidRPr="00345A22" w:rsidR="00305F12" w:rsidP="00DF36F2" w:rsidRDefault="00305F12" w14:paraId="385BDFFB" w14:textId="2D2ADD80">
      <w:pPr>
        <w:spacing w:after="0" w:line="240" w:lineRule="auto"/>
        <w:ind w:left="708" w:hanging="708"/>
        <w:jc w:val="both"/>
        <w:rPr>
          <w:rFonts w:ascii="Palatino Linotype" w:hAnsi="Palatino Linotype" w:cstheme="minorHAnsi"/>
        </w:rPr>
      </w:pPr>
      <w:r w:rsidRPr="00345A22">
        <w:rPr>
          <w:rFonts w:ascii="Palatino Linotype" w:hAnsi="Palatino Linotype" w:cstheme="minorHAnsi"/>
          <w:b/>
          <w:bCs/>
        </w:rPr>
        <w:t xml:space="preserve">Que, </w:t>
      </w:r>
      <w:r w:rsidRPr="00345A22">
        <w:rPr>
          <w:rFonts w:ascii="Palatino Linotype" w:hAnsi="Palatino Linotype" w:cstheme="minorHAnsi"/>
          <w:b/>
          <w:bCs/>
        </w:rPr>
        <w:tab/>
      </w:r>
      <w:r w:rsidRPr="00345A22">
        <w:rPr>
          <w:rFonts w:ascii="Palatino Linotype" w:hAnsi="Palatino Linotype" w:cstheme="minorHAnsi"/>
        </w:rPr>
        <w:t>el artículo 190 de la Constitución de la República del Ecuador</w:t>
      </w:r>
      <w:r w:rsidRPr="00345A22" w:rsidR="00661D06">
        <w:rPr>
          <w:rFonts w:ascii="Palatino Linotype" w:hAnsi="Palatino Linotype" w:cstheme="minorHAnsi"/>
        </w:rPr>
        <w:t xml:space="preserve"> (En adelante “Constitución”)</w:t>
      </w:r>
      <w:r w:rsidRPr="00345A22">
        <w:rPr>
          <w:rFonts w:ascii="Palatino Linotype" w:hAnsi="Palatino Linotype" w:cstheme="minorHAnsi"/>
        </w:rPr>
        <w:t xml:space="preserve"> dispone que: </w:t>
      </w:r>
      <w:r w:rsidRPr="00B87DDA">
        <w:rPr>
          <w:rFonts w:ascii="Palatino Linotype" w:hAnsi="Palatino Linotype" w:cstheme="minorHAnsi"/>
          <w:i/>
          <w:iCs/>
        </w:rPr>
        <w:t>“Se reconoce el arbitraje, la mediación y otros procedimientos alternativos para la solución de conflictos. Estos procedimientos se aplicarán con sujeción a la ley, en materias en las que por su naturaleza se pueda transigir</w:t>
      </w:r>
      <w:r w:rsidRPr="00B87DDA">
        <w:rPr>
          <w:rFonts w:ascii="Palatino Linotype" w:hAnsi="Palatino Linotype" w:cstheme="minorHAnsi"/>
          <w:b/>
          <w:bCs/>
          <w:i/>
          <w:iCs/>
        </w:rPr>
        <w:t>.</w:t>
      </w:r>
      <w:r w:rsidRPr="00B87DDA">
        <w:rPr>
          <w:rFonts w:ascii="Palatino Linotype" w:hAnsi="Palatino Linotype" w:cstheme="minorHAnsi"/>
          <w:i/>
          <w:iCs/>
        </w:rPr>
        <w:t>(…)”</w:t>
      </w:r>
      <w:r w:rsidRPr="00345A22" w:rsidR="005C0388">
        <w:rPr>
          <w:rFonts w:ascii="Palatino Linotype" w:hAnsi="Palatino Linotype" w:cstheme="minorHAnsi"/>
        </w:rPr>
        <w:t>;</w:t>
      </w:r>
    </w:p>
    <w:p w:rsidRPr="00345A22" w:rsidR="00DF36F2" w:rsidP="00DF36F2" w:rsidRDefault="00DF36F2" w14:paraId="09187C8B" w14:textId="77777777">
      <w:pPr>
        <w:spacing w:after="0" w:line="240" w:lineRule="auto"/>
        <w:ind w:left="708" w:hanging="708"/>
        <w:jc w:val="both"/>
        <w:rPr>
          <w:rFonts w:ascii="Palatino Linotype" w:hAnsi="Palatino Linotype" w:cstheme="minorHAnsi"/>
          <w:b/>
        </w:rPr>
      </w:pPr>
    </w:p>
    <w:p w:rsidRPr="00345A22" w:rsidR="006D0496" w:rsidP="00DF36F2" w:rsidRDefault="006D0496" w14:paraId="11984278" w14:textId="552F0D27">
      <w:pPr>
        <w:spacing w:after="0" w:line="240" w:lineRule="auto"/>
        <w:ind w:left="708" w:hanging="708"/>
        <w:jc w:val="both"/>
        <w:rPr>
          <w:rFonts w:ascii="Palatino Linotype" w:hAnsi="Palatino Linotype" w:cstheme="minorHAnsi"/>
        </w:rPr>
      </w:pPr>
      <w:r w:rsidRPr="00345A22">
        <w:rPr>
          <w:rFonts w:ascii="Palatino Linotype" w:hAnsi="Palatino Linotype" w:cstheme="minorHAnsi"/>
          <w:b/>
        </w:rPr>
        <w:t>Que,</w:t>
      </w:r>
      <w:r w:rsidRPr="00345A22" w:rsidR="00ED45E4">
        <w:rPr>
          <w:rFonts w:ascii="Palatino Linotype" w:hAnsi="Palatino Linotype" w:cstheme="minorHAnsi"/>
          <w:b/>
        </w:rPr>
        <w:tab/>
      </w:r>
      <w:r w:rsidRPr="00345A22">
        <w:rPr>
          <w:rFonts w:ascii="Palatino Linotype" w:hAnsi="Palatino Linotype" w:cstheme="minorHAnsi"/>
        </w:rPr>
        <w:t>el artículo 226 de la Constitución, en relación al principio de legalidad, dispone que las servidoras o servidores públicos y las personas que actúen en virtud de una potestad estatal ejercerán solamente las competencias y facultades que les sean atribuidas en la Constitución y la Ley;</w:t>
      </w:r>
    </w:p>
    <w:p w:rsidRPr="00345A22" w:rsidR="00DF36F2" w:rsidP="00DF36F2" w:rsidRDefault="00DF36F2" w14:paraId="4F88FBC1" w14:textId="77777777">
      <w:pPr>
        <w:spacing w:after="0" w:line="240" w:lineRule="auto"/>
        <w:ind w:left="708" w:hanging="708"/>
        <w:jc w:val="both"/>
        <w:rPr>
          <w:rFonts w:ascii="Palatino Linotype" w:hAnsi="Palatino Linotype" w:cstheme="minorHAnsi"/>
          <w:b/>
        </w:rPr>
      </w:pPr>
    </w:p>
    <w:p w:rsidRPr="00345A22" w:rsidR="00661D06" w:rsidP="00DF36F2" w:rsidRDefault="006D0496" w14:paraId="6D88944D" w14:textId="67840A38">
      <w:pPr>
        <w:spacing w:after="0" w:line="240" w:lineRule="auto"/>
        <w:ind w:left="708" w:hanging="708"/>
        <w:jc w:val="both"/>
        <w:rPr>
          <w:rFonts w:ascii="Palatino Linotype" w:hAnsi="Palatino Linotype" w:cstheme="minorHAnsi"/>
          <w:i/>
          <w:iCs/>
        </w:rPr>
      </w:pPr>
      <w:r w:rsidRPr="00345A22">
        <w:rPr>
          <w:rFonts w:ascii="Palatino Linotype" w:hAnsi="Palatino Linotype" w:cstheme="minorHAnsi"/>
          <w:b/>
        </w:rPr>
        <w:t>Que,</w:t>
      </w:r>
      <w:r w:rsidRPr="00345A22" w:rsidR="00ED45E4">
        <w:rPr>
          <w:rFonts w:ascii="Palatino Linotype" w:hAnsi="Palatino Linotype" w:cstheme="minorHAnsi"/>
          <w:b/>
        </w:rPr>
        <w:tab/>
      </w:r>
      <w:r w:rsidRPr="00345A22">
        <w:rPr>
          <w:rFonts w:ascii="Palatino Linotype" w:hAnsi="Palatino Linotype" w:cstheme="minorHAnsi"/>
        </w:rPr>
        <w:t xml:space="preserve">el artículo 227 de la Constitución, dispone: </w:t>
      </w:r>
      <w:r w:rsidRPr="00345A22">
        <w:rPr>
          <w:rFonts w:ascii="Palatino Linotype" w:hAnsi="Palatino Linotype" w:cstheme="minorHAnsi"/>
          <w:i/>
        </w:rPr>
        <w:t>“</w:t>
      </w:r>
      <w:r w:rsidRPr="00345A22">
        <w:rPr>
          <w:rFonts w:ascii="Palatino Linotype" w:hAnsi="Palatino Linotype"/>
          <w:i/>
        </w:rPr>
        <w:t>La administración pública constituye un servicio a la colectividad que se rige por los principios de eficacia, eficiencia, calidad, jerarquía, desconcentración, descentralización, coordinación, participación, planificación, transparencia y evaluación</w:t>
      </w:r>
      <w:r w:rsidRPr="00345A22">
        <w:rPr>
          <w:rFonts w:ascii="Palatino Linotype" w:hAnsi="Palatino Linotype" w:cstheme="minorHAnsi"/>
          <w:i/>
          <w:iCs/>
        </w:rPr>
        <w:t>”;</w:t>
      </w:r>
    </w:p>
    <w:p w:rsidRPr="00345A22" w:rsidR="00611728" w:rsidP="00DF36F2" w:rsidRDefault="00611728" w14:paraId="7ADF6C69" w14:textId="77777777">
      <w:pPr>
        <w:spacing w:after="0" w:line="240" w:lineRule="auto"/>
        <w:ind w:left="708" w:hanging="708"/>
        <w:jc w:val="both"/>
        <w:rPr>
          <w:rFonts w:ascii="Palatino Linotype" w:hAnsi="Palatino Linotype" w:cstheme="minorHAnsi"/>
          <w:i/>
          <w:iCs/>
        </w:rPr>
      </w:pPr>
    </w:p>
    <w:p w:rsidRPr="00345A22" w:rsidR="00611728" w:rsidP="00611728" w:rsidRDefault="00611728" w14:paraId="61402698" w14:textId="77777777">
      <w:pPr>
        <w:spacing w:after="0" w:line="240" w:lineRule="auto"/>
        <w:ind w:left="708" w:hanging="708"/>
        <w:jc w:val="both"/>
        <w:rPr>
          <w:rFonts w:ascii="Palatino Linotype" w:hAnsi="Palatino Linotype"/>
        </w:rPr>
      </w:pPr>
      <w:r w:rsidRPr="00345A22">
        <w:rPr>
          <w:rFonts w:ascii="Palatino Linotype" w:hAnsi="Palatino Linotype"/>
          <w:b/>
          <w:bCs/>
        </w:rPr>
        <w:t>Que,</w:t>
      </w:r>
      <w:r w:rsidRPr="00345A22">
        <w:rPr>
          <w:rFonts w:ascii="Palatino Linotype" w:hAnsi="Palatino Linotype"/>
        </w:rPr>
        <w:t xml:space="preserve"> </w:t>
      </w:r>
      <w:r w:rsidRPr="00345A22">
        <w:rPr>
          <w:rFonts w:ascii="Palatino Linotype" w:hAnsi="Palatino Linotype"/>
        </w:rPr>
        <w:tab/>
      </w:r>
      <w:r w:rsidRPr="00345A22">
        <w:rPr>
          <w:rFonts w:ascii="Palatino Linotype" w:hAnsi="Palatino Linotype"/>
        </w:rPr>
        <w:t xml:space="preserve">la Constitución de la República del Ecuador, en el artículo 238, establece que: </w:t>
      </w:r>
      <w:r w:rsidRPr="00345A22">
        <w:rPr>
          <w:rFonts w:ascii="Palatino Linotype" w:hAnsi="Palatino Linotype"/>
          <w:i/>
          <w:iCs/>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Pr="00345A22">
        <w:rPr>
          <w:rFonts w:ascii="Palatino Linotype" w:hAnsi="Palatino Linotype"/>
        </w:rPr>
        <w:t xml:space="preserve">; </w:t>
      </w:r>
    </w:p>
    <w:p w:rsidRPr="00345A22" w:rsidR="00DF36F2" w:rsidP="00DF36F2" w:rsidRDefault="00DF36F2" w14:paraId="4ABC330E" w14:textId="77777777">
      <w:pPr>
        <w:spacing w:after="0" w:line="240" w:lineRule="auto"/>
        <w:ind w:left="708" w:hanging="708"/>
        <w:jc w:val="both"/>
        <w:rPr>
          <w:rFonts w:ascii="Palatino Linotype" w:hAnsi="Palatino Linotype" w:cstheme="minorHAnsi"/>
          <w:i/>
          <w:iCs/>
        </w:rPr>
      </w:pPr>
    </w:p>
    <w:p w:rsidRPr="00345A22" w:rsidR="00DF36F2" w:rsidP="005C0388" w:rsidRDefault="00DF36F2" w14:paraId="1801D83D" w14:textId="6080437A">
      <w:pPr>
        <w:spacing w:after="0" w:line="240" w:lineRule="auto"/>
        <w:ind w:left="708" w:hanging="708"/>
        <w:jc w:val="both"/>
        <w:rPr>
          <w:rFonts w:ascii="Palatino Linotype" w:hAnsi="Palatino Linotype" w:cstheme="minorHAnsi"/>
        </w:rPr>
      </w:pPr>
      <w:r w:rsidRPr="00345A22">
        <w:rPr>
          <w:rFonts w:ascii="Palatino Linotype" w:hAnsi="Palatino Linotype" w:cstheme="minorHAnsi"/>
          <w:b/>
          <w:bCs/>
        </w:rPr>
        <w:t>Que,</w:t>
      </w:r>
      <w:r w:rsidRPr="00345A22">
        <w:rPr>
          <w:rFonts w:ascii="Palatino Linotype" w:hAnsi="Palatino Linotype" w:cstheme="minorHAnsi"/>
        </w:rPr>
        <w:t xml:space="preserve"> </w:t>
      </w:r>
      <w:r w:rsidRPr="00345A22">
        <w:rPr>
          <w:rFonts w:ascii="Palatino Linotype" w:hAnsi="Palatino Linotype" w:cstheme="minorHAnsi"/>
        </w:rPr>
        <w:tab/>
      </w:r>
      <w:r w:rsidRPr="00345A22">
        <w:rPr>
          <w:rFonts w:ascii="Palatino Linotype" w:hAnsi="Palatino Linotype" w:cstheme="minorHAnsi"/>
        </w:rPr>
        <w:t>el artículo 240 de la Constitución, en concordancia con el art</w:t>
      </w:r>
      <w:r w:rsidRPr="00345A22" w:rsidR="00611728">
        <w:rPr>
          <w:rFonts w:ascii="Palatino Linotype" w:hAnsi="Palatino Linotype" w:cstheme="minorHAnsi"/>
        </w:rPr>
        <w:t xml:space="preserve">ículo </w:t>
      </w:r>
      <w:r w:rsidRPr="00345A22">
        <w:rPr>
          <w:rFonts w:ascii="Palatino Linotype" w:hAnsi="Palatino Linotype" w:cstheme="minorHAnsi"/>
        </w:rPr>
        <w:t xml:space="preserve">86 del Código Orgánico de Organización Territorial, Autonomía y Descentralización, establece que el Concejo Metropolitano es el órgano de legislación y fiscalización del gobierno autónomo descentralizado del Distrito Metropolitano; </w:t>
      </w:r>
    </w:p>
    <w:p w:rsidRPr="00345A22" w:rsidR="00DF36F2" w:rsidP="00DF36F2" w:rsidRDefault="00DF36F2" w14:paraId="095D43A0" w14:textId="77777777">
      <w:pPr>
        <w:spacing w:after="0" w:line="240" w:lineRule="auto"/>
        <w:ind w:left="708" w:hanging="708"/>
        <w:jc w:val="both"/>
        <w:rPr>
          <w:rFonts w:ascii="Palatino Linotype" w:hAnsi="Palatino Linotype" w:cstheme="minorHAnsi"/>
          <w:b/>
        </w:rPr>
      </w:pPr>
    </w:p>
    <w:p w:rsidRPr="00345A22" w:rsidR="00661D06" w:rsidP="00DF36F2" w:rsidRDefault="00661D06" w14:paraId="7C4DC0AD" w14:textId="3703017F">
      <w:pPr>
        <w:spacing w:after="0" w:line="240" w:lineRule="auto"/>
        <w:ind w:left="708" w:hanging="708"/>
        <w:jc w:val="both"/>
        <w:rPr>
          <w:rFonts w:ascii="Palatino Linotype" w:hAnsi="Palatino Linotype" w:cstheme="minorHAnsi"/>
          <w:i/>
          <w:iCs/>
        </w:rPr>
      </w:pPr>
      <w:r w:rsidRPr="00345A22">
        <w:rPr>
          <w:rFonts w:ascii="Palatino Linotype" w:hAnsi="Palatino Linotype" w:cstheme="minorHAnsi"/>
          <w:b/>
        </w:rPr>
        <w:t>Que,</w:t>
      </w:r>
      <w:r w:rsidRPr="00345A22">
        <w:rPr>
          <w:rFonts w:ascii="Palatino Linotype" w:hAnsi="Palatino Linotype" w:cstheme="minorHAnsi"/>
          <w:b/>
        </w:rPr>
        <w:tab/>
      </w:r>
      <w:r w:rsidRPr="00345A22">
        <w:rPr>
          <w:rFonts w:ascii="Palatino Linotype" w:hAnsi="Palatino Linotype" w:cstheme="minorHAnsi"/>
        </w:rPr>
        <w:t xml:space="preserve">el artículo 271 de la Constitución, manda que: </w:t>
      </w:r>
      <w:r w:rsidRPr="00345A22">
        <w:rPr>
          <w:rFonts w:ascii="Palatino Linotype" w:hAnsi="Palatino Linotype" w:cstheme="minorHAnsi"/>
          <w:i/>
        </w:rPr>
        <w:t>“</w:t>
      </w:r>
      <w:r w:rsidRPr="00345A22">
        <w:rPr>
          <w:rFonts w:ascii="Palatino Linotype" w:hAnsi="Palatino Linotype"/>
          <w:i/>
        </w:rPr>
        <w:t>Los gobiernos autónomos descentralizados participarán de al menos el quince por ciento de INGRESOS permanentes y de un monto no inferior al cinco por ciento de los no permanentes correspondientes al Estado central, excepto los de endeudamiento público. Las asignaciones anuales serán predecibles, directas, oportunas y automáticas, y se harán efectivas mediante las transferencias desde la Cuenta Única del Tesoro Nacional a las cuentas de los gobiernos autónomos descentralizados.</w:t>
      </w:r>
      <w:r w:rsidRPr="00345A22">
        <w:rPr>
          <w:rFonts w:ascii="Palatino Linotype" w:hAnsi="Palatino Linotype" w:cstheme="minorHAnsi"/>
          <w:i/>
          <w:iCs/>
        </w:rPr>
        <w:t>”;</w:t>
      </w:r>
    </w:p>
    <w:p w:rsidRPr="00345A22" w:rsidR="00DF36F2" w:rsidP="00DF36F2" w:rsidRDefault="00DF36F2" w14:paraId="6F51FA7A" w14:textId="77777777">
      <w:pPr>
        <w:spacing w:after="0" w:line="240" w:lineRule="auto"/>
        <w:ind w:left="708" w:hanging="708"/>
        <w:jc w:val="both"/>
        <w:rPr>
          <w:rFonts w:ascii="Palatino Linotype" w:hAnsi="Palatino Linotype" w:cstheme="minorHAnsi"/>
          <w:b/>
          <w:bCs/>
        </w:rPr>
      </w:pPr>
    </w:p>
    <w:p w:rsidRPr="00345A22" w:rsidR="00ED45E4" w:rsidP="00DF36F2" w:rsidRDefault="00ED45E4" w14:paraId="217872FD" w14:textId="33A98034">
      <w:pPr>
        <w:spacing w:after="0" w:line="240" w:lineRule="auto"/>
        <w:ind w:left="708" w:hanging="708"/>
        <w:jc w:val="both"/>
        <w:rPr>
          <w:rFonts w:ascii="Palatino Linotype" w:hAnsi="Palatino Linotype" w:cstheme="minorHAnsi"/>
          <w:i/>
          <w:iCs/>
        </w:rPr>
      </w:pPr>
      <w:r w:rsidRPr="00345A22">
        <w:rPr>
          <w:rFonts w:ascii="Palatino Linotype" w:hAnsi="Palatino Linotype" w:cstheme="minorHAnsi"/>
          <w:b/>
          <w:bCs/>
        </w:rPr>
        <w:t>Que,</w:t>
      </w:r>
      <w:r w:rsidRPr="00345A22">
        <w:rPr>
          <w:rFonts w:ascii="Palatino Linotype" w:hAnsi="Palatino Linotype" w:cstheme="minorHAnsi"/>
          <w:b/>
          <w:bCs/>
        </w:rPr>
        <w:tab/>
      </w:r>
      <w:r w:rsidRPr="00345A22">
        <w:rPr>
          <w:rFonts w:ascii="Palatino Linotype" w:hAnsi="Palatino Linotype" w:cstheme="minorHAnsi"/>
        </w:rPr>
        <w:t>el art</w:t>
      </w:r>
      <w:r w:rsidRPr="00345A22" w:rsidR="005C0388">
        <w:rPr>
          <w:rFonts w:ascii="Palatino Linotype" w:hAnsi="Palatino Linotype" w:cstheme="minorHAnsi"/>
        </w:rPr>
        <w:t>ículo</w:t>
      </w:r>
      <w:r w:rsidRPr="00345A22">
        <w:rPr>
          <w:rFonts w:ascii="Palatino Linotype" w:hAnsi="Palatino Linotype" w:cstheme="minorHAnsi"/>
        </w:rPr>
        <w:t xml:space="preserve"> 286 de la Constitución, en relación con la política fiscal, establece que: "</w:t>
      </w:r>
      <w:r w:rsidRPr="00345A22">
        <w:rPr>
          <w:rFonts w:ascii="Palatino Linotype" w:hAnsi="Palatino Linotype" w:cstheme="minorHAnsi"/>
          <w:i/>
          <w:iCs/>
        </w:rPr>
        <w:t>Las finanzas públicas, en todos los niveles de gobierno, se conducirán de forma sostenible, responsable y transparente y procurarán la estabilidad económica. Los egresos permanentes se financiarán con ingresos permanentes. (...)</w:t>
      </w:r>
      <w:r w:rsidRPr="00345A22" w:rsidR="00611728">
        <w:rPr>
          <w:rFonts w:ascii="Palatino Linotype" w:hAnsi="Palatino Linotype" w:cstheme="minorHAnsi"/>
          <w:i/>
          <w:iCs/>
        </w:rPr>
        <w:t>”</w:t>
      </w:r>
      <w:r w:rsidRPr="00345A22">
        <w:rPr>
          <w:rFonts w:ascii="Palatino Linotype" w:hAnsi="Palatino Linotype" w:cstheme="minorHAnsi"/>
          <w:i/>
          <w:iCs/>
        </w:rPr>
        <w:t>;</w:t>
      </w:r>
    </w:p>
    <w:p w:rsidRPr="00345A22" w:rsidR="00DF36F2" w:rsidP="00DF36F2" w:rsidRDefault="00DF36F2" w14:paraId="0674B228" w14:textId="77777777">
      <w:pPr>
        <w:spacing w:after="0" w:line="240" w:lineRule="auto"/>
        <w:ind w:left="708" w:hanging="708"/>
        <w:jc w:val="both"/>
        <w:rPr>
          <w:rFonts w:ascii="Palatino Linotype" w:hAnsi="Palatino Linotype" w:cstheme="minorHAnsi"/>
          <w:b/>
          <w:iCs/>
        </w:rPr>
      </w:pPr>
    </w:p>
    <w:p w:rsidRPr="00345A22" w:rsidR="006D0496" w:rsidP="00DF36F2" w:rsidRDefault="006D0496" w14:paraId="388D7A04" w14:textId="6395D762">
      <w:pPr>
        <w:spacing w:after="0" w:line="240" w:lineRule="auto"/>
        <w:ind w:left="708" w:hanging="708"/>
        <w:jc w:val="both"/>
        <w:rPr>
          <w:rFonts w:ascii="Palatino Linotype" w:hAnsi="Palatino Linotype" w:cstheme="minorHAnsi"/>
          <w:iCs/>
        </w:rPr>
      </w:pPr>
      <w:r w:rsidRPr="00345A22">
        <w:rPr>
          <w:rFonts w:ascii="Palatino Linotype" w:hAnsi="Palatino Linotype" w:cstheme="minorHAnsi"/>
          <w:b/>
          <w:iCs/>
        </w:rPr>
        <w:t>Que,</w:t>
      </w:r>
      <w:r w:rsidRPr="00345A22" w:rsidR="00305F12">
        <w:rPr>
          <w:rFonts w:ascii="Palatino Linotype" w:hAnsi="Palatino Linotype" w:cstheme="minorHAnsi"/>
          <w:iCs/>
        </w:rPr>
        <w:tab/>
      </w:r>
      <w:r w:rsidRPr="00345A22">
        <w:rPr>
          <w:rFonts w:ascii="Palatino Linotype" w:hAnsi="Palatino Linotype" w:cstheme="minorHAnsi"/>
          <w:iCs/>
        </w:rPr>
        <w:t>el artículo 303 de la Constitución, establece</w:t>
      </w:r>
      <w:r w:rsidRPr="00345A22" w:rsidR="00661D06">
        <w:rPr>
          <w:rFonts w:ascii="Palatino Linotype" w:hAnsi="Palatino Linotype" w:cstheme="minorHAnsi"/>
          <w:iCs/>
        </w:rPr>
        <w:t xml:space="preserve"> </w:t>
      </w:r>
      <w:r w:rsidRPr="00345A22" w:rsidR="00711A0C">
        <w:rPr>
          <w:rFonts w:ascii="Palatino Linotype" w:hAnsi="Palatino Linotype" w:cstheme="minorHAnsi"/>
          <w:iCs/>
        </w:rPr>
        <w:t>que</w:t>
      </w:r>
      <w:r w:rsidRPr="00345A22">
        <w:rPr>
          <w:rFonts w:ascii="Palatino Linotype" w:hAnsi="Palatino Linotype" w:cstheme="minorHAnsi"/>
          <w:iCs/>
        </w:rPr>
        <w:t xml:space="preserve">: </w:t>
      </w:r>
      <w:r w:rsidRPr="00B87DDA">
        <w:rPr>
          <w:rFonts w:ascii="Palatino Linotype" w:hAnsi="Palatino Linotype" w:cstheme="minorHAnsi"/>
          <w:i/>
        </w:rPr>
        <w:t>“La formulación de las políticas monetaria, crediticia, cambiaria y financiera es facultad exclusiva de la Función Ejecutiva y se instrumentará a través del Banco Central. La ley regulará la circulación de la moneda con poder liberatorio en el territorio ecuatoriano. La ejecución de la política crediticia y financiera también se ejercerá a través de la banca pública. El Banco Central es una persona jurídica de derecho público, cuya organización y funcionamiento será establecido por la ley”</w:t>
      </w:r>
      <w:r w:rsidRPr="00345A22">
        <w:rPr>
          <w:rFonts w:ascii="Palatino Linotype" w:hAnsi="Palatino Linotype" w:cstheme="minorHAnsi"/>
          <w:iCs/>
        </w:rPr>
        <w:t>;</w:t>
      </w:r>
    </w:p>
    <w:p w:rsidRPr="00345A22" w:rsidR="00DF36F2" w:rsidP="00DF36F2" w:rsidRDefault="00DF36F2" w14:paraId="31FD759D" w14:textId="77777777">
      <w:pPr>
        <w:autoSpaceDE w:val="0"/>
        <w:autoSpaceDN w:val="0"/>
        <w:adjustRightInd w:val="0"/>
        <w:spacing w:after="0" w:line="240" w:lineRule="auto"/>
        <w:ind w:left="708" w:hanging="708"/>
        <w:jc w:val="both"/>
        <w:rPr>
          <w:rFonts w:ascii="Palatino Linotype" w:hAnsi="Palatino Linotype" w:cstheme="minorHAnsi"/>
          <w:b/>
          <w:iCs/>
        </w:rPr>
      </w:pPr>
    </w:p>
    <w:p w:rsidRPr="00345A22" w:rsidR="00711A0C" w:rsidP="00DF36F2" w:rsidRDefault="00711A0C" w14:paraId="6237656A" w14:textId="5864E6F7">
      <w:pPr>
        <w:autoSpaceDE w:val="0"/>
        <w:autoSpaceDN w:val="0"/>
        <w:adjustRightInd w:val="0"/>
        <w:spacing w:after="0" w:line="240" w:lineRule="auto"/>
        <w:ind w:left="708" w:hanging="708"/>
        <w:jc w:val="both"/>
        <w:rPr>
          <w:rFonts w:ascii="Palatino Linotype" w:hAnsi="Palatino Linotype" w:cstheme="minorHAnsi"/>
          <w:iCs/>
        </w:rPr>
      </w:pPr>
      <w:r w:rsidRPr="00345A22">
        <w:rPr>
          <w:rFonts w:ascii="Palatino Linotype" w:hAnsi="Palatino Linotype" w:cstheme="minorHAnsi"/>
          <w:b/>
          <w:iCs/>
        </w:rPr>
        <w:t xml:space="preserve">Que, </w:t>
      </w:r>
      <w:r w:rsidRPr="00345A22">
        <w:rPr>
          <w:rFonts w:ascii="Palatino Linotype" w:hAnsi="Palatino Linotype" w:cstheme="minorHAnsi"/>
          <w:b/>
          <w:iCs/>
        </w:rPr>
        <w:tab/>
      </w:r>
      <w:r w:rsidRPr="00345A22">
        <w:rPr>
          <w:rFonts w:ascii="Palatino Linotype" w:hAnsi="Palatino Linotype" w:cstheme="minorHAnsi"/>
          <w:iCs/>
        </w:rPr>
        <w:t xml:space="preserve">el artículo 10 de la Ley de Régimen para el Distrito Metropolitano de Quito, establece que: </w:t>
      </w:r>
      <w:r w:rsidRPr="00345A22">
        <w:rPr>
          <w:rFonts w:ascii="Palatino Linotype" w:hAnsi="Palatino Linotype" w:cstheme="minorHAnsi"/>
          <w:i/>
          <w:iCs/>
        </w:rPr>
        <w:t>“El Alcalde es el jefe de la administración distrital. Tiene las atribuciones previstas en esta Ley y las de los alcaldes cantonales, conforme a las disposiciones legales vigentes. Podrá delegar las facultades y atribuciones que le corresponden como jefe de la administración, al Administrador General, a los administradores zonales y a los directores generales en el ámbito de su respectiva competencia.”</w:t>
      </w:r>
      <w:r w:rsidRPr="00345A22">
        <w:rPr>
          <w:rFonts w:ascii="Palatino Linotype" w:hAnsi="Palatino Linotype" w:cstheme="minorHAnsi"/>
          <w:iCs/>
        </w:rPr>
        <w:t>;</w:t>
      </w:r>
    </w:p>
    <w:p w:rsidRPr="00345A22" w:rsidR="00DF36F2" w:rsidP="00DF36F2" w:rsidRDefault="00DF36F2" w14:paraId="0288E279" w14:textId="77777777">
      <w:pPr>
        <w:spacing w:after="0" w:line="240" w:lineRule="auto"/>
        <w:ind w:left="708" w:hanging="708"/>
        <w:jc w:val="both"/>
        <w:rPr>
          <w:rFonts w:ascii="Palatino Linotype" w:hAnsi="Palatino Linotype" w:cstheme="minorHAnsi"/>
          <w:b/>
          <w:iCs/>
        </w:rPr>
      </w:pPr>
    </w:p>
    <w:p w:rsidRPr="00345A22" w:rsidR="00305F12" w:rsidP="00DF36F2" w:rsidRDefault="00305F12" w14:paraId="09CC0D81" w14:textId="34C9D4CA">
      <w:pPr>
        <w:spacing w:after="0" w:line="240" w:lineRule="auto"/>
        <w:ind w:left="708" w:hanging="708"/>
        <w:jc w:val="both"/>
        <w:rPr>
          <w:rFonts w:ascii="Palatino Linotype" w:hAnsi="Palatino Linotype" w:eastAsia="Times New Roman"/>
        </w:rPr>
      </w:pPr>
      <w:r w:rsidRPr="00345A22">
        <w:rPr>
          <w:rFonts w:ascii="Palatino Linotype" w:hAnsi="Palatino Linotype" w:cstheme="minorHAnsi"/>
          <w:b/>
          <w:iCs/>
        </w:rPr>
        <w:t>Que,</w:t>
      </w:r>
      <w:r w:rsidRPr="00345A22">
        <w:rPr>
          <w:rFonts w:ascii="Palatino Linotype" w:hAnsi="Palatino Linotype" w:cstheme="minorHAnsi"/>
          <w:iCs/>
        </w:rPr>
        <w:t xml:space="preserve"> </w:t>
      </w:r>
      <w:r w:rsidRPr="00345A22" w:rsidR="00661D06">
        <w:rPr>
          <w:rFonts w:ascii="Palatino Linotype" w:hAnsi="Palatino Linotype" w:cstheme="minorHAnsi"/>
          <w:iCs/>
        </w:rPr>
        <w:tab/>
      </w:r>
      <w:r w:rsidRPr="00345A22">
        <w:rPr>
          <w:rFonts w:ascii="Palatino Linotype" w:hAnsi="Palatino Linotype" w:cstheme="minorHAnsi"/>
          <w:iCs/>
        </w:rPr>
        <w:t xml:space="preserve">el artículo 87 </w:t>
      </w:r>
      <w:r w:rsidRPr="00345A22">
        <w:rPr>
          <w:rFonts w:ascii="Palatino Linotype" w:hAnsi="Palatino Linotype" w:cstheme="minorHAnsi"/>
        </w:rPr>
        <w:t>del Código Orgánico de Organización Territorial Autonomía y Descentralización</w:t>
      </w:r>
      <w:r w:rsidRPr="00345A22" w:rsidR="00661D06">
        <w:rPr>
          <w:rFonts w:ascii="Palatino Linotype" w:hAnsi="Palatino Linotype" w:cstheme="minorHAnsi"/>
        </w:rPr>
        <w:t xml:space="preserve"> (En adelante “COOTAD”),</w:t>
      </w:r>
      <w:r w:rsidRPr="00345A22">
        <w:rPr>
          <w:rFonts w:ascii="Palatino Linotype" w:hAnsi="Palatino Linotype" w:cstheme="minorHAnsi"/>
        </w:rPr>
        <w:t xml:space="preserve"> </w:t>
      </w:r>
      <w:r w:rsidRPr="00345A22" w:rsidR="005C0388">
        <w:rPr>
          <w:rFonts w:ascii="Palatino Linotype" w:hAnsi="Palatino Linotype" w:cstheme="minorHAnsi"/>
        </w:rPr>
        <w:t xml:space="preserve">señala las atribuciones del Concejo Metropolitano, en las que </w:t>
      </w:r>
      <w:r w:rsidRPr="00345A22">
        <w:rPr>
          <w:rFonts w:ascii="Palatino Linotype" w:hAnsi="Palatino Linotype" w:cstheme="minorHAnsi"/>
        </w:rPr>
        <w:t xml:space="preserve">menciona: </w:t>
      </w:r>
      <w:r w:rsidRPr="00345A22">
        <w:rPr>
          <w:rFonts w:ascii="Palatino Linotype" w:hAnsi="Palatino Linotype" w:cstheme="minorHAnsi"/>
          <w:i/>
        </w:rPr>
        <w:t>“a) Ejercer la facultad normativa en las materias de competencia del gobierno autónomo descentralizado metropolitano, mediante la expedición de ordenanzas metropolitanas, acuerdos y resoluciones”</w:t>
      </w:r>
      <w:r w:rsidRPr="00345A22">
        <w:rPr>
          <w:rFonts w:ascii="Palatino Linotype" w:hAnsi="Palatino Linotype" w:cstheme="minorHAnsi"/>
        </w:rPr>
        <w:t xml:space="preserve">; y, </w:t>
      </w:r>
      <w:r w:rsidRPr="00345A22">
        <w:rPr>
          <w:rFonts w:ascii="Palatino Linotype" w:hAnsi="Palatino Linotype" w:cstheme="minorHAnsi"/>
          <w:i/>
        </w:rPr>
        <w:t>“</w:t>
      </w:r>
      <w:r w:rsidRPr="00345A22">
        <w:rPr>
          <w:rFonts w:ascii="Palatino Linotype" w:hAnsi="Palatino Linotype" w:eastAsia="Times New Roman"/>
          <w:i/>
        </w:rPr>
        <w:t>d) Expedir acuerdos o resoluciones en el ámbito de sus competencias para regular temas institucionales específicos o reconocer derechos particulares”</w:t>
      </w:r>
      <w:r w:rsidRPr="00345A22">
        <w:rPr>
          <w:rFonts w:ascii="Palatino Linotype" w:hAnsi="Palatino Linotype" w:eastAsia="Times New Roman"/>
        </w:rPr>
        <w:t>;</w:t>
      </w:r>
    </w:p>
    <w:p w:rsidRPr="00345A22" w:rsidR="00DF36F2" w:rsidP="00DF36F2" w:rsidRDefault="00DF36F2" w14:paraId="7395E85F" w14:textId="77777777">
      <w:pPr>
        <w:spacing w:after="0" w:line="240" w:lineRule="auto"/>
        <w:ind w:left="708" w:hanging="708"/>
        <w:jc w:val="both"/>
        <w:rPr>
          <w:rFonts w:ascii="Palatino Linotype" w:hAnsi="Palatino Linotype" w:cstheme="minorHAnsi"/>
          <w:b/>
          <w:iCs/>
        </w:rPr>
      </w:pPr>
    </w:p>
    <w:p w:rsidRPr="00345A22" w:rsidR="00305F12" w:rsidP="00DF36F2" w:rsidRDefault="00305F12" w14:paraId="742ED006" w14:textId="0B811F2E">
      <w:pPr>
        <w:spacing w:after="0" w:line="240" w:lineRule="auto"/>
        <w:ind w:left="708" w:hanging="708"/>
        <w:jc w:val="both"/>
        <w:rPr>
          <w:rFonts w:ascii="Palatino Linotype" w:hAnsi="Palatino Linotype" w:eastAsia="Times New Roman"/>
          <w:i/>
        </w:rPr>
      </w:pPr>
      <w:r w:rsidRPr="00345A22">
        <w:rPr>
          <w:rFonts w:ascii="Palatino Linotype" w:hAnsi="Palatino Linotype" w:cstheme="minorHAnsi"/>
          <w:b/>
          <w:iCs/>
        </w:rPr>
        <w:t>Que,</w:t>
      </w:r>
      <w:r w:rsidRPr="00345A22">
        <w:rPr>
          <w:rFonts w:ascii="Palatino Linotype" w:hAnsi="Palatino Linotype" w:cstheme="minorHAnsi"/>
          <w:iCs/>
        </w:rPr>
        <w:t xml:space="preserve"> </w:t>
      </w:r>
      <w:r w:rsidRPr="00345A22" w:rsidR="00661D06">
        <w:rPr>
          <w:rFonts w:ascii="Palatino Linotype" w:hAnsi="Palatino Linotype" w:cstheme="minorHAnsi"/>
          <w:iCs/>
        </w:rPr>
        <w:tab/>
      </w:r>
      <w:r w:rsidRPr="00345A22">
        <w:rPr>
          <w:rFonts w:ascii="Palatino Linotype" w:hAnsi="Palatino Linotype" w:cstheme="minorHAnsi"/>
          <w:iCs/>
        </w:rPr>
        <w:t xml:space="preserve">el artículo 90  </w:t>
      </w:r>
      <w:r w:rsidRPr="00345A22">
        <w:rPr>
          <w:rFonts w:ascii="Palatino Linotype" w:hAnsi="Palatino Linotype" w:cstheme="minorHAnsi"/>
        </w:rPr>
        <w:t xml:space="preserve">del </w:t>
      </w:r>
      <w:r w:rsidRPr="00345A22" w:rsidR="00661D06">
        <w:rPr>
          <w:rFonts w:ascii="Palatino Linotype" w:hAnsi="Palatino Linotype" w:cstheme="minorHAnsi"/>
        </w:rPr>
        <w:t>COOTAD</w:t>
      </w:r>
      <w:r w:rsidRPr="00345A22">
        <w:rPr>
          <w:rFonts w:ascii="Palatino Linotype" w:hAnsi="Palatino Linotype" w:cstheme="minorHAnsi"/>
        </w:rPr>
        <w:t xml:space="preserve"> señala: </w:t>
      </w:r>
      <w:r w:rsidRPr="00345A22">
        <w:rPr>
          <w:rFonts w:ascii="Palatino Linotype" w:hAnsi="Palatino Linotype" w:cstheme="minorHAnsi"/>
          <w:i/>
        </w:rPr>
        <w:t>“Le corresponde al alcalde o alcaldesa metropolitano: “a) Ejercer la representación legal del gobierno del distrito metropolitano autónomo; y, la representación judicial conjuntamente con el procurador síndico”</w:t>
      </w:r>
      <w:r w:rsidRPr="00345A22">
        <w:rPr>
          <w:rFonts w:ascii="Palatino Linotype" w:hAnsi="Palatino Linotype" w:cstheme="minorHAnsi"/>
        </w:rPr>
        <w:t>;</w:t>
      </w:r>
      <w:r w:rsidRPr="00345A22">
        <w:rPr>
          <w:rFonts w:ascii="Palatino Linotype" w:hAnsi="Palatino Linotype" w:cstheme="minorHAnsi"/>
          <w:i/>
        </w:rPr>
        <w:t xml:space="preserve"> “l) Designar delegados institucionales en entidades, empresas u organismos colegiados donde tenga participación la institución” ; “n) Suscribir contratos, convenios e instrumentos que comprometan al gobierno autónomo metropolitano, de acuerdo con la ley. Los convenios de crédito o aquellos que comprometan el patrimonio institucional requerirán de la autorización del concejo metropolitano, en los montos y casos previstos en las ordenanzas distritales que se dicten en la materia”; </w:t>
      </w:r>
      <w:r w:rsidRPr="00345A22">
        <w:rPr>
          <w:rFonts w:ascii="Palatino Linotype" w:hAnsi="Palatino Linotype" w:cstheme="minorHAnsi"/>
        </w:rPr>
        <w:t xml:space="preserve">y; </w:t>
      </w:r>
      <w:r w:rsidRPr="00345A22">
        <w:rPr>
          <w:rFonts w:ascii="Palatino Linotype" w:hAnsi="Palatino Linotype" w:cstheme="minorHAnsi"/>
          <w:i/>
        </w:rPr>
        <w:t>“</w:t>
      </w:r>
      <w:r w:rsidRPr="00345A22">
        <w:rPr>
          <w:rFonts w:ascii="Palatino Linotype" w:hAnsi="Palatino Linotype" w:eastAsia="Times New Roman"/>
          <w:i/>
        </w:rPr>
        <w:t>t) Designar a sus representantes institucionales en entidades, empresas u organismos colegiados donde tenga participación el gobierno metropolitano: así como delegar atribuciones y deberes al vicealcalde o vicealcaldesa, concejalas, concejales y funcionarios, dentro del ámbito de sus competencias”;</w:t>
      </w:r>
    </w:p>
    <w:p w:rsidRPr="00345A22" w:rsidR="00DF36F2" w:rsidP="00DF36F2" w:rsidRDefault="00DF36F2" w14:paraId="7768D35A" w14:textId="77777777">
      <w:pPr>
        <w:spacing w:after="0" w:line="240" w:lineRule="auto"/>
        <w:ind w:left="708" w:hanging="708"/>
        <w:jc w:val="both"/>
        <w:rPr>
          <w:rFonts w:ascii="Palatino Linotype" w:hAnsi="Palatino Linotype" w:cstheme="minorHAnsi"/>
          <w:b/>
          <w:iCs/>
        </w:rPr>
      </w:pPr>
    </w:p>
    <w:p w:rsidRPr="00345A22" w:rsidR="00305F12" w:rsidP="00DF36F2" w:rsidRDefault="00305F12" w14:paraId="42EF5EEE" w14:textId="34FA0A45">
      <w:pPr>
        <w:spacing w:after="0" w:line="240" w:lineRule="auto"/>
        <w:ind w:left="708" w:hanging="708"/>
        <w:jc w:val="both"/>
        <w:rPr>
          <w:rFonts w:ascii="Palatino Linotype" w:hAnsi="Palatino Linotype" w:cstheme="minorHAnsi"/>
          <w:i/>
          <w:iCs/>
        </w:rPr>
      </w:pPr>
      <w:r w:rsidRPr="00345A22">
        <w:rPr>
          <w:rFonts w:ascii="Palatino Linotype" w:hAnsi="Palatino Linotype" w:cstheme="minorHAnsi"/>
          <w:b/>
          <w:iCs/>
        </w:rPr>
        <w:t>Que,</w:t>
      </w:r>
      <w:r w:rsidRPr="00345A22">
        <w:rPr>
          <w:rFonts w:ascii="Palatino Linotype" w:hAnsi="Palatino Linotype" w:cstheme="minorHAnsi"/>
          <w:iCs/>
        </w:rPr>
        <w:t xml:space="preserve"> </w:t>
      </w:r>
      <w:r w:rsidRPr="00345A22" w:rsidR="00661D06">
        <w:rPr>
          <w:rFonts w:ascii="Palatino Linotype" w:hAnsi="Palatino Linotype" w:cstheme="minorHAnsi"/>
          <w:iCs/>
        </w:rPr>
        <w:tab/>
      </w:r>
      <w:r w:rsidRPr="00345A22">
        <w:rPr>
          <w:rFonts w:ascii="Palatino Linotype" w:hAnsi="Palatino Linotype" w:cstheme="minorHAnsi"/>
          <w:iCs/>
        </w:rPr>
        <w:t xml:space="preserve">el artículo 323 del </w:t>
      </w:r>
      <w:r w:rsidRPr="00345A22" w:rsidR="00661D06">
        <w:rPr>
          <w:rFonts w:ascii="Palatino Linotype" w:hAnsi="Palatino Linotype" w:cstheme="minorHAnsi"/>
        </w:rPr>
        <w:t>COOTAD</w:t>
      </w:r>
      <w:r w:rsidRPr="00345A22">
        <w:rPr>
          <w:rFonts w:ascii="Palatino Linotype" w:hAnsi="Palatino Linotype" w:cstheme="minorHAnsi"/>
        </w:rPr>
        <w:t xml:space="preserve"> dispone: “</w:t>
      </w:r>
      <w:r w:rsidRPr="00345A22">
        <w:rPr>
          <w:rFonts w:ascii="Palatino Linotype" w:hAnsi="Palatino Linotype" w:cstheme="minorHAnsi"/>
          <w:i/>
        </w:rPr>
        <w:t xml:space="preserve">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w:t>
      </w:r>
      <w:r w:rsidRPr="00345A22">
        <w:rPr>
          <w:rFonts w:ascii="Palatino Linotype" w:hAnsi="Palatino Linotype" w:cstheme="minorHAnsi"/>
        </w:rPr>
        <w:t xml:space="preserve">(…); </w:t>
      </w:r>
    </w:p>
    <w:p w:rsidRPr="00345A22" w:rsidR="00DF36F2" w:rsidP="00DF36F2" w:rsidRDefault="00DF36F2" w14:paraId="762999B1" w14:textId="77777777">
      <w:pPr>
        <w:spacing w:after="0" w:line="240" w:lineRule="auto"/>
        <w:ind w:left="708" w:hanging="708"/>
        <w:jc w:val="both"/>
        <w:rPr>
          <w:rFonts w:ascii="Palatino Linotype" w:hAnsi="Palatino Linotype" w:cstheme="minorHAnsi"/>
          <w:b/>
          <w:iCs/>
        </w:rPr>
      </w:pPr>
    </w:p>
    <w:p w:rsidRPr="00345A22" w:rsidR="00305F12" w:rsidP="00DF36F2" w:rsidRDefault="00305F12" w14:paraId="7419A7E6" w14:textId="05CBCAA4">
      <w:pPr>
        <w:spacing w:after="0" w:line="240" w:lineRule="auto"/>
        <w:ind w:left="708" w:hanging="708"/>
        <w:jc w:val="both"/>
        <w:rPr>
          <w:rFonts w:ascii="Palatino Linotype" w:hAnsi="Palatino Linotype" w:cstheme="minorHAnsi"/>
          <w:iCs/>
        </w:rPr>
      </w:pPr>
      <w:r w:rsidRPr="00345A22">
        <w:rPr>
          <w:rFonts w:ascii="Palatino Linotype" w:hAnsi="Palatino Linotype" w:cstheme="minorHAnsi"/>
          <w:b/>
          <w:iCs/>
        </w:rPr>
        <w:t>Que,</w:t>
      </w:r>
      <w:r w:rsidRPr="00345A22" w:rsidR="00661D06">
        <w:rPr>
          <w:rFonts w:ascii="Palatino Linotype" w:hAnsi="Palatino Linotype" w:cstheme="minorHAnsi"/>
          <w:iCs/>
        </w:rPr>
        <w:tab/>
      </w:r>
      <w:r w:rsidRPr="00345A22">
        <w:rPr>
          <w:rFonts w:ascii="Palatino Linotype" w:hAnsi="Palatino Linotype" w:cstheme="minorHAnsi"/>
          <w:iCs/>
        </w:rPr>
        <w:t xml:space="preserve">el artículo 331 </w:t>
      </w:r>
      <w:r w:rsidRPr="00345A22" w:rsidR="00661D06">
        <w:rPr>
          <w:rFonts w:ascii="Palatino Linotype" w:hAnsi="Palatino Linotype" w:cstheme="minorHAnsi"/>
        </w:rPr>
        <w:t>del COOTAD</w:t>
      </w:r>
      <w:r w:rsidRPr="00345A22">
        <w:rPr>
          <w:rFonts w:ascii="Palatino Linotype" w:hAnsi="Palatino Linotype" w:cstheme="minorHAnsi"/>
          <w:i/>
          <w:iCs/>
        </w:rPr>
        <w:t xml:space="preserve"> </w:t>
      </w:r>
      <w:r w:rsidRPr="00345A22" w:rsidR="00661D06">
        <w:rPr>
          <w:rFonts w:ascii="Palatino Linotype" w:hAnsi="Palatino Linotype" w:cstheme="minorHAnsi"/>
          <w:iCs/>
        </w:rPr>
        <w:t>prohíbe</w:t>
      </w:r>
      <w:r w:rsidRPr="00345A22">
        <w:rPr>
          <w:rFonts w:ascii="Palatino Linotype" w:hAnsi="Palatino Linotype" w:cstheme="minorHAnsi"/>
          <w:iCs/>
        </w:rPr>
        <w:t xml:space="preserve">: </w:t>
      </w:r>
      <w:r w:rsidRPr="00345A22">
        <w:rPr>
          <w:rFonts w:ascii="Palatino Linotype" w:hAnsi="Palatino Linotype" w:cstheme="minorHAnsi"/>
          <w:i/>
          <w:iCs/>
        </w:rPr>
        <w:t>“al ejecutivo de los gobiernos autónomos descentralizados: …</w:t>
      </w:r>
      <w:r w:rsidRPr="00345A22">
        <w:rPr>
          <w:rFonts w:ascii="Palatino Linotype" w:hAnsi="Palatino Linotype"/>
          <w:i/>
        </w:rPr>
        <w:t xml:space="preserve"> </w:t>
      </w:r>
      <w:r w:rsidRPr="00345A22">
        <w:rPr>
          <w:rFonts w:ascii="Palatino Linotype" w:hAnsi="Palatino Linotype" w:cstheme="minorHAnsi"/>
          <w:i/>
          <w:iCs/>
        </w:rPr>
        <w:t>j) Absolver posiciones, deferir el juramento decisorio, allanarse a la demanda o desistir de una planteada, y aceptar conciliaciones conforme a la ley sin previa autorización del órgano de legislación”</w:t>
      </w:r>
      <w:r w:rsidRPr="00345A22">
        <w:rPr>
          <w:rFonts w:ascii="Palatino Linotype" w:hAnsi="Palatino Linotype" w:cstheme="minorHAnsi"/>
          <w:iCs/>
        </w:rPr>
        <w:t>;</w:t>
      </w:r>
    </w:p>
    <w:p w:rsidRPr="00345A22" w:rsidR="00DF36F2" w:rsidP="00DF36F2" w:rsidRDefault="00DF36F2" w14:paraId="162E359F" w14:textId="77777777">
      <w:pPr>
        <w:spacing w:after="0" w:line="240" w:lineRule="auto"/>
        <w:ind w:left="708" w:hanging="708"/>
        <w:jc w:val="both"/>
        <w:rPr>
          <w:rFonts w:ascii="Palatino Linotype" w:hAnsi="Palatino Linotype"/>
          <w:b/>
          <w:bCs/>
        </w:rPr>
      </w:pPr>
    </w:p>
    <w:p w:rsidRPr="00345A22" w:rsidR="006D0496" w:rsidP="00DF36F2" w:rsidRDefault="006D0496" w14:paraId="0BE67F8A" w14:textId="30285413">
      <w:pPr>
        <w:spacing w:after="0" w:line="240" w:lineRule="auto"/>
        <w:ind w:left="708" w:hanging="708"/>
        <w:jc w:val="both"/>
        <w:rPr>
          <w:rFonts w:ascii="Palatino Linotype" w:hAnsi="Palatino Linotype"/>
        </w:rPr>
      </w:pPr>
      <w:r w:rsidRPr="00345A22">
        <w:rPr>
          <w:rFonts w:ascii="Palatino Linotype" w:hAnsi="Palatino Linotype"/>
          <w:b/>
          <w:bCs/>
        </w:rPr>
        <w:t xml:space="preserve">Que, </w:t>
      </w:r>
      <w:r w:rsidRPr="00345A22" w:rsidR="00661D06">
        <w:rPr>
          <w:rFonts w:ascii="Palatino Linotype" w:hAnsi="Palatino Linotype"/>
          <w:b/>
          <w:bCs/>
        </w:rPr>
        <w:tab/>
      </w:r>
      <w:r w:rsidRPr="00345A22">
        <w:rPr>
          <w:rFonts w:ascii="Palatino Linotype" w:hAnsi="Palatino Linotype"/>
        </w:rPr>
        <w:t>el artículo 26 del Código Orgánico Monetario y Financiero determina que: “</w:t>
      </w:r>
      <w:r w:rsidRPr="00345A22">
        <w:rPr>
          <w:rFonts w:ascii="Palatino Linotype" w:hAnsi="Palatino Linotype"/>
          <w:i/>
          <w:iCs/>
        </w:rPr>
        <w:t xml:space="preserve">el Banco Central del Ecuador es una persona jurídica de derecho público, parte de la Función Ejecutiva, </w:t>
      </w:r>
      <w:r w:rsidRPr="00345A22">
        <w:rPr>
          <w:rFonts w:ascii="Palatino Linotype" w:hAnsi="Palatino Linotype"/>
          <w:i/>
          <w:iCs/>
        </w:rPr>
        <w:t>de duración indefinida, con autonomía administrativa y presupuestaria, cuya organización y funciones están determinadas en la Constitución de la República, el citado Código, su Estatuto, las regulaciones expedidas por la Junta de Política y Regulación Monetaria y Financiera y los reglamentos internos</w:t>
      </w:r>
      <w:r w:rsidRPr="00345A22">
        <w:rPr>
          <w:rFonts w:ascii="Palatino Linotype" w:hAnsi="Palatino Linotype"/>
        </w:rPr>
        <w:t>”;</w:t>
      </w:r>
    </w:p>
    <w:p w:rsidRPr="00345A22" w:rsidR="00DF36F2" w:rsidP="00DF36F2" w:rsidRDefault="00DF36F2" w14:paraId="37F43F2C" w14:textId="77777777">
      <w:pPr>
        <w:spacing w:after="0" w:line="240" w:lineRule="auto"/>
        <w:ind w:left="708" w:hanging="708"/>
        <w:jc w:val="both"/>
        <w:rPr>
          <w:rFonts w:ascii="Palatino Linotype" w:hAnsi="Palatino Linotype"/>
          <w:b/>
          <w:bCs/>
        </w:rPr>
      </w:pPr>
    </w:p>
    <w:p w:rsidRPr="00345A22" w:rsidR="006D0496" w:rsidP="00DF36F2" w:rsidRDefault="006D0496" w14:paraId="0977BBE3" w14:textId="23DB87C4">
      <w:pPr>
        <w:spacing w:after="0" w:line="240" w:lineRule="auto"/>
        <w:ind w:left="708" w:hanging="708"/>
        <w:jc w:val="both"/>
        <w:rPr>
          <w:rFonts w:ascii="Palatino Linotype" w:hAnsi="Palatino Linotype"/>
        </w:rPr>
      </w:pPr>
      <w:r w:rsidRPr="00345A22">
        <w:rPr>
          <w:rFonts w:ascii="Palatino Linotype" w:hAnsi="Palatino Linotype"/>
          <w:b/>
          <w:bCs/>
        </w:rPr>
        <w:t xml:space="preserve">Que, </w:t>
      </w:r>
      <w:r w:rsidRPr="00345A22" w:rsidR="00661D06">
        <w:rPr>
          <w:rFonts w:ascii="Palatino Linotype" w:hAnsi="Palatino Linotype"/>
          <w:b/>
          <w:bCs/>
        </w:rPr>
        <w:tab/>
      </w:r>
      <w:commentRangeStart w:id="0"/>
      <w:r w:rsidRPr="00345A22">
        <w:rPr>
          <w:rFonts w:ascii="Palatino Linotype" w:hAnsi="Palatino Linotype"/>
        </w:rPr>
        <w:t xml:space="preserve">el numeral 30 </w:t>
      </w:r>
      <w:commentRangeEnd w:id="0"/>
      <w:r w:rsidRPr="00B87DDA" w:rsidR="00153A55">
        <w:rPr>
          <w:rStyle w:val="Refdecomentario"/>
          <w:rFonts w:ascii="Palatino Linotype" w:hAnsi="Palatino Linotype"/>
          <w:sz w:val="22"/>
          <w:szCs w:val="22"/>
        </w:rPr>
        <w:commentReference w:id="0"/>
      </w:r>
      <w:r w:rsidRPr="00345A22">
        <w:rPr>
          <w:rFonts w:ascii="Palatino Linotype" w:hAnsi="Palatino Linotype"/>
        </w:rPr>
        <w:t>del artículo 36 del Código Orgánico Monetario y Financiero establece como una de las funciones del Banco Central del Ecuador la de actuar como depósito centralizado de compensación y liquidación de valores;</w:t>
      </w:r>
    </w:p>
    <w:p w:rsidRPr="00345A22" w:rsidR="00DF36F2" w:rsidP="00DF36F2" w:rsidRDefault="00DF36F2" w14:paraId="7E9364F2" w14:textId="77777777">
      <w:pPr>
        <w:spacing w:after="0" w:line="240" w:lineRule="auto"/>
        <w:ind w:left="708" w:hanging="708"/>
        <w:jc w:val="both"/>
        <w:rPr>
          <w:rFonts w:ascii="Palatino Linotype" w:hAnsi="Palatino Linotype" w:cstheme="minorHAnsi"/>
          <w:b/>
          <w:iCs/>
        </w:rPr>
      </w:pPr>
    </w:p>
    <w:p w:rsidRPr="00345A22" w:rsidR="00C80EB7" w:rsidP="00DF36F2" w:rsidRDefault="00C80EB7" w14:paraId="293B40A8" w14:textId="1071F367">
      <w:pPr>
        <w:spacing w:after="0" w:line="240" w:lineRule="auto"/>
        <w:ind w:left="708" w:hanging="708"/>
        <w:jc w:val="both"/>
        <w:rPr>
          <w:rFonts w:ascii="Palatino Linotype" w:hAnsi="Palatino Linotype" w:cstheme="minorHAnsi"/>
          <w:i/>
          <w:iCs/>
        </w:rPr>
      </w:pPr>
      <w:r w:rsidRPr="00345A22">
        <w:rPr>
          <w:rFonts w:ascii="Palatino Linotype" w:hAnsi="Palatino Linotype" w:cstheme="minorHAnsi"/>
          <w:b/>
          <w:iCs/>
        </w:rPr>
        <w:t xml:space="preserve">Que, </w:t>
      </w:r>
      <w:r w:rsidRPr="00345A22" w:rsidR="00DF36F2">
        <w:rPr>
          <w:rFonts w:ascii="Palatino Linotype" w:hAnsi="Palatino Linotype" w:cstheme="minorHAnsi"/>
          <w:b/>
          <w:iCs/>
        </w:rPr>
        <w:tab/>
      </w:r>
      <w:r w:rsidRPr="00345A22">
        <w:rPr>
          <w:rFonts w:ascii="Palatino Linotype" w:hAnsi="Palatino Linotype" w:cstheme="minorHAnsi"/>
          <w:iCs/>
        </w:rPr>
        <w:t xml:space="preserve">el artículo 47 del Código Orgánico Administrativo, establece: </w:t>
      </w:r>
      <w:r w:rsidRPr="00345A22">
        <w:rPr>
          <w:rFonts w:ascii="Palatino Linotype" w:hAnsi="Palatino Linotype" w:cstheme="minorHAnsi"/>
          <w:i/>
          <w:iCs/>
        </w:rPr>
        <w:t>“La máxima autoridad administrativa de la correspondiente entidad pública ejerce su representación para intervenir en todos los actos, contratos y relaciones jurídicas sujetas a su competencia. Esta autoridad no requiere delegación o autorización alguna de un órgano o entidad superior, salvo en los casos expresamente previstos en la ley.”;</w:t>
      </w:r>
    </w:p>
    <w:p w:rsidRPr="00345A22" w:rsidR="00DF36F2" w:rsidP="00DF36F2" w:rsidRDefault="00DF36F2" w14:paraId="5C8C60FF" w14:textId="77777777">
      <w:pPr>
        <w:autoSpaceDE w:val="0"/>
        <w:autoSpaceDN w:val="0"/>
        <w:adjustRightInd w:val="0"/>
        <w:spacing w:after="0" w:line="240" w:lineRule="auto"/>
        <w:ind w:left="708" w:hanging="708"/>
        <w:jc w:val="both"/>
        <w:rPr>
          <w:rFonts w:ascii="Palatino Linotype" w:hAnsi="Palatino Linotype" w:cstheme="minorHAnsi"/>
          <w:b/>
          <w:iCs/>
        </w:rPr>
      </w:pPr>
    </w:p>
    <w:p w:rsidRPr="00345A22" w:rsidR="00C80EB7" w:rsidP="00DF36F2" w:rsidRDefault="00C80EB7" w14:paraId="612C3389" w14:textId="5D212B70">
      <w:pPr>
        <w:autoSpaceDE w:val="0"/>
        <w:autoSpaceDN w:val="0"/>
        <w:adjustRightInd w:val="0"/>
        <w:spacing w:after="0" w:line="240" w:lineRule="auto"/>
        <w:ind w:left="708" w:hanging="708"/>
        <w:jc w:val="both"/>
        <w:rPr>
          <w:rFonts w:ascii="Palatino Linotype" w:hAnsi="Palatino Linotype" w:cs="Times New Roman"/>
        </w:rPr>
      </w:pPr>
      <w:r w:rsidRPr="00345A22">
        <w:rPr>
          <w:rFonts w:ascii="Palatino Linotype" w:hAnsi="Palatino Linotype" w:cstheme="minorHAnsi"/>
          <w:b/>
          <w:iCs/>
        </w:rPr>
        <w:t xml:space="preserve">Que, </w:t>
      </w:r>
      <w:r w:rsidRPr="00345A22" w:rsidR="00DF36F2">
        <w:rPr>
          <w:rFonts w:ascii="Palatino Linotype" w:hAnsi="Palatino Linotype" w:cstheme="minorHAnsi"/>
          <w:b/>
          <w:iCs/>
        </w:rPr>
        <w:tab/>
      </w:r>
      <w:r w:rsidRPr="00345A22">
        <w:rPr>
          <w:rFonts w:ascii="Palatino Linotype" w:hAnsi="Palatino Linotype" w:cstheme="minorHAnsi"/>
          <w:iCs/>
        </w:rPr>
        <w:t xml:space="preserve">el artículo 69 del del Código Orgánico Administrativo contempla que: </w:t>
      </w:r>
      <w:r w:rsidRPr="00345A22">
        <w:rPr>
          <w:rFonts w:ascii="Palatino Linotype" w:hAnsi="Palatino Linotype" w:cstheme="minorHAnsi"/>
          <w:i/>
          <w:iCs/>
        </w:rPr>
        <w:t>“</w:t>
      </w:r>
      <w:r w:rsidRPr="00345A22">
        <w:rPr>
          <w:rFonts w:ascii="Palatino Linotype" w:hAnsi="Palatino Linotype" w:cs="Times New Roman"/>
          <w:i/>
        </w:rPr>
        <w:t>Los órganos administrativos pueden delegar el ejercicio de sus competencias, incluida la de gestión, en: “1. Otros órganos o entidades de la misma administración pública, jerárquicamente dependientes.”</w:t>
      </w:r>
      <w:r w:rsidRPr="00345A22">
        <w:rPr>
          <w:rFonts w:ascii="Palatino Linotype" w:hAnsi="Palatino Linotype" w:cs="Times New Roman"/>
        </w:rPr>
        <w:t>;</w:t>
      </w:r>
    </w:p>
    <w:p w:rsidRPr="00345A22" w:rsidR="00DF36F2" w:rsidP="00DF36F2" w:rsidRDefault="00DF36F2" w14:paraId="7DB32862" w14:textId="77777777">
      <w:pPr>
        <w:autoSpaceDE w:val="0"/>
        <w:autoSpaceDN w:val="0"/>
        <w:adjustRightInd w:val="0"/>
        <w:spacing w:after="0" w:line="240" w:lineRule="auto"/>
        <w:ind w:left="708" w:hanging="708"/>
        <w:jc w:val="both"/>
        <w:rPr>
          <w:rFonts w:ascii="Palatino Linotype" w:hAnsi="Palatino Linotype" w:cstheme="minorHAnsi"/>
          <w:b/>
          <w:iCs/>
        </w:rPr>
      </w:pPr>
    </w:p>
    <w:p w:rsidRPr="00345A22" w:rsidR="00C80EB7" w:rsidP="00DF36F2" w:rsidRDefault="00C80EB7" w14:paraId="77C20C0C" w14:textId="36D753B5">
      <w:pPr>
        <w:autoSpaceDE w:val="0"/>
        <w:autoSpaceDN w:val="0"/>
        <w:adjustRightInd w:val="0"/>
        <w:spacing w:after="0" w:line="240" w:lineRule="auto"/>
        <w:ind w:left="708" w:hanging="708"/>
        <w:jc w:val="both"/>
        <w:rPr>
          <w:rFonts w:ascii="Palatino Linotype" w:hAnsi="Palatino Linotype" w:cstheme="minorHAnsi"/>
          <w:iCs/>
        </w:rPr>
      </w:pPr>
      <w:r w:rsidRPr="00345A22">
        <w:rPr>
          <w:rFonts w:ascii="Palatino Linotype" w:hAnsi="Palatino Linotype" w:cstheme="minorHAnsi"/>
          <w:b/>
          <w:iCs/>
        </w:rPr>
        <w:t xml:space="preserve">Que, </w:t>
      </w:r>
      <w:r w:rsidRPr="00345A22" w:rsidR="00DF36F2">
        <w:rPr>
          <w:rFonts w:ascii="Palatino Linotype" w:hAnsi="Palatino Linotype" w:cstheme="minorHAnsi"/>
          <w:b/>
          <w:iCs/>
        </w:rPr>
        <w:tab/>
      </w:r>
      <w:r w:rsidRPr="00345A22">
        <w:rPr>
          <w:rFonts w:ascii="Palatino Linotype" w:hAnsi="Palatino Linotype" w:cstheme="minorHAnsi"/>
          <w:iCs/>
        </w:rPr>
        <w:t xml:space="preserve">el artículo 70 </w:t>
      </w:r>
      <w:r w:rsidRPr="00345A22">
        <w:rPr>
          <w:rFonts w:ascii="Palatino Linotype" w:hAnsi="Palatino Linotype" w:cstheme="minorHAnsi"/>
          <w:i/>
          <w:iCs/>
        </w:rPr>
        <w:t xml:space="preserve">ibídem </w:t>
      </w:r>
      <w:r w:rsidRPr="00345A22">
        <w:rPr>
          <w:rFonts w:ascii="Palatino Linotype" w:hAnsi="Palatino Linotype" w:cstheme="minorHAnsi"/>
          <w:iCs/>
        </w:rPr>
        <w:t xml:space="preserve">señala que: </w:t>
      </w:r>
      <w:r w:rsidRPr="00345A22">
        <w:rPr>
          <w:rFonts w:ascii="Palatino Linotype" w:hAnsi="Palatino Linotype" w:cstheme="minorHAnsi"/>
          <w:i/>
          <w:iCs/>
        </w:rPr>
        <w:t>“La delegación contendrá: 1. La especificación del delegado. 2. La especificación del órgano delegante y la atribución para delegar dicha competencia. 3. Las competencias que son objeto de delegación o los actos que el delegado debe ejercer para el cumplimiento de las mismas.  4. El plazo o condición, cuando sean necesarios.  5. El acto del que conste la delegación expresará además lugar, fecha y número. 6. Las decisiones que pueden adoptarse por delegación La delegación de competencias y su revocación se publicarán por el órgano delegante, a través de los medios de difusión institucional.”</w:t>
      </w:r>
      <w:r w:rsidRPr="00345A22">
        <w:rPr>
          <w:rFonts w:ascii="Palatino Linotype" w:hAnsi="Palatino Linotype" w:cstheme="minorHAnsi"/>
          <w:iCs/>
        </w:rPr>
        <w:t>;</w:t>
      </w:r>
    </w:p>
    <w:p w:rsidRPr="00345A22" w:rsidR="00DF36F2" w:rsidP="00DF36F2" w:rsidRDefault="00DF36F2" w14:paraId="6D88DEC6" w14:textId="77777777">
      <w:pPr>
        <w:autoSpaceDE w:val="0"/>
        <w:autoSpaceDN w:val="0"/>
        <w:adjustRightInd w:val="0"/>
        <w:spacing w:after="0" w:line="240" w:lineRule="auto"/>
        <w:ind w:left="708" w:hanging="708"/>
        <w:jc w:val="both"/>
        <w:rPr>
          <w:rFonts w:ascii="Palatino Linotype" w:hAnsi="Palatino Linotype"/>
          <w:b/>
          <w:bCs/>
        </w:rPr>
      </w:pPr>
    </w:p>
    <w:p w:rsidRPr="00345A22" w:rsidR="00C80EB7" w:rsidP="00DF36F2" w:rsidRDefault="00C80EB7" w14:paraId="2D2AF375" w14:textId="723AD013">
      <w:pPr>
        <w:autoSpaceDE w:val="0"/>
        <w:autoSpaceDN w:val="0"/>
        <w:adjustRightInd w:val="0"/>
        <w:spacing w:after="0" w:line="240" w:lineRule="auto"/>
        <w:ind w:left="708" w:hanging="708"/>
        <w:jc w:val="both"/>
        <w:rPr>
          <w:rFonts w:ascii="Palatino Linotype" w:hAnsi="Palatino Linotype"/>
        </w:rPr>
      </w:pPr>
      <w:r w:rsidRPr="00345A22">
        <w:rPr>
          <w:rFonts w:ascii="Palatino Linotype" w:hAnsi="Palatino Linotype"/>
          <w:b/>
          <w:bCs/>
        </w:rPr>
        <w:t xml:space="preserve">Que, </w:t>
      </w:r>
      <w:r w:rsidRPr="00345A22" w:rsidR="00DF36F2">
        <w:rPr>
          <w:rFonts w:ascii="Palatino Linotype" w:hAnsi="Palatino Linotype"/>
          <w:b/>
          <w:bCs/>
        </w:rPr>
        <w:tab/>
      </w:r>
      <w:r w:rsidRPr="00345A22">
        <w:rPr>
          <w:rFonts w:ascii="Palatino Linotype" w:hAnsi="Palatino Linotype"/>
        </w:rPr>
        <w:t xml:space="preserve">con Resolución Administrativa No. </w:t>
      </w:r>
      <w:r w:rsidRPr="00345A22" w:rsidR="00DF36F2">
        <w:rPr>
          <w:rFonts w:ascii="Palatino Linotype" w:hAnsi="Palatino Linotype"/>
        </w:rPr>
        <w:t>BCE-GG-100-2019 de 12 de agosto de 2019</w:t>
      </w:r>
      <w:r w:rsidRPr="00345A22">
        <w:rPr>
          <w:rFonts w:ascii="Palatino Linotype" w:hAnsi="Palatino Linotype"/>
        </w:rPr>
        <w:t xml:space="preserve">, la Gerencia General del Banco Central del Ecuador, </w:t>
      </w:r>
      <w:r w:rsidRPr="00345A22" w:rsidR="00DF36F2">
        <w:rPr>
          <w:rFonts w:ascii="Palatino Linotype" w:hAnsi="Palatino Linotype"/>
        </w:rPr>
        <w:t>aprobó</w:t>
      </w:r>
      <w:r w:rsidRPr="00345A22">
        <w:rPr>
          <w:rFonts w:ascii="Palatino Linotype" w:hAnsi="Palatino Linotype"/>
        </w:rPr>
        <w:t xml:space="preserve"> el Reglamento Interno del Depósito Centralizado de Compensación y Liquidación de Valores del Banco Central del Ecuador; </w:t>
      </w:r>
    </w:p>
    <w:p w:rsidRPr="00345A22" w:rsidR="00DF36F2" w:rsidP="00DF36F2" w:rsidRDefault="00DF36F2" w14:paraId="16A2EB79" w14:textId="77777777">
      <w:pPr>
        <w:autoSpaceDE w:val="0"/>
        <w:autoSpaceDN w:val="0"/>
        <w:adjustRightInd w:val="0"/>
        <w:spacing w:after="0" w:line="240" w:lineRule="auto"/>
        <w:ind w:left="708" w:hanging="708"/>
        <w:jc w:val="both"/>
        <w:rPr>
          <w:rFonts w:ascii="Palatino Linotype" w:hAnsi="Palatino Linotype"/>
          <w:b/>
          <w:bCs/>
        </w:rPr>
      </w:pPr>
    </w:p>
    <w:p w:rsidRPr="00345A22" w:rsidR="00DF36F2" w:rsidP="00231180" w:rsidRDefault="00DF36F2" w14:paraId="70DFBEA3" w14:textId="09D33326">
      <w:pPr>
        <w:autoSpaceDE w:val="0"/>
        <w:autoSpaceDN w:val="0"/>
        <w:adjustRightInd w:val="0"/>
        <w:spacing w:after="0" w:line="240" w:lineRule="auto"/>
        <w:ind w:left="708" w:hanging="708"/>
        <w:jc w:val="both"/>
        <w:rPr>
          <w:rFonts w:ascii="Palatino Linotype" w:hAnsi="Palatino Linotype"/>
        </w:rPr>
      </w:pPr>
      <w:r w:rsidRPr="00345A22">
        <w:rPr>
          <w:rFonts w:ascii="Palatino Linotype" w:hAnsi="Palatino Linotype"/>
          <w:b/>
          <w:bCs/>
        </w:rPr>
        <w:t xml:space="preserve">Que, </w:t>
      </w:r>
      <w:r w:rsidRPr="00345A22">
        <w:rPr>
          <w:rFonts w:ascii="Palatino Linotype" w:hAnsi="Palatino Linotype"/>
          <w:b/>
          <w:bCs/>
        </w:rPr>
        <w:tab/>
      </w:r>
      <w:r w:rsidRPr="00345A22">
        <w:rPr>
          <w:rFonts w:ascii="Palatino Linotype" w:hAnsi="Palatino Linotype"/>
        </w:rPr>
        <w:t xml:space="preserve">mediante Resolución Administrativa No. BCE-GG-001-2021 de 28 de enero de 2021, la Gerencia General del Banco Central del Ecuador, reformó el Reglamento Interno del Depósito Centralizado de Compensación y Liquidación de Valores del Banco Central del Ecuador, </w:t>
      </w:r>
      <w:r w:rsidRPr="00345A22" w:rsidR="00231180">
        <w:rPr>
          <w:rFonts w:ascii="Palatino Linotype" w:hAnsi="Palatino Linotype"/>
        </w:rPr>
        <w:t>señalando</w:t>
      </w:r>
      <w:r w:rsidRPr="00345A22" w:rsidR="00A66386">
        <w:rPr>
          <w:rFonts w:ascii="Palatino Linotype" w:hAnsi="Palatino Linotype"/>
        </w:rPr>
        <w:t xml:space="preserve"> </w:t>
      </w:r>
      <w:r w:rsidRPr="00345A22">
        <w:rPr>
          <w:rFonts w:ascii="Palatino Linotype" w:hAnsi="Palatino Linotype"/>
        </w:rPr>
        <w:t xml:space="preserve">en su artículo </w:t>
      </w:r>
      <w:r w:rsidRPr="00345A22" w:rsidR="00A66386">
        <w:rPr>
          <w:rFonts w:ascii="Palatino Linotype" w:hAnsi="Palatino Linotype"/>
        </w:rPr>
        <w:t>2</w:t>
      </w:r>
      <w:r w:rsidRPr="00345A22" w:rsidR="00231180">
        <w:rPr>
          <w:rFonts w:ascii="Palatino Linotype" w:hAnsi="Palatino Linotype"/>
        </w:rPr>
        <w:t>, que se incluya la definición de</w:t>
      </w:r>
      <w:r w:rsidRPr="00345A22">
        <w:rPr>
          <w:rFonts w:ascii="Palatino Linotype" w:hAnsi="Palatino Linotype"/>
        </w:rPr>
        <w:t xml:space="preserve"> la Dación en pago como: “</w:t>
      </w:r>
      <w:r w:rsidRPr="00345A22">
        <w:rPr>
          <w:rFonts w:ascii="Palatino Linotype" w:hAnsi="Palatino Linotype"/>
          <w:i/>
          <w:iCs/>
        </w:rPr>
        <w:t>Modo extraordinario de cancelación de obligaciones, por el cual, el Acreedor acepta de forma voluntaria, recibir en pago de obligaciones y/o créditos constituidos a su favor, bienes muebles, inmuebles, acciones, participaciones, valores físicos cartulares o desmaterializados, a su favor. La dación en pago, extingue total o parcialmente las obligaciones, de acuerdo al convenio entre acreedor y deudor</w:t>
      </w:r>
      <w:r w:rsidRPr="00345A22">
        <w:rPr>
          <w:rFonts w:ascii="Palatino Linotype" w:hAnsi="Palatino Linotype"/>
          <w:b/>
          <w:bCs/>
          <w:i/>
          <w:iCs/>
        </w:rPr>
        <w:t>”</w:t>
      </w:r>
      <w:r w:rsidRPr="00345A22">
        <w:rPr>
          <w:rFonts w:ascii="Palatino Linotype" w:hAnsi="Palatino Linotype"/>
        </w:rPr>
        <w:t>;</w:t>
      </w:r>
      <w:r w:rsidRPr="00345A22" w:rsidR="00231180">
        <w:rPr>
          <w:rFonts w:ascii="Palatino Linotype" w:hAnsi="Palatino Linotype"/>
        </w:rPr>
        <w:t xml:space="preserve"> y, en el artículo 3, que se incluya</w:t>
      </w:r>
      <w:r w:rsidRPr="00345A22">
        <w:rPr>
          <w:rFonts w:ascii="Palatino Linotype" w:hAnsi="Palatino Linotype"/>
        </w:rPr>
        <w:t xml:space="preserve">, en el inciso final del artículo 24 </w:t>
      </w:r>
      <w:r w:rsidRPr="00345A22" w:rsidR="00231180">
        <w:rPr>
          <w:rFonts w:ascii="Palatino Linotype" w:hAnsi="Palatino Linotype"/>
        </w:rPr>
        <w:t>lo siguiente:</w:t>
      </w:r>
      <w:r w:rsidRPr="00345A22">
        <w:rPr>
          <w:rFonts w:ascii="Palatino Linotype" w:hAnsi="Palatino Linotype"/>
          <w:i/>
          <w:iCs/>
        </w:rPr>
        <w:t xml:space="preserve"> “Para el registro de la transferencia de la dación en pago con valores inscritos en el Catastro Público del Mercado de Valores que se encuentran depositados en el DCV-BCE, se verificará copia certificada del convenio de dación en pago ante notario público, firmado por los representantes legales de las partes, anexando los documentos de identificación necesarios, detalle del estatuto o autorización que habilite la operación por la junta de accionistas, directorio, consejo o su equivalente (personas jurídicas); y la solicitud de </w:t>
      </w:r>
      <w:r w:rsidRPr="00345A22">
        <w:rPr>
          <w:rFonts w:ascii="Palatino Linotype" w:hAnsi="Palatino Linotype"/>
          <w:i/>
          <w:iCs/>
        </w:rPr>
        <w:t>transferencia detallando las características que permitan identificar el valor y los códigos de subcuenta en el DCV-BCE.</w:t>
      </w:r>
      <w:r w:rsidRPr="00345A22">
        <w:rPr>
          <w:rFonts w:ascii="Palatino Linotype" w:hAnsi="Palatino Linotype"/>
          <w:b/>
          <w:bCs/>
          <w:i/>
          <w:iCs/>
        </w:rPr>
        <w:t>”</w:t>
      </w:r>
      <w:r w:rsidRPr="00345A22">
        <w:rPr>
          <w:rFonts w:ascii="Palatino Linotype" w:hAnsi="Palatino Linotype"/>
        </w:rPr>
        <w:t>;</w:t>
      </w:r>
    </w:p>
    <w:p w:rsidRPr="00345A22" w:rsidR="00DF36F2" w:rsidP="00DF36F2" w:rsidRDefault="00DF36F2" w14:paraId="57E1CCF2" w14:textId="77777777">
      <w:pPr>
        <w:autoSpaceDE w:val="0"/>
        <w:autoSpaceDN w:val="0"/>
        <w:adjustRightInd w:val="0"/>
        <w:spacing w:after="0" w:line="240" w:lineRule="auto"/>
        <w:jc w:val="both"/>
        <w:rPr>
          <w:rFonts w:ascii="Palatino Linotype" w:hAnsi="Palatino Linotype" w:cstheme="minorHAnsi"/>
          <w:b/>
          <w:iCs/>
        </w:rPr>
      </w:pPr>
    </w:p>
    <w:p w:rsidRPr="00B87DDA" w:rsidR="00461CEA" w:rsidP="00DF36F2" w:rsidRDefault="006D0496" w14:paraId="552EDA71" w14:textId="065DE431">
      <w:pPr>
        <w:autoSpaceDE w:val="0"/>
        <w:autoSpaceDN w:val="0"/>
        <w:adjustRightInd w:val="0"/>
        <w:spacing w:after="0" w:line="240" w:lineRule="auto"/>
        <w:jc w:val="both"/>
        <w:rPr>
          <w:rFonts w:ascii="Palatino Linotype" w:hAnsi="Palatino Linotype" w:eastAsia="Times New Roman" w:cstheme="minorHAnsi"/>
          <w:lang w:eastAsia="es-EC"/>
        </w:rPr>
      </w:pPr>
      <w:r w:rsidRPr="00345A22">
        <w:rPr>
          <w:rFonts w:ascii="Palatino Linotype" w:hAnsi="Palatino Linotype" w:cstheme="minorHAnsi"/>
          <w:b/>
          <w:iCs/>
        </w:rPr>
        <w:t>Que,</w:t>
      </w:r>
      <w:r w:rsidRPr="00345A22" w:rsidR="00461CEA">
        <w:rPr>
          <w:rFonts w:ascii="Palatino Linotype" w:hAnsi="Palatino Linotype" w:cstheme="minorHAnsi"/>
          <w:iCs/>
        </w:rPr>
        <w:t xml:space="preserve"> con oficio </w:t>
      </w:r>
      <w:r w:rsidRPr="00B87DDA" w:rsidR="00461CEA">
        <w:rPr>
          <w:rFonts w:ascii="Palatino Linotype" w:hAnsi="Palatino Linotype" w:eastAsia="Times New Roman" w:cstheme="minorHAnsi"/>
          <w:lang w:eastAsia="es-EC"/>
        </w:rPr>
        <w:t>Nro. GADDMQ-AG-2023-0788-O de 5 de agosto de 2023, suscrito por el señor Administrador General, dirigido al Ministro de Economía y Finanzas, se remitió la solicitud de transferencia de valores pendientes de las asignaciones del Modelo de Equidad Territorial al GADDMQ y Devolución IVA.</w:t>
      </w:r>
    </w:p>
    <w:p w:rsidRPr="00B87DDA" w:rsidR="00461CEA" w:rsidP="00DF36F2" w:rsidRDefault="00461CEA" w14:paraId="03290370" w14:textId="77777777">
      <w:pPr>
        <w:autoSpaceDE w:val="0"/>
        <w:autoSpaceDN w:val="0"/>
        <w:adjustRightInd w:val="0"/>
        <w:spacing w:after="0" w:line="240" w:lineRule="auto"/>
        <w:jc w:val="both"/>
        <w:rPr>
          <w:rFonts w:ascii="Palatino Linotype" w:hAnsi="Palatino Linotype" w:eastAsia="Times New Roman" w:cstheme="minorHAnsi"/>
          <w:lang w:eastAsia="es-EC"/>
        </w:rPr>
      </w:pPr>
    </w:p>
    <w:p w:rsidRPr="00B87DDA" w:rsidR="00A94A97" w:rsidP="00B87DDA" w:rsidRDefault="00461CEA" w14:paraId="72144FAD" w14:textId="77777777">
      <w:pPr>
        <w:jc w:val="both"/>
        <w:rPr>
          <w:rFonts w:ascii="Palatino Linotype" w:hAnsi="Palatino Linotype" w:eastAsia="Times New Roman" w:cstheme="minorHAnsi"/>
          <w:lang w:eastAsia="es-EC"/>
        </w:rPr>
      </w:pPr>
      <w:r w:rsidRPr="00B87DDA">
        <w:rPr>
          <w:rFonts w:ascii="Palatino Linotype" w:hAnsi="Palatino Linotype" w:eastAsia="Times New Roman" w:cstheme="minorHAnsi"/>
          <w:b/>
          <w:lang w:eastAsia="es-EC"/>
        </w:rPr>
        <w:t>Que,</w:t>
      </w:r>
      <w:r w:rsidRPr="00B87DDA">
        <w:rPr>
          <w:rFonts w:ascii="Palatino Linotype" w:hAnsi="Palatino Linotype" w:eastAsia="Times New Roman" w:cstheme="minorHAnsi"/>
          <w:lang w:eastAsia="es-EC"/>
        </w:rPr>
        <w:t xml:space="preserve"> de acuerdo con los registros contables que mantiene la Dirección Metropolitana Financiera, el MEF adeuda al GAD DMQ: i) USD 31.876.103,77 correspondientes a las asignaciones del año 2021; ii) USD 79.857.864,85 correspondientes a las asignaciones del año 2022. Es decir, la deuda del Gobierno Central con la Municipalidad, por modelo de equidad territorial</w:t>
      </w:r>
      <w:r w:rsidRPr="00B87DDA" w:rsidR="00A94A97">
        <w:rPr>
          <w:rFonts w:ascii="Palatino Linotype" w:hAnsi="Palatino Linotype" w:eastAsia="Times New Roman" w:cstheme="minorHAnsi"/>
          <w:lang w:eastAsia="es-EC"/>
        </w:rPr>
        <w:t>, asciende a USD 111.733.968,62.</w:t>
      </w:r>
    </w:p>
    <w:p w:rsidRPr="00B87DDA" w:rsidR="00A94A97" w:rsidP="00B87DDA" w:rsidRDefault="00A94A97" w14:paraId="65F5D777" w14:textId="77777777">
      <w:pPr>
        <w:jc w:val="both"/>
        <w:rPr>
          <w:rFonts w:ascii="Palatino Linotype" w:hAnsi="Palatino Linotype" w:eastAsia="Times New Roman" w:cstheme="minorHAnsi"/>
          <w:lang w:eastAsia="es-EC"/>
        </w:rPr>
      </w:pPr>
      <w:r w:rsidRPr="00B87DDA">
        <w:rPr>
          <w:rFonts w:ascii="Palatino Linotype" w:hAnsi="Palatino Linotype" w:eastAsia="Times New Roman" w:cstheme="minorHAnsi"/>
          <w:b/>
          <w:lang w:eastAsia="es-EC"/>
        </w:rPr>
        <w:t>Que,</w:t>
      </w:r>
      <w:r w:rsidRPr="00B87DDA">
        <w:rPr>
          <w:rFonts w:ascii="Palatino Linotype" w:hAnsi="Palatino Linotype" w:eastAsia="Times New Roman" w:cstheme="minorHAnsi"/>
          <w:lang w:eastAsia="es-EC"/>
        </w:rPr>
        <w:t xml:space="preserve"> con Oficio Nro. MEF-DFP-2023-0819-O de 22 de agosto de 2023, suscrito por el Subsecretario de Financiamiento Público del MEF, dirigido al señor Alcalde Metropolitano, remite la “Propuesta pago en títulos valores GAD Municipio D.M Quito”, y establece la información respecto de las obligaciones que mantiene el MEF, por un valor de USD. 111.857.864,87, que corresponde al Modelo de Equidad Territorial año 2021 y 2022. Sobre le referido manifiesta […] Sobre la base de lo expuesto, esta Cartera de Estado emitió el Acuerdo Ministerial No. 0059 de 8 de julio de 2020, a través del cual se expidió </w:t>
      </w:r>
      <w:r w:rsidRPr="00B87DDA">
        <w:rPr>
          <w:rFonts w:ascii="Palatino Linotype" w:hAnsi="Palatino Linotype" w:eastAsia="Times New Roman" w:cstheme="minorHAnsi"/>
          <w:i/>
          <w:lang w:eastAsia="es-EC"/>
        </w:rPr>
        <w:t>“LA NORMA TÉCNICA PARA</w:t>
      </w:r>
      <w:r w:rsidRPr="00B87DDA">
        <w:rPr>
          <w:rFonts w:ascii="Palatino Linotype" w:hAnsi="Palatino Linotype" w:eastAsia="Times New Roman" w:cstheme="minorHAnsi"/>
          <w:lang w:eastAsia="es-EC"/>
        </w:rPr>
        <w:t xml:space="preserve"> </w:t>
      </w:r>
      <w:r w:rsidRPr="00B87DDA">
        <w:rPr>
          <w:rFonts w:ascii="Palatino Linotype" w:hAnsi="Palatino Linotype" w:eastAsia="Times New Roman" w:cstheme="minorHAnsi"/>
          <w:i/>
          <w:lang w:eastAsia="es-EC"/>
        </w:rPr>
        <w:t>EL USO DE TÍTULOS DE DEUDA PÚBLICA Y/O CERTIFICADOS DE TESORERÍA</w:t>
      </w:r>
      <w:r w:rsidRPr="00B87DDA">
        <w:rPr>
          <w:rFonts w:ascii="Palatino Linotype" w:hAnsi="Palatino Linotype" w:eastAsia="Times New Roman" w:cstheme="minorHAnsi"/>
          <w:lang w:eastAsia="es-EC"/>
        </w:rPr>
        <w:t xml:space="preserve"> </w:t>
      </w:r>
      <w:r w:rsidRPr="00B87DDA">
        <w:rPr>
          <w:rFonts w:ascii="Palatino Linotype" w:hAnsi="Palatino Linotype" w:eastAsia="Times New Roman" w:cstheme="minorHAnsi"/>
          <w:i/>
          <w:lang w:eastAsia="es-EC"/>
        </w:rPr>
        <w:t>PARA EL PAGO DE OBLIGACIONES NO PAGADAS Y REGISTRADAS DE</w:t>
      </w:r>
      <w:r w:rsidRPr="00B87DDA">
        <w:rPr>
          <w:rFonts w:ascii="Palatino Linotype" w:hAnsi="Palatino Linotype" w:eastAsia="Times New Roman" w:cstheme="minorHAnsi"/>
          <w:lang w:eastAsia="es-EC"/>
        </w:rPr>
        <w:t xml:space="preserve"> </w:t>
      </w:r>
      <w:r w:rsidRPr="00B87DDA">
        <w:rPr>
          <w:rFonts w:ascii="Palatino Linotype" w:hAnsi="Palatino Linotype" w:eastAsia="Times New Roman" w:cstheme="minorHAnsi"/>
          <w:i/>
          <w:lang w:eastAsia="es-EC"/>
        </w:rPr>
        <w:t>PRESUPUESTOS CLAUSURADOS Y OTRAS OBLIGACIONES QUE SURGEN DE</w:t>
      </w:r>
      <w:r w:rsidRPr="00B87DDA">
        <w:rPr>
          <w:rFonts w:ascii="Palatino Linotype" w:hAnsi="Palatino Linotype" w:eastAsia="Times New Roman" w:cstheme="minorHAnsi"/>
          <w:lang w:eastAsia="es-EC"/>
        </w:rPr>
        <w:t xml:space="preserve"> </w:t>
      </w:r>
      <w:r w:rsidRPr="00B87DDA">
        <w:rPr>
          <w:rFonts w:ascii="Palatino Linotype" w:hAnsi="Palatino Linotype" w:eastAsia="Times New Roman" w:cstheme="minorHAnsi"/>
          <w:i/>
          <w:lang w:eastAsia="es-EC"/>
        </w:rPr>
        <w:t>SENTENCIAS JUDICIALES O LAUDOS ARBITRALES EJECUTORIADOS</w:t>
      </w:r>
      <w:r w:rsidRPr="00B87DDA">
        <w:rPr>
          <w:rFonts w:ascii="Palatino Linotype" w:hAnsi="Palatino Linotype" w:eastAsia="Times New Roman" w:cstheme="minorHAnsi"/>
          <w:i/>
          <w:u w:val="single"/>
          <w:lang w:eastAsia="es-EC"/>
        </w:rPr>
        <w:t>”</w:t>
      </w:r>
      <w:r w:rsidRPr="00B87DDA">
        <w:rPr>
          <w:rFonts w:ascii="Palatino Linotype" w:hAnsi="Palatino Linotype" w:eastAsia="Times New Roman" w:cstheme="minorHAnsi"/>
          <w:u w:val="single"/>
          <w:lang w:eastAsia="es-EC"/>
        </w:rPr>
        <w:t>, a través de la cual se establece el procedimiento para el uso de títulos valores para el pago de estas obligaciones.</w:t>
      </w:r>
      <w:r w:rsidRPr="00B87DDA">
        <w:rPr>
          <w:rFonts w:ascii="Palatino Linotype" w:hAnsi="Palatino Linotype" w:eastAsia="Times New Roman" w:cstheme="minorHAnsi"/>
          <w:lang w:eastAsia="es-EC"/>
        </w:rPr>
        <w:t xml:space="preserve"> […]</w:t>
      </w:r>
    </w:p>
    <w:p w:rsidRPr="00B87DDA" w:rsidR="00A94A97" w:rsidP="00345A22" w:rsidRDefault="00A94A97" w14:paraId="61E8E843" w14:textId="2379A37B">
      <w:pPr>
        <w:jc w:val="both"/>
        <w:rPr>
          <w:rFonts w:ascii="Palatino Linotype" w:hAnsi="Palatino Linotype" w:eastAsia="Times New Roman" w:cstheme="minorHAnsi"/>
          <w:lang w:eastAsia="es-EC"/>
        </w:rPr>
      </w:pPr>
      <w:r w:rsidRPr="00B87DDA">
        <w:rPr>
          <w:rFonts w:ascii="Palatino Linotype" w:hAnsi="Palatino Linotype" w:eastAsia="Times New Roman" w:cstheme="minorHAnsi"/>
          <w:b/>
          <w:lang w:eastAsia="es-EC"/>
        </w:rPr>
        <w:t>Que,</w:t>
      </w:r>
      <w:r w:rsidRPr="00B87DDA">
        <w:rPr>
          <w:rFonts w:ascii="Palatino Linotype" w:hAnsi="Palatino Linotype" w:eastAsia="Times New Roman" w:cstheme="minorHAnsi"/>
          <w:lang w:eastAsia="es-EC"/>
        </w:rPr>
        <w:t xml:space="preserve"> el ibídem al oficio referido señala en su parte pertinente: […] En este sentido, debo manifestar que, los bonos a utilizar para el pago de estas obligaciones, en aplicación del artículo innumerado, a continuación del artículo 127 del Código Orgánico de Planificación y Finanzas Públicas, corresponden a la Resolución No. CDF-RES-2023</w:t>
      </w:r>
      <w:r w:rsidRPr="00B87DDA" w:rsidR="004603AD">
        <w:rPr>
          <w:rFonts w:ascii="Palatino Linotype" w:hAnsi="Palatino Linotype" w:eastAsia="Times New Roman" w:cstheme="minorHAnsi"/>
          <w:lang w:eastAsia="es-EC"/>
        </w:rPr>
        <w:t>-0001 de 21 de febrero de 2023;</w:t>
      </w:r>
    </w:p>
    <w:p w:rsidRPr="00B87DDA" w:rsidR="004603AD" w:rsidP="00DF36F2" w:rsidRDefault="006D0496" w14:paraId="7D7E296E" w14:textId="77777777">
      <w:pPr>
        <w:autoSpaceDE w:val="0"/>
        <w:autoSpaceDN w:val="0"/>
        <w:adjustRightInd w:val="0"/>
        <w:spacing w:after="0" w:line="240" w:lineRule="auto"/>
        <w:jc w:val="both"/>
        <w:rPr>
          <w:rFonts w:ascii="Palatino Linotype" w:hAnsi="Palatino Linotype" w:eastAsia="Times New Roman" w:cstheme="minorHAnsi"/>
          <w:i/>
          <w:lang w:eastAsia="es-EC"/>
        </w:rPr>
      </w:pPr>
      <w:r w:rsidRPr="00345A22">
        <w:rPr>
          <w:rFonts w:ascii="Palatino Linotype" w:hAnsi="Palatino Linotype" w:cstheme="minorHAnsi"/>
          <w:b/>
          <w:iCs/>
        </w:rPr>
        <w:t xml:space="preserve">Que, </w:t>
      </w:r>
      <w:r w:rsidRPr="00345A22" w:rsidR="004603AD">
        <w:rPr>
          <w:rFonts w:ascii="Palatino Linotype" w:hAnsi="Palatino Linotype" w:cstheme="minorHAnsi"/>
          <w:iCs/>
        </w:rPr>
        <w:t xml:space="preserve">el </w:t>
      </w:r>
      <w:r w:rsidRPr="00B87DDA" w:rsidR="004603AD">
        <w:rPr>
          <w:rFonts w:ascii="Palatino Linotype" w:hAnsi="Palatino Linotype" w:eastAsia="Times New Roman" w:cstheme="minorHAnsi"/>
          <w:lang w:eastAsia="es-EC"/>
        </w:rPr>
        <w:t>Código Orgánico de Planificación y Finanzas Públicas</w:t>
      </w:r>
      <w:r w:rsidRPr="00345A22" w:rsidR="004603AD">
        <w:rPr>
          <w:rFonts w:ascii="Palatino Linotype" w:hAnsi="Palatino Linotype" w:cstheme="minorHAnsi"/>
          <w:iCs/>
        </w:rPr>
        <w:t xml:space="preserve"> en su artículo 127 sobre la responsabilidad de ejecución menciona </w:t>
      </w:r>
      <w:r w:rsidRPr="00B87DDA" w:rsidR="004603AD">
        <w:rPr>
          <w:rFonts w:ascii="Palatino Linotype" w:hAnsi="Palatino Linotype" w:cstheme="minorHAnsi"/>
          <w:i/>
          <w:iCs/>
        </w:rPr>
        <w:t>“</w:t>
      </w:r>
      <w:r w:rsidRPr="00B87DDA" w:rsidR="004603AD">
        <w:rPr>
          <w:rFonts w:ascii="Palatino Linotype" w:hAnsi="Palatino Linotype" w:eastAsia="Times New Roman" w:cstheme="minorHAnsi"/>
          <w:i/>
          <w:lang w:eastAsia="es-EC"/>
        </w:rPr>
        <w:t>La entidad u organismo público contratante del endeudamiento será la responsable de la ejecución de los proyectos o programas que se financien con dichos recursos. En el caso del endeudamiento del Presupuesto General del Estado, la entidad pública responsable de la ejecución será la establecida en la resolución que para el efecto dicte el ente rector de las finanzas públicas”</w:t>
      </w:r>
    </w:p>
    <w:p w:rsidRPr="00B87DDA" w:rsidR="004603AD" w:rsidP="00DF36F2" w:rsidRDefault="004603AD" w14:paraId="163154B4" w14:textId="77777777">
      <w:pPr>
        <w:autoSpaceDE w:val="0"/>
        <w:autoSpaceDN w:val="0"/>
        <w:adjustRightInd w:val="0"/>
        <w:spacing w:after="0" w:line="240" w:lineRule="auto"/>
        <w:jc w:val="both"/>
        <w:rPr>
          <w:rFonts w:ascii="Palatino Linotype" w:hAnsi="Palatino Linotype" w:eastAsia="Times New Roman" w:cstheme="minorHAnsi"/>
          <w:i/>
          <w:lang w:eastAsia="es-EC"/>
        </w:rPr>
      </w:pPr>
    </w:p>
    <w:p w:rsidRPr="00B87DDA" w:rsidR="004603AD" w:rsidP="004603AD" w:rsidRDefault="004603AD" w14:paraId="5616AEC7" w14:textId="11C1431C">
      <w:pPr>
        <w:jc w:val="both"/>
        <w:rPr>
          <w:rFonts w:ascii="Palatino Linotype" w:hAnsi="Palatino Linotype" w:eastAsia="Times New Roman" w:cstheme="minorHAnsi"/>
          <w:i/>
          <w:lang w:eastAsia="es-EC"/>
        </w:rPr>
      </w:pPr>
      <w:r w:rsidRPr="00B87DDA">
        <w:rPr>
          <w:rFonts w:ascii="Palatino Linotype" w:hAnsi="Palatino Linotype" w:eastAsia="Times New Roman" w:cstheme="minorHAnsi"/>
          <w:b/>
          <w:lang w:eastAsia="es-EC"/>
        </w:rPr>
        <w:t>Que,</w:t>
      </w:r>
      <w:r w:rsidRPr="00B87DDA">
        <w:rPr>
          <w:rFonts w:ascii="Palatino Linotype" w:hAnsi="Palatino Linotype" w:eastAsia="Times New Roman" w:cstheme="minorHAnsi"/>
          <w:i/>
          <w:lang w:eastAsia="es-EC"/>
        </w:rPr>
        <w:t xml:space="preserve"> </w:t>
      </w:r>
      <w:r w:rsidRPr="00B87DDA">
        <w:rPr>
          <w:rFonts w:ascii="Palatino Linotype" w:hAnsi="Palatino Linotype" w:eastAsia="Times New Roman" w:cstheme="minorHAnsi"/>
          <w:lang w:eastAsia="es-EC"/>
        </w:rPr>
        <w:t xml:space="preserve">en su artículo imnumerado a continuación del 127 del Código Orgánico de Planificación y Finanzas Públicas señala </w:t>
      </w:r>
      <w:r w:rsidRPr="00B87DDA">
        <w:rPr>
          <w:rFonts w:ascii="Palatino Linotype" w:hAnsi="Palatino Linotype" w:eastAsia="Times New Roman" w:cstheme="minorHAnsi"/>
          <w:i/>
          <w:lang w:eastAsia="es-EC"/>
        </w:rPr>
        <w:t xml:space="preserve">“los saldos deudores del Gobierno Central, cuyos beneficiarios sean entidades públicas o privadas, que constituyan obligaciones no pagadas y registradas de presupuestos clausurados de conformidad con el artículo 123 del Código Orgánico de Planificación y Finanzas Públicas, entre las que se incluyen valores generados por compensación o asignación presupuestaria del </w:t>
      </w:r>
      <w:r w:rsidRPr="00B87DDA">
        <w:rPr>
          <w:rFonts w:ascii="Palatino Linotype" w:hAnsi="Palatino Linotype" w:eastAsia="Times New Roman" w:cstheme="minorHAnsi"/>
          <w:i/>
          <w:lang w:eastAsia="es-EC"/>
        </w:rPr>
        <w:t xml:space="preserve">impuesto al valor agregado, y por prestaciones de salud debidamente verificadas, previa petición y aceptación de las partes, podrán ser pagados con títulos de deuda pública y certificados de tesorería. </w:t>
      </w:r>
    </w:p>
    <w:p w:rsidRPr="00B87DDA" w:rsidR="004603AD" w:rsidP="004603AD" w:rsidRDefault="004603AD" w14:paraId="3F3BDF5C" w14:textId="77777777">
      <w:pPr>
        <w:jc w:val="both"/>
        <w:rPr>
          <w:rFonts w:ascii="Palatino Linotype" w:hAnsi="Palatino Linotype" w:eastAsia="Times New Roman" w:cstheme="minorHAnsi"/>
          <w:i/>
          <w:lang w:eastAsia="es-EC"/>
        </w:rPr>
      </w:pPr>
      <w:r w:rsidRPr="00B87DDA">
        <w:rPr>
          <w:rFonts w:ascii="Palatino Linotype" w:hAnsi="Palatino Linotype" w:eastAsia="Times New Roman" w:cstheme="minorHAnsi"/>
          <w:i/>
          <w:lang w:eastAsia="es-EC"/>
        </w:rPr>
        <w:t>También se podrá pagar mediante este mecanismo las obligaciones que surgieren de sentencias judiciales o laudos arbitrales ejecutoriados.</w:t>
      </w:r>
    </w:p>
    <w:p w:rsidRPr="00B87DDA" w:rsidR="004603AD" w:rsidP="004603AD" w:rsidRDefault="004603AD" w14:paraId="40F8CDC9" w14:textId="77777777">
      <w:pPr>
        <w:autoSpaceDE w:val="0"/>
        <w:autoSpaceDN w:val="0"/>
        <w:adjustRightInd w:val="0"/>
        <w:spacing w:after="0" w:line="240" w:lineRule="auto"/>
        <w:jc w:val="both"/>
        <w:rPr>
          <w:rFonts w:ascii="Palatino Linotype" w:hAnsi="Palatino Linotype" w:eastAsia="Times New Roman" w:cstheme="minorHAnsi"/>
          <w:i/>
          <w:lang w:eastAsia="es-EC"/>
        </w:rPr>
      </w:pPr>
      <w:r w:rsidRPr="00B87DDA">
        <w:rPr>
          <w:rFonts w:ascii="Palatino Linotype" w:hAnsi="Palatino Linotype" w:eastAsia="Times New Roman" w:cstheme="minorHAnsi"/>
          <w:i/>
          <w:lang w:eastAsia="es-EC"/>
        </w:rPr>
        <w:t>Las entidades públicas que voluntariamente se acojan a este mecanismo de pago y reciban pagos de obligaciones con títulos de deuda pública y certificados de tesorería, podrán negociar tales títulos a valor de mercado, aún si su valor de mercado se ubique por encima o por debajo de valor par. No se podrán negociar estos títulos por debajo del valor de mercado […]</w:t>
      </w:r>
    </w:p>
    <w:p w:rsidRPr="00B87DDA" w:rsidR="004603AD" w:rsidP="004603AD" w:rsidRDefault="004603AD" w14:paraId="0079D487" w14:textId="77777777">
      <w:pPr>
        <w:autoSpaceDE w:val="0"/>
        <w:autoSpaceDN w:val="0"/>
        <w:adjustRightInd w:val="0"/>
        <w:spacing w:after="0" w:line="240" w:lineRule="auto"/>
        <w:jc w:val="both"/>
        <w:rPr>
          <w:rFonts w:ascii="Palatino Linotype" w:hAnsi="Palatino Linotype" w:eastAsia="Times New Roman" w:cstheme="minorHAnsi"/>
          <w:lang w:eastAsia="es-EC"/>
        </w:rPr>
      </w:pPr>
    </w:p>
    <w:p w:rsidRPr="00B87DDA" w:rsidR="00FE0F35" w:rsidP="004603AD" w:rsidRDefault="004603AD" w14:paraId="6D089F5C" w14:textId="6F76B67D">
      <w:pPr>
        <w:jc w:val="both"/>
        <w:rPr>
          <w:rFonts w:ascii="Palatino Linotype" w:hAnsi="Palatino Linotype" w:eastAsia="Times New Roman" w:cstheme="minorHAnsi"/>
          <w:i/>
          <w:lang w:eastAsia="es-EC"/>
        </w:rPr>
      </w:pPr>
      <w:r w:rsidRPr="00B87DDA">
        <w:rPr>
          <w:rFonts w:ascii="Palatino Linotype" w:hAnsi="Palatino Linotype" w:eastAsia="Times New Roman" w:cs="Times New Roman"/>
          <w:b/>
          <w:lang w:eastAsia="es-EC"/>
        </w:rPr>
        <w:t>Que,</w:t>
      </w:r>
      <w:r w:rsidRPr="00345A22">
        <w:rPr>
          <w:rFonts w:ascii="Palatino Linotype" w:hAnsi="Palatino Linotype" w:eastAsia="Times New Roman" w:cs="Times New Roman"/>
          <w:lang w:eastAsia="es-EC"/>
        </w:rPr>
        <w:t xml:space="preserve"> </w:t>
      </w:r>
      <w:r w:rsidRPr="00345A22" w:rsidR="00FE0F35">
        <w:rPr>
          <w:rFonts w:ascii="Palatino Linotype" w:hAnsi="Palatino Linotype" w:eastAsia="Times New Roman" w:cs="Times New Roman"/>
          <w:lang w:eastAsia="es-EC"/>
        </w:rPr>
        <w:t xml:space="preserve">la emisión de bonos y otros títulos contemplados en </w:t>
      </w:r>
      <w:r w:rsidRPr="00345A22">
        <w:rPr>
          <w:rFonts w:ascii="Palatino Linotype" w:hAnsi="Palatino Linotype" w:eastAsia="Times New Roman" w:cs="Times New Roman"/>
          <w:lang w:eastAsia="es-EC"/>
        </w:rPr>
        <w:t xml:space="preserve">el artículo 142 del COPFP indica </w:t>
      </w:r>
      <w:r w:rsidRPr="00B87DDA">
        <w:rPr>
          <w:rFonts w:ascii="Palatino Linotype" w:hAnsi="Palatino Linotype" w:eastAsia="Times New Roman" w:cs="Times New Roman"/>
          <w:i/>
          <w:lang w:eastAsia="es-EC"/>
        </w:rPr>
        <w:t>“e</w:t>
      </w:r>
      <w:r w:rsidRPr="00B87DDA">
        <w:rPr>
          <w:rFonts w:ascii="Palatino Linotype" w:hAnsi="Palatino Linotype" w:eastAsia="Times New Roman" w:cstheme="minorHAnsi"/>
          <w:i/>
          <w:lang w:eastAsia="es-EC"/>
        </w:rPr>
        <w:t>n consideración a las necesidades de financiamiento y los requerimientos del mercado, el ente rector de las finanzas públicas aprobará, para consideración y autorización, cuando sea del caso, del Comité de Deuda y Financiamiento, la emisión de títulos de mediano o largo plazo y el tipo de títulos del Estado a emitirse, así como sus términos y condiciones financieras de colocación.</w:t>
      </w:r>
    </w:p>
    <w:p w:rsidRPr="00B87DDA" w:rsidR="004603AD" w:rsidP="004603AD" w:rsidRDefault="004603AD" w14:paraId="0BA45984" w14:textId="53A7F256">
      <w:pPr>
        <w:jc w:val="both"/>
        <w:rPr>
          <w:rFonts w:ascii="Palatino Linotype" w:hAnsi="Palatino Linotype" w:eastAsia="Times New Roman" w:cstheme="minorHAnsi"/>
          <w:i/>
          <w:lang w:eastAsia="es-EC"/>
        </w:rPr>
      </w:pPr>
      <w:r w:rsidRPr="00B87DDA">
        <w:rPr>
          <w:rFonts w:ascii="Palatino Linotype" w:hAnsi="Palatino Linotype" w:eastAsia="Times New Roman" w:cstheme="minorHAnsi"/>
          <w:i/>
          <w:lang w:eastAsia="es-EC"/>
        </w:rPr>
        <w:t>Las emisiones de títulos valores incluidas las titularizaciones de otras entidades públicas, financieras y no financieras, requerirán de la aprobación del ente rector de las finanzas públicas.</w:t>
      </w:r>
    </w:p>
    <w:p w:rsidRPr="00B87DDA" w:rsidR="004603AD" w:rsidP="004603AD" w:rsidRDefault="004603AD" w14:paraId="3B0AE483" w14:textId="34F92FB8">
      <w:pPr>
        <w:jc w:val="both"/>
        <w:rPr>
          <w:rFonts w:ascii="Palatino Linotype" w:hAnsi="Palatino Linotype" w:eastAsia="Times New Roman" w:cstheme="minorHAnsi"/>
          <w:i/>
          <w:lang w:eastAsia="es-EC"/>
        </w:rPr>
      </w:pPr>
      <w:r w:rsidRPr="00B87DDA">
        <w:rPr>
          <w:rFonts w:ascii="Palatino Linotype" w:hAnsi="Palatino Linotype" w:eastAsia="Times New Roman" w:cstheme="minorHAnsi"/>
          <w:i/>
          <w:lang w:eastAsia="es-EC"/>
        </w:rPr>
        <w:t>En el caso de emisiones de títulos valores de la banca pública cuyo monto anual supere el 0.15% del Presupuesto General del Estado deberá contar con el análisis y recomendación del ente rector de las finanzas públicas.</w:t>
      </w:r>
      <w:r w:rsidRPr="00B87DDA" w:rsidR="00FE0F35">
        <w:rPr>
          <w:rFonts w:ascii="Palatino Linotype" w:hAnsi="Palatino Linotype" w:eastAsia="Times New Roman" w:cstheme="minorHAnsi"/>
          <w:i/>
          <w:lang w:eastAsia="es-EC"/>
        </w:rPr>
        <w:t>”</w:t>
      </w:r>
    </w:p>
    <w:p w:rsidRPr="00345A22" w:rsidR="004603AD" w:rsidP="004603AD" w:rsidRDefault="00FE0F35" w14:paraId="71CA9D9F" w14:textId="3E3851A1">
      <w:pPr>
        <w:autoSpaceDE w:val="0"/>
        <w:autoSpaceDN w:val="0"/>
        <w:adjustRightInd w:val="0"/>
        <w:spacing w:after="0" w:line="240" w:lineRule="auto"/>
        <w:jc w:val="both"/>
        <w:rPr>
          <w:rFonts w:ascii="Palatino Linotype" w:hAnsi="Palatino Linotype" w:eastAsia="Times New Roman" w:cs="Times New Roman"/>
          <w:lang w:eastAsia="es-EC"/>
        </w:rPr>
      </w:pPr>
      <w:r w:rsidRPr="00B87DDA">
        <w:rPr>
          <w:rFonts w:ascii="Palatino Linotype" w:hAnsi="Palatino Linotype" w:eastAsia="Times New Roman" w:cs="Times New Roman"/>
          <w:b/>
          <w:lang w:eastAsia="es-EC"/>
        </w:rPr>
        <w:t>Que,</w:t>
      </w:r>
      <w:r w:rsidRPr="00345A22">
        <w:rPr>
          <w:rFonts w:ascii="Palatino Linotype" w:hAnsi="Palatino Linotype" w:eastAsia="Times New Roman" w:cs="Times New Roman"/>
          <w:lang w:eastAsia="es-EC"/>
        </w:rPr>
        <w:t xml:space="preserve"> en el artículo 143 del Código de Planificación y Finanzas Públicas</w:t>
      </w:r>
      <w:r w:rsidR="00492F93">
        <w:rPr>
          <w:rFonts w:ascii="Palatino Linotype" w:hAnsi="Palatino Linotype" w:eastAsia="Times New Roman" w:cs="Times New Roman"/>
          <w:lang w:eastAsia="es-EC"/>
        </w:rPr>
        <w:t xml:space="preserve"> menciona que</w:t>
      </w:r>
      <w:r w:rsidRPr="00345A22">
        <w:rPr>
          <w:rFonts w:ascii="Palatino Linotype" w:hAnsi="Palatino Linotype" w:eastAsia="Times New Roman" w:cs="Times New Roman"/>
          <w:lang w:eastAsia="es-EC"/>
        </w:rPr>
        <w:t xml:space="preserve"> </w:t>
      </w:r>
      <w:r w:rsidRPr="00B87DDA">
        <w:rPr>
          <w:rFonts w:ascii="Palatino Linotype" w:hAnsi="Palatino Linotype" w:eastAsia="Times New Roman" w:cs="Times New Roman"/>
          <w:i/>
          <w:lang w:eastAsia="es-EC"/>
        </w:rPr>
        <w:t>“</w:t>
      </w:r>
      <w:r w:rsidRPr="00B87DDA">
        <w:rPr>
          <w:rFonts w:ascii="Palatino Linotype" w:hAnsi="Palatino Linotype" w:eastAsia="Times New Roman" w:cstheme="minorHAnsi"/>
          <w:i/>
          <w:lang w:eastAsia="es-EC"/>
        </w:rPr>
        <w:t>autorizada legalmente una emisión de bonos o de otros títulos, se instrumentará la respectiva escritura pública, en la que intervendrá el Ministro(a) a cargo de finanzas públicas, tratándose de emisiones del Estado ecuatoriano, o los representantes legales de la entidad”</w:t>
      </w:r>
    </w:p>
    <w:p w:rsidRPr="00345A22" w:rsidR="004603AD" w:rsidP="00DF36F2" w:rsidRDefault="004603AD" w14:paraId="7B5975B9" w14:textId="77777777">
      <w:pPr>
        <w:autoSpaceDE w:val="0"/>
        <w:autoSpaceDN w:val="0"/>
        <w:adjustRightInd w:val="0"/>
        <w:spacing w:after="0" w:line="240" w:lineRule="auto"/>
        <w:jc w:val="both"/>
        <w:rPr>
          <w:rFonts w:ascii="Palatino Linotype" w:hAnsi="Palatino Linotype" w:eastAsia="Times New Roman" w:cs="Times New Roman"/>
          <w:lang w:eastAsia="es-EC"/>
        </w:rPr>
      </w:pPr>
    </w:p>
    <w:p w:rsidRPr="00345A22" w:rsidR="00DF36F2" w:rsidP="00DF36F2" w:rsidRDefault="004603AD" w14:paraId="17A72708" w14:textId="4FA08A98">
      <w:pPr>
        <w:autoSpaceDE w:val="0"/>
        <w:autoSpaceDN w:val="0"/>
        <w:adjustRightInd w:val="0"/>
        <w:spacing w:after="0" w:line="240" w:lineRule="auto"/>
        <w:jc w:val="both"/>
        <w:rPr>
          <w:rFonts w:ascii="Palatino Linotype" w:hAnsi="Palatino Linotype" w:cs="Times New Roman"/>
          <w:b/>
          <w:bCs/>
        </w:rPr>
      </w:pPr>
      <w:r w:rsidRPr="00345A22" w:rsidDel="004603AD">
        <w:rPr>
          <w:rFonts w:ascii="Palatino Linotype" w:hAnsi="Palatino Linotype" w:eastAsia="Times New Roman" w:cs="Times New Roman"/>
          <w:iCs/>
          <w:lang w:eastAsia="es-EC"/>
        </w:rPr>
        <w:t xml:space="preserve"> </w:t>
      </w:r>
    </w:p>
    <w:p w:rsidRPr="00345A22" w:rsidR="006D0496" w:rsidP="00DF36F2" w:rsidRDefault="00711A0C" w14:paraId="4D124243" w14:textId="50318AD0">
      <w:pPr>
        <w:autoSpaceDE w:val="0"/>
        <w:autoSpaceDN w:val="0"/>
        <w:adjustRightInd w:val="0"/>
        <w:spacing w:after="0" w:line="240" w:lineRule="auto"/>
        <w:jc w:val="both"/>
        <w:rPr>
          <w:rFonts w:ascii="Palatino Linotype" w:hAnsi="Palatino Linotype" w:cs="Times New Roman"/>
          <w:b/>
          <w:bCs/>
        </w:rPr>
      </w:pPr>
      <w:r w:rsidRPr="00345A22">
        <w:rPr>
          <w:rFonts w:ascii="Palatino Linotype" w:hAnsi="Palatino Linotype" w:cs="Times New Roman"/>
          <w:b/>
          <w:bCs/>
        </w:rPr>
        <w:t>En ejercicio de sus atribuciones previstas en los artículos 240 de la Constitución de la República; y, 87 letra a) y 323 del Código Orgánico de Organización Territorial, Autonomía y Descentralización,</w:t>
      </w:r>
    </w:p>
    <w:p w:rsidRPr="00345A22" w:rsidR="00711A0C" w:rsidP="00DF36F2" w:rsidRDefault="00711A0C" w14:paraId="56A8ADC5" w14:textId="77777777">
      <w:pPr>
        <w:autoSpaceDE w:val="0"/>
        <w:autoSpaceDN w:val="0"/>
        <w:adjustRightInd w:val="0"/>
        <w:spacing w:after="0" w:line="240" w:lineRule="auto"/>
        <w:jc w:val="both"/>
        <w:rPr>
          <w:rFonts w:ascii="Palatino Linotype" w:hAnsi="Palatino Linotype" w:cs="Times New Roman"/>
        </w:rPr>
      </w:pPr>
    </w:p>
    <w:p w:rsidRPr="00345A22" w:rsidR="006D0496" w:rsidP="00DF36F2" w:rsidRDefault="006D0496" w14:paraId="5084F328" w14:textId="77777777">
      <w:pPr>
        <w:autoSpaceDE w:val="0"/>
        <w:autoSpaceDN w:val="0"/>
        <w:adjustRightInd w:val="0"/>
        <w:spacing w:after="0" w:line="240" w:lineRule="auto"/>
        <w:jc w:val="center"/>
        <w:rPr>
          <w:rFonts w:ascii="Palatino Linotype" w:hAnsi="Palatino Linotype" w:cs="Times New Roman"/>
          <w:b/>
        </w:rPr>
      </w:pPr>
      <w:r w:rsidRPr="00345A22">
        <w:rPr>
          <w:rFonts w:ascii="Palatino Linotype" w:hAnsi="Palatino Linotype" w:cs="Times New Roman"/>
          <w:b/>
        </w:rPr>
        <w:t>RESUELVE:</w:t>
      </w:r>
    </w:p>
    <w:p w:rsidRPr="00345A22" w:rsidR="006D0496" w:rsidP="00DF36F2" w:rsidRDefault="006D0496" w14:paraId="1771382D" w14:textId="0969A4A3">
      <w:pPr>
        <w:autoSpaceDE w:val="0"/>
        <w:autoSpaceDN w:val="0"/>
        <w:adjustRightInd w:val="0"/>
        <w:spacing w:after="0" w:line="240" w:lineRule="auto"/>
        <w:jc w:val="center"/>
        <w:rPr>
          <w:rFonts w:ascii="Palatino Linotype" w:hAnsi="Palatino Linotype" w:cs="Times New Roman"/>
          <w:color w:val="000000"/>
        </w:rPr>
      </w:pPr>
    </w:p>
    <w:p w:rsidR="00B87DDA" w:rsidP="00DF36F2" w:rsidRDefault="006D0496" w14:paraId="3B9177A2" w14:textId="36F7C991">
      <w:pPr>
        <w:spacing w:after="0" w:line="240" w:lineRule="auto"/>
        <w:jc w:val="both"/>
        <w:rPr>
          <w:rFonts w:ascii="Palatino Linotype" w:hAnsi="Palatino Linotype" w:cs="Times New Roman"/>
          <w:color w:val="000000"/>
        </w:rPr>
      </w:pPr>
      <w:r w:rsidRPr="00345A22">
        <w:rPr>
          <w:rFonts w:ascii="Palatino Linotype" w:hAnsi="Palatino Linotype" w:cs="Times New Roman"/>
          <w:b/>
          <w:bCs/>
          <w:color w:val="000000"/>
        </w:rPr>
        <w:t>Artículo 1.-</w:t>
      </w:r>
      <w:r w:rsidRPr="00345A22">
        <w:rPr>
          <w:rFonts w:ascii="Palatino Linotype" w:hAnsi="Palatino Linotype" w:cs="Times New Roman"/>
          <w:color w:val="000000"/>
        </w:rPr>
        <w:t xml:space="preserve"> Autorizar a</w:t>
      </w:r>
      <w:r w:rsidRPr="00345A22" w:rsidR="00711A0C">
        <w:rPr>
          <w:rFonts w:ascii="Palatino Linotype" w:hAnsi="Palatino Linotype" w:cs="Times New Roman"/>
          <w:color w:val="000000"/>
        </w:rPr>
        <w:t xml:space="preserve">l Alcalde Metropolitano o a quien delegaré, </w:t>
      </w:r>
      <w:r w:rsidRPr="00345A22" w:rsidR="00481A56">
        <w:rPr>
          <w:rFonts w:ascii="Palatino Linotype" w:hAnsi="Palatino Linotype" w:cs="Times New Roman"/>
          <w:color w:val="000000"/>
        </w:rPr>
        <w:t>en cumplimiento</w:t>
      </w:r>
      <w:r w:rsidRPr="00345A22" w:rsidR="00CC3C05">
        <w:rPr>
          <w:rFonts w:ascii="Palatino Linotype" w:hAnsi="Palatino Linotype" w:cs="Times New Roman"/>
          <w:color w:val="000000"/>
        </w:rPr>
        <w:t xml:space="preserve"> con el ordenamiento jurídico vigente, </w:t>
      </w:r>
      <w:r w:rsidRPr="00345A22" w:rsidR="00711A0C">
        <w:rPr>
          <w:rFonts w:ascii="Palatino Linotype" w:hAnsi="Palatino Linotype" w:cs="Times New Roman"/>
          <w:color w:val="000000"/>
        </w:rPr>
        <w:t xml:space="preserve">suscriba el convenio de dación en pago con el Ministerio de Economía y Finanzas, </w:t>
      </w:r>
      <w:r w:rsidRPr="00345A22" w:rsidR="00231180">
        <w:rPr>
          <w:rFonts w:ascii="Palatino Linotype" w:hAnsi="Palatino Linotype" w:cs="Times New Roman"/>
          <w:color w:val="000000"/>
        </w:rPr>
        <w:t>para</w:t>
      </w:r>
      <w:r w:rsidRPr="00345A22" w:rsidR="00711A0C">
        <w:rPr>
          <w:rFonts w:ascii="Palatino Linotype" w:hAnsi="Palatino Linotype" w:cs="Times New Roman"/>
          <w:color w:val="000000"/>
        </w:rPr>
        <w:t xml:space="preserve"> </w:t>
      </w:r>
      <w:r w:rsidRPr="00345A22" w:rsidR="00700300">
        <w:rPr>
          <w:rFonts w:ascii="Palatino Linotype" w:hAnsi="Palatino Linotype" w:cs="Times New Roman"/>
          <w:color w:val="000000"/>
        </w:rPr>
        <w:t xml:space="preserve">que el Gobierno Autónomo Descentralizado del Distrito Metropolitano de Quito </w:t>
      </w:r>
      <w:r w:rsidRPr="00345A22" w:rsidR="00711A0C">
        <w:rPr>
          <w:rFonts w:ascii="Palatino Linotype" w:hAnsi="Palatino Linotype" w:cs="Times New Roman"/>
          <w:color w:val="000000"/>
        </w:rPr>
        <w:t>recib</w:t>
      </w:r>
      <w:r w:rsidRPr="00345A22" w:rsidR="00700300">
        <w:rPr>
          <w:rFonts w:ascii="Palatino Linotype" w:hAnsi="Palatino Linotype" w:cs="Times New Roman"/>
          <w:color w:val="000000"/>
        </w:rPr>
        <w:t>a</w:t>
      </w:r>
      <w:r w:rsidRPr="00345A22" w:rsidR="00C80EB7">
        <w:rPr>
          <w:rFonts w:ascii="Palatino Linotype" w:hAnsi="Palatino Linotype" w:cs="Times New Roman"/>
          <w:color w:val="000000"/>
        </w:rPr>
        <w:t xml:space="preserve"> el pago de obligaciones constituidas a </w:t>
      </w:r>
      <w:r w:rsidRPr="00345A22" w:rsidR="00700300">
        <w:rPr>
          <w:rFonts w:ascii="Palatino Linotype" w:hAnsi="Palatino Linotype" w:cs="Times New Roman"/>
          <w:color w:val="000000"/>
        </w:rPr>
        <w:t xml:space="preserve">su </w:t>
      </w:r>
      <w:r w:rsidRPr="00345A22" w:rsidR="00C80EB7">
        <w:rPr>
          <w:rFonts w:ascii="Palatino Linotype" w:hAnsi="Palatino Linotype" w:cs="Times New Roman"/>
          <w:color w:val="000000"/>
        </w:rPr>
        <w:t>favor, por el valor de USD. 111.857.864,87</w:t>
      </w:r>
      <w:r w:rsidRPr="00345A22" w:rsidR="00700300">
        <w:rPr>
          <w:rFonts w:ascii="Palatino Linotype" w:hAnsi="Palatino Linotype" w:cs="Times New Roman"/>
          <w:color w:val="000000"/>
        </w:rPr>
        <w:t>,</w:t>
      </w:r>
      <w:r w:rsidRPr="00345A22" w:rsidR="00C80EB7">
        <w:rPr>
          <w:rFonts w:ascii="Palatino Linotype" w:hAnsi="Palatino Linotype" w:cs="Times New Roman"/>
          <w:color w:val="000000"/>
        </w:rPr>
        <w:t xml:space="preserve"> mediante bonos</w:t>
      </w:r>
      <w:r w:rsidRPr="00345A22" w:rsidR="00385867">
        <w:rPr>
          <w:rFonts w:ascii="Palatino Linotype" w:hAnsi="Palatino Linotype" w:cs="Times New Roman"/>
          <w:color w:val="000000"/>
        </w:rPr>
        <w:t>,</w:t>
      </w:r>
      <w:r w:rsidRPr="00345A22" w:rsidR="00C80EB7">
        <w:rPr>
          <w:rFonts w:ascii="Palatino Linotype" w:hAnsi="Palatino Linotype" w:cs="Times New Roman"/>
          <w:color w:val="000000"/>
        </w:rPr>
        <w:t xml:space="preserve"> cuyas características y condiciones financieras se detallan a continuación:</w:t>
      </w:r>
    </w:p>
    <w:tbl>
      <w:tblPr>
        <w:tblW w:w="5000" w:type="pct"/>
        <w:tblCellMar>
          <w:left w:w="70" w:type="dxa"/>
          <w:right w:w="70" w:type="dxa"/>
        </w:tblCellMar>
        <w:tblLook w:val="04A0" w:firstRow="1" w:lastRow="0" w:firstColumn="1" w:lastColumn="0" w:noHBand="0" w:noVBand="1"/>
      </w:tblPr>
      <w:tblGrid>
        <w:gridCol w:w="888"/>
        <w:gridCol w:w="570"/>
        <w:gridCol w:w="679"/>
        <w:gridCol w:w="906"/>
        <w:gridCol w:w="759"/>
        <w:gridCol w:w="701"/>
        <w:gridCol w:w="871"/>
        <w:gridCol w:w="791"/>
        <w:gridCol w:w="971"/>
        <w:gridCol w:w="927"/>
        <w:gridCol w:w="953"/>
      </w:tblGrid>
      <w:tr w:rsidRPr="00513087" w:rsidR="00513087" w:rsidTr="00513087" w14:paraId="1F1A8D90" w14:textId="77777777">
        <w:trPr>
          <w:trHeight w:val="20"/>
        </w:trPr>
        <w:tc>
          <w:tcPr>
            <w:tcW w:w="480"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hideMark/>
          </w:tcPr>
          <w:p w:rsidRPr="00B87DDA" w:rsidR="00B87DDA" w:rsidP="00B87DDA" w:rsidRDefault="00B87DDA" w14:paraId="5962C101" w14:textId="77777777">
            <w:pPr>
              <w:spacing w:after="0" w:line="240" w:lineRule="auto"/>
              <w:jc w:val="center"/>
              <w:rPr>
                <w:rFonts w:ascii="Palatino Linotype" w:hAnsi="Palatino Linotype" w:eastAsia="Times New Roman" w:cs="Calibri"/>
                <w:b/>
                <w:bCs/>
                <w:color w:val="000000" w:themeColor="text1"/>
                <w:sz w:val="13"/>
                <w:szCs w:val="13"/>
                <w:lang w:eastAsia="es-EC"/>
              </w:rPr>
            </w:pPr>
            <w:r w:rsidRPr="00B87DDA">
              <w:rPr>
                <w:rFonts w:ascii="Palatino Linotype" w:hAnsi="Palatino Linotype" w:eastAsia="Times New Roman" w:cs="Calibri"/>
                <w:b/>
                <w:bCs/>
                <w:color w:val="000000" w:themeColor="text1"/>
                <w:sz w:val="13"/>
                <w:szCs w:val="13"/>
                <w:lang w:eastAsia="es-EC"/>
              </w:rPr>
              <w:t>Monto Nominal (A)</w:t>
            </w:r>
          </w:p>
        </w:tc>
        <w:tc>
          <w:tcPr>
            <w:tcW w:w="348" w:type="pct"/>
            <w:tcBorders>
              <w:top w:val="single" w:color="auto" w:sz="4" w:space="0"/>
              <w:left w:val="nil"/>
              <w:bottom w:val="single" w:color="auto" w:sz="4" w:space="0"/>
              <w:right w:val="single" w:color="auto" w:sz="4" w:space="0"/>
            </w:tcBorders>
            <w:shd w:val="clear" w:color="auto" w:fill="D0CECE" w:themeFill="background2" w:themeFillShade="E6"/>
            <w:vAlign w:val="center"/>
            <w:hideMark/>
          </w:tcPr>
          <w:p w:rsidRPr="00B87DDA" w:rsidR="00B87DDA" w:rsidP="00B87DDA" w:rsidRDefault="00B87DDA" w14:paraId="3C932E36" w14:textId="77777777">
            <w:pPr>
              <w:spacing w:after="0" w:line="240" w:lineRule="auto"/>
              <w:jc w:val="center"/>
              <w:rPr>
                <w:rFonts w:ascii="Palatino Linotype" w:hAnsi="Palatino Linotype" w:eastAsia="Times New Roman" w:cs="Calibri"/>
                <w:b/>
                <w:bCs/>
                <w:color w:val="000000" w:themeColor="text1"/>
                <w:sz w:val="13"/>
                <w:szCs w:val="13"/>
                <w:lang w:eastAsia="es-EC"/>
              </w:rPr>
            </w:pPr>
            <w:r w:rsidRPr="00B87DDA">
              <w:rPr>
                <w:rFonts w:ascii="Palatino Linotype" w:hAnsi="Palatino Linotype" w:eastAsia="Times New Roman" w:cs="Calibri"/>
                <w:b/>
                <w:bCs/>
                <w:color w:val="000000" w:themeColor="text1"/>
                <w:sz w:val="13"/>
                <w:szCs w:val="13"/>
                <w:lang w:eastAsia="es-EC"/>
              </w:rPr>
              <w:t>Plazo del título</w:t>
            </w:r>
          </w:p>
        </w:tc>
        <w:tc>
          <w:tcPr>
            <w:tcW w:w="414" w:type="pct"/>
            <w:tcBorders>
              <w:top w:val="single" w:color="auto" w:sz="4" w:space="0"/>
              <w:left w:val="nil"/>
              <w:bottom w:val="single" w:color="auto" w:sz="4" w:space="0"/>
              <w:right w:val="single" w:color="auto" w:sz="4" w:space="0"/>
            </w:tcBorders>
            <w:shd w:val="clear" w:color="auto" w:fill="D0CECE" w:themeFill="background2" w:themeFillShade="E6"/>
            <w:vAlign w:val="center"/>
            <w:hideMark/>
          </w:tcPr>
          <w:p w:rsidRPr="00B87DDA" w:rsidR="00B87DDA" w:rsidP="00B87DDA" w:rsidRDefault="00B87DDA" w14:paraId="7560A834" w14:textId="77777777">
            <w:pPr>
              <w:spacing w:after="0" w:line="240" w:lineRule="auto"/>
              <w:jc w:val="center"/>
              <w:rPr>
                <w:rFonts w:ascii="Palatino Linotype" w:hAnsi="Palatino Linotype" w:eastAsia="Times New Roman" w:cs="Calibri"/>
                <w:b/>
                <w:bCs/>
                <w:color w:val="000000" w:themeColor="text1"/>
                <w:sz w:val="13"/>
                <w:szCs w:val="13"/>
                <w:lang w:eastAsia="es-EC"/>
              </w:rPr>
            </w:pPr>
            <w:r w:rsidRPr="00B87DDA">
              <w:rPr>
                <w:rFonts w:ascii="Palatino Linotype" w:hAnsi="Palatino Linotype" w:eastAsia="Times New Roman" w:cs="Calibri"/>
                <w:b/>
                <w:bCs/>
                <w:color w:val="000000" w:themeColor="text1"/>
                <w:sz w:val="13"/>
                <w:szCs w:val="13"/>
                <w:lang w:eastAsia="es-EC"/>
              </w:rPr>
              <w:t>Fecha de emisión</w:t>
            </w:r>
          </w:p>
        </w:tc>
        <w:tc>
          <w:tcPr>
            <w:tcW w:w="475" w:type="pct"/>
            <w:tcBorders>
              <w:top w:val="single" w:color="auto" w:sz="4" w:space="0"/>
              <w:left w:val="nil"/>
              <w:bottom w:val="single" w:color="auto" w:sz="4" w:space="0"/>
              <w:right w:val="single" w:color="auto" w:sz="4" w:space="0"/>
            </w:tcBorders>
            <w:shd w:val="clear" w:color="auto" w:fill="D0CECE" w:themeFill="background2" w:themeFillShade="E6"/>
            <w:vAlign w:val="center"/>
            <w:hideMark/>
          </w:tcPr>
          <w:p w:rsidRPr="00B87DDA" w:rsidR="00B87DDA" w:rsidP="00B87DDA" w:rsidRDefault="00B87DDA" w14:paraId="1821C3E3" w14:textId="77777777">
            <w:pPr>
              <w:spacing w:after="0" w:line="240" w:lineRule="auto"/>
              <w:jc w:val="center"/>
              <w:rPr>
                <w:rFonts w:ascii="Palatino Linotype" w:hAnsi="Palatino Linotype" w:eastAsia="Times New Roman" w:cs="Calibri"/>
                <w:b/>
                <w:bCs/>
                <w:color w:val="000000" w:themeColor="text1"/>
                <w:sz w:val="13"/>
                <w:szCs w:val="13"/>
                <w:lang w:eastAsia="es-EC"/>
              </w:rPr>
            </w:pPr>
            <w:r w:rsidRPr="00B87DDA">
              <w:rPr>
                <w:rFonts w:ascii="Palatino Linotype" w:hAnsi="Palatino Linotype" w:eastAsia="Times New Roman" w:cs="Calibri"/>
                <w:b/>
                <w:bCs/>
                <w:color w:val="000000" w:themeColor="text1"/>
                <w:sz w:val="13"/>
                <w:szCs w:val="13"/>
                <w:lang w:eastAsia="es-EC"/>
              </w:rPr>
              <w:t>Fecha de Vencimiento</w:t>
            </w:r>
          </w:p>
        </w:tc>
        <w:tc>
          <w:tcPr>
            <w:tcW w:w="494" w:type="pct"/>
            <w:tcBorders>
              <w:top w:val="single" w:color="auto" w:sz="4" w:space="0"/>
              <w:left w:val="nil"/>
              <w:bottom w:val="single" w:color="auto" w:sz="4" w:space="0"/>
              <w:right w:val="single" w:color="auto" w:sz="4" w:space="0"/>
            </w:tcBorders>
            <w:shd w:val="clear" w:color="auto" w:fill="D0CECE" w:themeFill="background2" w:themeFillShade="E6"/>
            <w:vAlign w:val="center"/>
            <w:hideMark/>
          </w:tcPr>
          <w:p w:rsidRPr="00B87DDA" w:rsidR="00B87DDA" w:rsidP="00B87DDA" w:rsidRDefault="00B87DDA" w14:paraId="62648BA4" w14:textId="3771337B">
            <w:pPr>
              <w:spacing w:after="0" w:line="240" w:lineRule="auto"/>
              <w:jc w:val="center"/>
              <w:rPr>
                <w:rFonts w:ascii="Palatino Linotype" w:hAnsi="Palatino Linotype" w:eastAsia="Times New Roman" w:cs="Calibri"/>
                <w:b/>
                <w:bCs/>
                <w:color w:val="000000" w:themeColor="text1"/>
                <w:sz w:val="13"/>
                <w:szCs w:val="13"/>
                <w:lang w:eastAsia="es-EC"/>
              </w:rPr>
            </w:pPr>
            <w:r w:rsidRPr="00B87DDA">
              <w:rPr>
                <w:rFonts w:ascii="Palatino Linotype" w:hAnsi="Palatino Linotype" w:eastAsia="Times New Roman" w:cs="Calibri"/>
                <w:b/>
                <w:bCs/>
                <w:color w:val="000000" w:themeColor="text1"/>
                <w:sz w:val="13"/>
                <w:szCs w:val="13"/>
                <w:lang w:eastAsia="es-EC"/>
              </w:rPr>
              <w:t xml:space="preserve">Tasa de </w:t>
            </w:r>
            <w:r w:rsidRPr="00513087">
              <w:rPr>
                <w:rFonts w:ascii="Palatino Linotype" w:hAnsi="Palatino Linotype" w:eastAsia="Times New Roman" w:cs="Calibri"/>
                <w:b/>
                <w:bCs/>
                <w:color w:val="000000" w:themeColor="text1"/>
                <w:sz w:val="13"/>
                <w:szCs w:val="13"/>
                <w:lang w:eastAsia="es-EC"/>
              </w:rPr>
              <w:t>I</w:t>
            </w:r>
            <w:r w:rsidRPr="00B87DDA">
              <w:rPr>
                <w:rFonts w:ascii="Palatino Linotype" w:hAnsi="Palatino Linotype" w:eastAsia="Times New Roman" w:cs="Calibri"/>
                <w:b/>
                <w:bCs/>
                <w:color w:val="000000" w:themeColor="text1"/>
                <w:sz w:val="13"/>
                <w:szCs w:val="13"/>
                <w:lang w:eastAsia="es-EC"/>
              </w:rPr>
              <w:t>nt</w:t>
            </w:r>
            <w:r w:rsidRPr="00513087">
              <w:rPr>
                <w:rFonts w:ascii="Palatino Linotype" w:hAnsi="Palatino Linotype" w:eastAsia="Times New Roman" w:cs="Calibri"/>
                <w:b/>
                <w:bCs/>
                <w:color w:val="000000" w:themeColor="text1"/>
                <w:sz w:val="13"/>
                <w:szCs w:val="13"/>
                <w:lang w:eastAsia="es-EC"/>
              </w:rPr>
              <w:t>.</w:t>
            </w:r>
            <w:r w:rsidRPr="00B87DDA">
              <w:rPr>
                <w:rFonts w:ascii="Palatino Linotype" w:hAnsi="Palatino Linotype" w:eastAsia="Times New Roman" w:cs="Calibri"/>
                <w:b/>
                <w:bCs/>
                <w:color w:val="000000" w:themeColor="text1"/>
                <w:sz w:val="13"/>
                <w:szCs w:val="13"/>
                <w:lang w:eastAsia="es-EC"/>
              </w:rPr>
              <w:t>/Desc</w:t>
            </w:r>
            <w:r w:rsidRPr="00513087">
              <w:rPr>
                <w:rFonts w:ascii="Palatino Linotype" w:hAnsi="Palatino Linotype" w:eastAsia="Times New Roman" w:cs="Calibri"/>
                <w:b/>
                <w:bCs/>
                <w:color w:val="000000" w:themeColor="text1"/>
                <w:sz w:val="13"/>
                <w:szCs w:val="13"/>
                <w:lang w:eastAsia="es-EC"/>
              </w:rPr>
              <w:t>.</w:t>
            </w:r>
          </w:p>
        </w:tc>
        <w:tc>
          <w:tcPr>
            <w:tcW w:w="436" w:type="pct"/>
            <w:tcBorders>
              <w:top w:val="single" w:color="auto" w:sz="4" w:space="0"/>
              <w:left w:val="nil"/>
              <w:bottom w:val="single" w:color="auto" w:sz="4" w:space="0"/>
              <w:right w:val="single" w:color="auto" w:sz="4" w:space="0"/>
            </w:tcBorders>
            <w:shd w:val="clear" w:color="auto" w:fill="D0CECE" w:themeFill="background2" w:themeFillShade="E6"/>
            <w:vAlign w:val="center"/>
            <w:hideMark/>
          </w:tcPr>
          <w:p w:rsidRPr="00B87DDA" w:rsidR="00B87DDA" w:rsidP="00B87DDA" w:rsidRDefault="00B87DDA" w14:paraId="464E0AEA" w14:textId="278BA8A5">
            <w:pPr>
              <w:spacing w:after="0" w:line="240" w:lineRule="auto"/>
              <w:jc w:val="center"/>
              <w:rPr>
                <w:rFonts w:ascii="Palatino Linotype" w:hAnsi="Palatino Linotype" w:eastAsia="Times New Roman" w:cs="Calibri"/>
                <w:b/>
                <w:bCs/>
                <w:color w:val="000000" w:themeColor="text1"/>
                <w:sz w:val="13"/>
                <w:szCs w:val="13"/>
                <w:lang w:eastAsia="es-EC"/>
              </w:rPr>
            </w:pPr>
            <w:r w:rsidRPr="00B87DDA">
              <w:rPr>
                <w:rFonts w:ascii="Palatino Linotype" w:hAnsi="Palatino Linotype" w:eastAsia="Times New Roman" w:cs="Calibri"/>
                <w:b/>
                <w:bCs/>
                <w:color w:val="000000" w:themeColor="text1"/>
                <w:sz w:val="13"/>
                <w:szCs w:val="13"/>
                <w:lang w:eastAsia="es-EC"/>
              </w:rPr>
              <w:t>Pago de Interés</w:t>
            </w:r>
          </w:p>
        </w:tc>
        <w:tc>
          <w:tcPr>
            <w:tcW w:w="530" w:type="pct"/>
            <w:tcBorders>
              <w:top w:val="single" w:color="auto" w:sz="4" w:space="0"/>
              <w:left w:val="nil"/>
              <w:bottom w:val="single" w:color="auto" w:sz="4" w:space="0"/>
              <w:right w:val="single" w:color="auto" w:sz="4" w:space="0"/>
            </w:tcBorders>
            <w:shd w:val="clear" w:color="auto" w:fill="D0CECE" w:themeFill="background2" w:themeFillShade="E6"/>
            <w:vAlign w:val="center"/>
            <w:hideMark/>
          </w:tcPr>
          <w:p w:rsidRPr="00B87DDA" w:rsidR="00B87DDA" w:rsidP="00513087" w:rsidRDefault="00B87DDA" w14:paraId="3B0581E8" w14:textId="6260514F">
            <w:pPr>
              <w:spacing w:after="0" w:line="240" w:lineRule="auto"/>
              <w:jc w:val="center"/>
              <w:rPr>
                <w:rFonts w:ascii="Palatino Linotype" w:hAnsi="Palatino Linotype" w:eastAsia="Times New Roman" w:cs="Calibri"/>
                <w:b/>
                <w:bCs/>
                <w:color w:val="000000" w:themeColor="text1"/>
                <w:sz w:val="13"/>
                <w:szCs w:val="13"/>
                <w:lang w:eastAsia="es-EC"/>
              </w:rPr>
            </w:pPr>
            <w:r w:rsidRPr="00B87DDA">
              <w:rPr>
                <w:rFonts w:ascii="Palatino Linotype" w:hAnsi="Palatino Linotype" w:eastAsia="Times New Roman" w:cs="Calibri"/>
                <w:b/>
                <w:bCs/>
                <w:color w:val="000000" w:themeColor="text1"/>
                <w:sz w:val="13"/>
                <w:szCs w:val="13"/>
                <w:lang w:eastAsia="es-EC"/>
              </w:rPr>
              <w:t>Pago de Amort</w:t>
            </w:r>
            <w:r w:rsidRPr="00513087" w:rsidR="00513087">
              <w:rPr>
                <w:rFonts w:ascii="Palatino Linotype" w:hAnsi="Palatino Linotype" w:eastAsia="Times New Roman" w:cs="Calibri"/>
                <w:b/>
                <w:bCs/>
                <w:color w:val="000000" w:themeColor="text1"/>
                <w:sz w:val="13"/>
                <w:szCs w:val="13"/>
                <w:lang w:eastAsia="es-EC"/>
              </w:rPr>
              <w:t>.</w:t>
            </w:r>
          </w:p>
        </w:tc>
        <w:tc>
          <w:tcPr>
            <w:tcW w:w="486" w:type="pct"/>
            <w:tcBorders>
              <w:top w:val="single" w:color="auto" w:sz="4" w:space="0"/>
              <w:left w:val="nil"/>
              <w:bottom w:val="single" w:color="auto" w:sz="4" w:space="0"/>
              <w:right w:val="single" w:color="auto" w:sz="4" w:space="0"/>
            </w:tcBorders>
            <w:shd w:val="clear" w:color="auto" w:fill="D0CECE" w:themeFill="background2" w:themeFillShade="E6"/>
            <w:vAlign w:val="center"/>
            <w:hideMark/>
          </w:tcPr>
          <w:p w:rsidRPr="00B87DDA" w:rsidR="00B87DDA" w:rsidP="00B87DDA" w:rsidRDefault="00B87DDA" w14:paraId="5D558562" w14:textId="77777777">
            <w:pPr>
              <w:spacing w:after="0" w:line="240" w:lineRule="auto"/>
              <w:jc w:val="center"/>
              <w:rPr>
                <w:rFonts w:ascii="Palatino Linotype" w:hAnsi="Palatino Linotype" w:eastAsia="Times New Roman" w:cs="Calibri"/>
                <w:b/>
                <w:bCs/>
                <w:color w:val="000000" w:themeColor="text1"/>
                <w:sz w:val="13"/>
                <w:szCs w:val="13"/>
                <w:lang w:eastAsia="es-EC"/>
              </w:rPr>
            </w:pPr>
            <w:r w:rsidRPr="00B87DDA">
              <w:rPr>
                <w:rFonts w:ascii="Palatino Linotype" w:hAnsi="Palatino Linotype" w:eastAsia="Times New Roman" w:cs="Calibri"/>
                <w:b/>
                <w:bCs/>
                <w:color w:val="000000" w:themeColor="text1"/>
                <w:sz w:val="13"/>
                <w:szCs w:val="13"/>
                <w:lang w:eastAsia="es-EC"/>
              </w:rPr>
              <w:t>Fecha Valor</w:t>
            </w:r>
          </w:p>
        </w:tc>
        <w:tc>
          <w:tcPr>
            <w:tcW w:w="409" w:type="pct"/>
            <w:tcBorders>
              <w:top w:val="single" w:color="auto" w:sz="4" w:space="0"/>
              <w:left w:val="nil"/>
              <w:bottom w:val="single" w:color="auto" w:sz="4" w:space="0"/>
              <w:right w:val="single" w:color="auto" w:sz="4" w:space="0"/>
            </w:tcBorders>
            <w:shd w:val="clear" w:color="auto" w:fill="D0CECE" w:themeFill="background2" w:themeFillShade="E6"/>
            <w:vAlign w:val="center"/>
            <w:hideMark/>
          </w:tcPr>
          <w:p w:rsidRPr="00B87DDA" w:rsidR="00B87DDA" w:rsidP="00B87DDA" w:rsidRDefault="00B87DDA" w14:paraId="34EAF438" w14:textId="77777777">
            <w:pPr>
              <w:spacing w:after="0" w:line="240" w:lineRule="auto"/>
              <w:jc w:val="center"/>
              <w:rPr>
                <w:rFonts w:ascii="Palatino Linotype" w:hAnsi="Palatino Linotype" w:eastAsia="Times New Roman" w:cs="Calibri"/>
                <w:b/>
                <w:bCs/>
                <w:color w:val="000000" w:themeColor="text1"/>
                <w:sz w:val="13"/>
                <w:szCs w:val="13"/>
                <w:lang w:eastAsia="es-EC"/>
              </w:rPr>
            </w:pPr>
            <w:r w:rsidRPr="00B87DDA">
              <w:rPr>
                <w:rFonts w:ascii="Palatino Linotype" w:hAnsi="Palatino Linotype" w:eastAsia="Times New Roman" w:cs="Calibri"/>
                <w:b/>
                <w:bCs/>
                <w:color w:val="000000" w:themeColor="text1"/>
                <w:sz w:val="13"/>
                <w:szCs w:val="13"/>
                <w:lang w:eastAsia="es-EC"/>
              </w:rPr>
              <w:t>Días Transcurridos</w:t>
            </w:r>
          </w:p>
        </w:tc>
        <w:tc>
          <w:tcPr>
            <w:tcW w:w="480" w:type="pct"/>
            <w:tcBorders>
              <w:top w:val="single" w:color="auto" w:sz="4" w:space="0"/>
              <w:left w:val="nil"/>
              <w:bottom w:val="single" w:color="auto" w:sz="4" w:space="0"/>
              <w:right w:val="single" w:color="auto" w:sz="4" w:space="0"/>
            </w:tcBorders>
            <w:shd w:val="clear" w:color="auto" w:fill="D0CECE" w:themeFill="background2" w:themeFillShade="E6"/>
            <w:vAlign w:val="center"/>
            <w:hideMark/>
          </w:tcPr>
          <w:p w:rsidRPr="00B87DDA" w:rsidR="00B87DDA" w:rsidP="00B87DDA" w:rsidRDefault="00B87DDA" w14:paraId="34A7C63C" w14:textId="77777777">
            <w:pPr>
              <w:spacing w:after="0" w:line="240" w:lineRule="auto"/>
              <w:jc w:val="center"/>
              <w:rPr>
                <w:rFonts w:ascii="Palatino Linotype" w:hAnsi="Palatino Linotype" w:eastAsia="Times New Roman" w:cs="Calibri"/>
                <w:b/>
                <w:bCs/>
                <w:color w:val="000000" w:themeColor="text1"/>
                <w:sz w:val="13"/>
                <w:szCs w:val="13"/>
                <w:lang w:eastAsia="es-EC"/>
              </w:rPr>
            </w:pPr>
            <w:r w:rsidRPr="00B87DDA">
              <w:rPr>
                <w:rFonts w:ascii="Palatino Linotype" w:hAnsi="Palatino Linotype" w:eastAsia="Times New Roman" w:cs="Calibri"/>
                <w:b/>
                <w:bCs/>
                <w:color w:val="000000" w:themeColor="text1"/>
                <w:sz w:val="13"/>
                <w:szCs w:val="13"/>
                <w:lang w:eastAsia="es-EC"/>
              </w:rPr>
              <w:t>Monto de Interés por días transcurridos (B)</w:t>
            </w:r>
          </w:p>
        </w:tc>
        <w:tc>
          <w:tcPr>
            <w:tcW w:w="447" w:type="pct"/>
            <w:tcBorders>
              <w:top w:val="single" w:color="auto" w:sz="4" w:space="0"/>
              <w:left w:val="nil"/>
              <w:bottom w:val="single" w:color="auto" w:sz="4" w:space="0"/>
              <w:right w:val="single" w:color="auto" w:sz="4" w:space="0"/>
            </w:tcBorders>
            <w:shd w:val="clear" w:color="auto" w:fill="D0CECE" w:themeFill="background2" w:themeFillShade="E6"/>
            <w:vAlign w:val="center"/>
            <w:hideMark/>
          </w:tcPr>
          <w:p w:rsidRPr="00B87DDA" w:rsidR="00B87DDA" w:rsidP="00B87DDA" w:rsidRDefault="00B87DDA" w14:paraId="236CC6FD" w14:textId="77777777">
            <w:pPr>
              <w:spacing w:after="0" w:line="240" w:lineRule="auto"/>
              <w:jc w:val="center"/>
              <w:rPr>
                <w:rFonts w:ascii="Palatino Linotype" w:hAnsi="Palatino Linotype" w:eastAsia="Times New Roman" w:cs="Calibri"/>
                <w:b/>
                <w:bCs/>
                <w:color w:val="000000" w:themeColor="text1"/>
                <w:sz w:val="13"/>
                <w:szCs w:val="13"/>
                <w:lang w:eastAsia="es-EC"/>
              </w:rPr>
            </w:pPr>
            <w:r w:rsidRPr="00B87DDA">
              <w:rPr>
                <w:rFonts w:ascii="Palatino Linotype" w:hAnsi="Palatino Linotype" w:eastAsia="Times New Roman" w:cs="Calibri"/>
                <w:b/>
                <w:bCs/>
                <w:color w:val="000000" w:themeColor="text1"/>
                <w:sz w:val="13"/>
                <w:szCs w:val="13"/>
                <w:lang w:eastAsia="es-EC"/>
              </w:rPr>
              <w:t>Precio Sucio (USD)</w:t>
            </w:r>
          </w:p>
        </w:tc>
      </w:tr>
      <w:tr w:rsidRPr="00513087" w:rsidR="00B87DDA" w:rsidTr="00B87DDA" w14:paraId="22E8B36E" w14:textId="77777777">
        <w:trPr>
          <w:trHeight w:val="20"/>
        </w:trPr>
        <w:tc>
          <w:tcPr>
            <w:tcW w:w="480" w:type="pct"/>
            <w:tcBorders>
              <w:top w:val="nil"/>
              <w:left w:val="single" w:color="auto" w:sz="4" w:space="0"/>
              <w:bottom w:val="single" w:color="auto" w:sz="4" w:space="0"/>
              <w:right w:val="single" w:color="auto" w:sz="4" w:space="0"/>
            </w:tcBorders>
            <w:shd w:val="clear" w:color="000000" w:fill="FFFFFF"/>
            <w:noWrap/>
            <w:vAlign w:val="center"/>
            <w:hideMark/>
          </w:tcPr>
          <w:p w:rsidRPr="00B87DDA" w:rsidR="00B87DDA" w:rsidP="00513087" w:rsidRDefault="00B87DDA" w14:paraId="58B582E3" w14:textId="7443005B">
            <w:pPr>
              <w:spacing w:after="0" w:line="240" w:lineRule="auto"/>
              <w:jc w:val="right"/>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40.099.383,55</w:t>
            </w:r>
          </w:p>
        </w:tc>
        <w:tc>
          <w:tcPr>
            <w:tcW w:w="348" w:type="pct"/>
            <w:tcBorders>
              <w:top w:val="nil"/>
              <w:left w:val="nil"/>
              <w:bottom w:val="single" w:color="auto" w:sz="4" w:space="0"/>
              <w:right w:val="single" w:color="auto" w:sz="4" w:space="0"/>
            </w:tcBorders>
            <w:shd w:val="clear" w:color="000000" w:fill="FFFFFF"/>
            <w:noWrap/>
            <w:vAlign w:val="center"/>
            <w:hideMark/>
          </w:tcPr>
          <w:p w:rsidRPr="00B87DDA" w:rsidR="00B87DDA" w:rsidP="00513087" w:rsidRDefault="00B87DDA" w14:paraId="466B136F" w14:textId="77777777">
            <w:pPr>
              <w:spacing w:after="0" w:line="240" w:lineRule="auto"/>
              <w:jc w:val="center"/>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3 años</w:t>
            </w:r>
          </w:p>
        </w:tc>
        <w:tc>
          <w:tcPr>
            <w:tcW w:w="414" w:type="pct"/>
            <w:tcBorders>
              <w:top w:val="nil"/>
              <w:left w:val="nil"/>
              <w:bottom w:val="single" w:color="auto" w:sz="4" w:space="0"/>
              <w:right w:val="single" w:color="auto" w:sz="4" w:space="0"/>
            </w:tcBorders>
            <w:shd w:val="clear" w:color="000000" w:fill="FFFFFF"/>
            <w:vAlign w:val="center"/>
            <w:hideMark/>
          </w:tcPr>
          <w:p w:rsidRPr="00B87DDA" w:rsidR="00B87DDA" w:rsidP="00B87DDA" w:rsidRDefault="00B87DDA" w14:paraId="14D5626B" w14:textId="77777777">
            <w:pPr>
              <w:spacing w:after="0" w:line="240" w:lineRule="auto"/>
              <w:jc w:val="center"/>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2/3/2023</w:t>
            </w:r>
          </w:p>
        </w:tc>
        <w:tc>
          <w:tcPr>
            <w:tcW w:w="475" w:type="pct"/>
            <w:tcBorders>
              <w:top w:val="nil"/>
              <w:left w:val="nil"/>
              <w:bottom w:val="single" w:color="auto" w:sz="4" w:space="0"/>
              <w:right w:val="single" w:color="auto" w:sz="4" w:space="0"/>
            </w:tcBorders>
            <w:shd w:val="clear" w:color="000000" w:fill="FFFFFF"/>
            <w:noWrap/>
            <w:vAlign w:val="center"/>
            <w:hideMark/>
          </w:tcPr>
          <w:p w:rsidRPr="00B87DDA" w:rsidR="00B87DDA" w:rsidP="00B87DDA" w:rsidRDefault="00B87DDA" w14:paraId="592D5539" w14:textId="77777777">
            <w:pPr>
              <w:spacing w:after="0" w:line="240" w:lineRule="auto"/>
              <w:jc w:val="center"/>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2/3/2026</w:t>
            </w:r>
          </w:p>
        </w:tc>
        <w:tc>
          <w:tcPr>
            <w:tcW w:w="494" w:type="pct"/>
            <w:tcBorders>
              <w:top w:val="nil"/>
              <w:left w:val="nil"/>
              <w:bottom w:val="single" w:color="auto" w:sz="4" w:space="0"/>
              <w:right w:val="single" w:color="auto" w:sz="4" w:space="0"/>
            </w:tcBorders>
            <w:shd w:val="clear" w:color="000000" w:fill="FFFFFF"/>
            <w:noWrap/>
            <w:vAlign w:val="center"/>
            <w:hideMark/>
          </w:tcPr>
          <w:p w:rsidRPr="00B87DDA" w:rsidR="00B87DDA" w:rsidP="00B87DDA" w:rsidRDefault="00B87DDA" w14:paraId="3B2B47F2" w14:textId="77777777">
            <w:pPr>
              <w:spacing w:after="0" w:line="240" w:lineRule="auto"/>
              <w:jc w:val="center"/>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6,1653%</w:t>
            </w:r>
          </w:p>
        </w:tc>
        <w:tc>
          <w:tcPr>
            <w:tcW w:w="436" w:type="pct"/>
            <w:tcBorders>
              <w:top w:val="nil"/>
              <w:left w:val="nil"/>
              <w:bottom w:val="single" w:color="auto" w:sz="4" w:space="0"/>
              <w:right w:val="single" w:color="auto" w:sz="4" w:space="0"/>
            </w:tcBorders>
            <w:shd w:val="clear" w:color="000000" w:fill="FFFFFF"/>
            <w:noWrap/>
            <w:vAlign w:val="center"/>
            <w:hideMark/>
          </w:tcPr>
          <w:p w:rsidRPr="00B87DDA" w:rsidR="00B87DDA" w:rsidP="00B87DDA" w:rsidRDefault="00B87DDA" w14:paraId="0673D966" w14:textId="77777777">
            <w:pPr>
              <w:spacing w:after="0" w:line="240" w:lineRule="auto"/>
              <w:jc w:val="center"/>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semestral</w:t>
            </w:r>
          </w:p>
        </w:tc>
        <w:tc>
          <w:tcPr>
            <w:tcW w:w="530" w:type="pct"/>
            <w:tcBorders>
              <w:top w:val="nil"/>
              <w:left w:val="nil"/>
              <w:bottom w:val="single" w:color="auto" w:sz="4" w:space="0"/>
              <w:right w:val="single" w:color="auto" w:sz="4" w:space="0"/>
            </w:tcBorders>
            <w:shd w:val="clear" w:color="000000" w:fill="FFFFFF"/>
            <w:noWrap/>
            <w:vAlign w:val="center"/>
            <w:hideMark/>
          </w:tcPr>
          <w:p w:rsidRPr="00B87DDA" w:rsidR="00B87DDA" w:rsidP="00513087" w:rsidRDefault="00B87DDA" w14:paraId="2567C04D" w14:textId="02600B15">
            <w:pPr>
              <w:spacing w:after="0" w:line="240" w:lineRule="auto"/>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vencimiento</w:t>
            </w:r>
          </w:p>
        </w:tc>
        <w:tc>
          <w:tcPr>
            <w:tcW w:w="486" w:type="pct"/>
            <w:tcBorders>
              <w:top w:val="nil"/>
              <w:left w:val="nil"/>
              <w:bottom w:val="single" w:color="auto" w:sz="4" w:space="0"/>
              <w:right w:val="single" w:color="auto" w:sz="4" w:space="0"/>
            </w:tcBorders>
            <w:shd w:val="clear" w:color="000000" w:fill="FFFFFF"/>
            <w:vAlign w:val="center"/>
            <w:hideMark/>
          </w:tcPr>
          <w:p w:rsidRPr="00B87DDA" w:rsidR="00B87DDA" w:rsidP="00B87DDA" w:rsidRDefault="00B87DDA" w14:paraId="1848FDD3" w14:textId="77777777">
            <w:pPr>
              <w:spacing w:after="0" w:line="240" w:lineRule="auto"/>
              <w:jc w:val="center"/>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27/9/2023</w:t>
            </w:r>
          </w:p>
        </w:tc>
        <w:tc>
          <w:tcPr>
            <w:tcW w:w="409" w:type="pct"/>
            <w:tcBorders>
              <w:top w:val="nil"/>
              <w:left w:val="nil"/>
              <w:bottom w:val="single" w:color="auto" w:sz="4" w:space="0"/>
              <w:right w:val="single" w:color="auto" w:sz="4" w:space="0"/>
            </w:tcBorders>
            <w:shd w:val="clear" w:color="000000" w:fill="FFFFFF"/>
            <w:noWrap/>
            <w:vAlign w:val="center"/>
            <w:hideMark/>
          </w:tcPr>
          <w:p w:rsidRPr="00B87DDA" w:rsidR="00B87DDA" w:rsidP="00B87DDA" w:rsidRDefault="00B87DDA" w14:paraId="433E55CD" w14:textId="77777777">
            <w:pPr>
              <w:spacing w:after="0" w:line="240" w:lineRule="auto"/>
              <w:jc w:val="center"/>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25</w:t>
            </w:r>
          </w:p>
        </w:tc>
        <w:tc>
          <w:tcPr>
            <w:tcW w:w="480" w:type="pct"/>
            <w:tcBorders>
              <w:top w:val="nil"/>
              <w:left w:val="nil"/>
              <w:bottom w:val="single" w:color="auto" w:sz="4" w:space="0"/>
              <w:right w:val="single" w:color="auto" w:sz="4" w:space="0"/>
            </w:tcBorders>
            <w:shd w:val="clear" w:color="000000" w:fill="FFFFFF"/>
            <w:noWrap/>
            <w:vAlign w:val="center"/>
            <w:hideMark/>
          </w:tcPr>
          <w:p w:rsidRPr="00B87DDA" w:rsidR="00B87DDA" w:rsidP="00B87DDA" w:rsidRDefault="00B87DDA" w14:paraId="496E849F" w14:textId="2474D6FD">
            <w:pPr>
              <w:spacing w:after="0" w:line="240" w:lineRule="auto"/>
              <w:jc w:val="right"/>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171.683,84</w:t>
            </w:r>
          </w:p>
        </w:tc>
        <w:tc>
          <w:tcPr>
            <w:tcW w:w="447" w:type="pct"/>
            <w:tcBorders>
              <w:top w:val="nil"/>
              <w:left w:val="nil"/>
              <w:bottom w:val="single" w:color="auto" w:sz="4" w:space="0"/>
              <w:right w:val="single" w:color="auto" w:sz="4" w:space="0"/>
            </w:tcBorders>
            <w:shd w:val="clear" w:color="auto" w:fill="auto"/>
            <w:noWrap/>
            <w:vAlign w:val="center"/>
            <w:hideMark/>
          </w:tcPr>
          <w:p w:rsidRPr="00B87DDA" w:rsidR="00B87DDA" w:rsidP="00B87DDA" w:rsidRDefault="00B87DDA" w14:paraId="2FE297DD" w14:textId="0C24CF87">
            <w:pPr>
              <w:spacing w:after="0" w:line="240" w:lineRule="auto"/>
              <w:jc w:val="right"/>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40.268.831,35</w:t>
            </w:r>
          </w:p>
        </w:tc>
      </w:tr>
      <w:tr w:rsidRPr="00513087" w:rsidR="00B87DDA" w:rsidTr="00B87DDA" w14:paraId="547B045D" w14:textId="77777777">
        <w:trPr>
          <w:trHeight w:val="20"/>
        </w:trPr>
        <w:tc>
          <w:tcPr>
            <w:tcW w:w="480" w:type="pct"/>
            <w:tcBorders>
              <w:top w:val="nil"/>
              <w:left w:val="single" w:color="auto" w:sz="4" w:space="0"/>
              <w:bottom w:val="single" w:color="auto" w:sz="4" w:space="0"/>
              <w:right w:val="single" w:color="auto" w:sz="4" w:space="0"/>
            </w:tcBorders>
            <w:shd w:val="clear" w:color="000000" w:fill="FFFFFF"/>
            <w:noWrap/>
            <w:vAlign w:val="center"/>
            <w:hideMark/>
          </w:tcPr>
          <w:p w:rsidRPr="00B87DDA" w:rsidR="00B87DDA" w:rsidP="00513087" w:rsidRDefault="00B87DDA" w14:paraId="54385B00" w14:textId="009A97B1">
            <w:pPr>
              <w:spacing w:after="0" w:line="240" w:lineRule="auto"/>
              <w:jc w:val="right"/>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40.135.838,53</w:t>
            </w:r>
          </w:p>
        </w:tc>
        <w:tc>
          <w:tcPr>
            <w:tcW w:w="348" w:type="pct"/>
            <w:tcBorders>
              <w:top w:val="nil"/>
              <w:left w:val="nil"/>
              <w:bottom w:val="single" w:color="auto" w:sz="4" w:space="0"/>
              <w:right w:val="single" w:color="auto" w:sz="4" w:space="0"/>
            </w:tcBorders>
            <w:shd w:val="clear" w:color="000000" w:fill="FFFFFF"/>
            <w:noWrap/>
            <w:vAlign w:val="center"/>
            <w:hideMark/>
          </w:tcPr>
          <w:p w:rsidRPr="00B87DDA" w:rsidR="00B87DDA" w:rsidP="00513087" w:rsidRDefault="00B87DDA" w14:paraId="1107F940" w14:textId="77777777">
            <w:pPr>
              <w:spacing w:after="0" w:line="240" w:lineRule="auto"/>
              <w:jc w:val="center"/>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5 años</w:t>
            </w:r>
          </w:p>
        </w:tc>
        <w:tc>
          <w:tcPr>
            <w:tcW w:w="414" w:type="pct"/>
            <w:tcBorders>
              <w:top w:val="nil"/>
              <w:left w:val="nil"/>
              <w:bottom w:val="single" w:color="auto" w:sz="4" w:space="0"/>
              <w:right w:val="single" w:color="auto" w:sz="4" w:space="0"/>
            </w:tcBorders>
            <w:shd w:val="clear" w:color="000000" w:fill="FFFFFF"/>
            <w:vAlign w:val="center"/>
            <w:hideMark/>
          </w:tcPr>
          <w:p w:rsidRPr="00B87DDA" w:rsidR="00B87DDA" w:rsidP="00B87DDA" w:rsidRDefault="00B87DDA" w14:paraId="79F1D574" w14:textId="77777777">
            <w:pPr>
              <w:spacing w:after="0" w:line="240" w:lineRule="auto"/>
              <w:jc w:val="center"/>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10/3/2023</w:t>
            </w:r>
          </w:p>
        </w:tc>
        <w:tc>
          <w:tcPr>
            <w:tcW w:w="475" w:type="pct"/>
            <w:tcBorders>
              <w:top w:val="nil"/>
              <w:left w:val="nil"/>
              <w:bottom w:val="single" w:color="auto" w:sz="4" w:space="0"/>
              <w:right w:val="single" w:color="auto" w:sz="4" w:space="0"/>
            </w:tcBorders>
            <w:shd w:val="clear" w:color="000000" w:fill="FFFFFF"/>
            <w:noWrap/>
            <w:vAlign w:val="center"/>
            <w:hideMark/>
          </w:tcPr>
          <w:p w:rsidRPr="00B87DDA" w:rsidR="00B87DDA" w:rsidP="00B87DDA" w:rsidRDefault="00B87DDA" w14:paraId="4D96AEBD" w14:textId="77777777">
            <w:pPr>
              <w:spacing w:after="0" w:line="240" w:lineRule="auto"/>
              <w:jc w:val="center"/>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10/3/2028</w:t>
            </w:r>
          </w:p>
        </w:tc>
        <w:tc>
          <w:tcPr>
            <w:tcW w:w="494" w:type="pct"/>
            <w:tcBorders>
              <w:top w:val="nil"/>
              <w:left w:val="nil"/>
              <w:bottom w:val="single" w:color="auto" w:sz="4" w:space="0"/>
              <w:right w:val="single" w:color="auto" w:sz="4" w:space="0"/>
            </w:tcBorders>
            <w:shd w:val="clear" w:color="000000" w:fill="FFFFFF"/>
            <w:noWrap/>
            <w:vAlign w:val="center"/>
            <w:hideMark/>
          </w:tcPr>
          <w:p w:rsidRPr="00B87DDA" w:rsidR="00B87DDA" w:rsidP="00B87DDA" w:rsidRDefault="00B87DDA" w14:paraId="28BA5C35" w14:textId="77777777">
            <w:pPr>
              <w:spacing w:after="0" w:line="240" w:lineRule="auto"/>
              <w:jc w:val="center"/>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7,1295%</w:t>
            </w:r>
          </w:p>
        </w:tc>
        <w:tc>
          <w:tcPr>
            <w:tcW w:w="436" w:type="pct"/>
            <w:tcBorders>
              <w:top w:val="nil"/>
              <w:left w:val="nil"/>
              <w:bottom w:val="single" w:color="auto" w:sz="4" w:space="0"/>
              <w:right w:val="single" w:color="auto" w:sz="4" w:space="0"/>
            </w:tcBorders>
            <w:shd w:val="clear" w:color="000000" w:fill="FFFFFF"/>
            <w:noWrap/>
            <w:vAlign w:val="center"/>
            <w:hideMark/>
          </w:tcPr>
          <w:p w:rsidRPr="00B87DDA" w:rsidR="00B87DDA" w:rsidP="00B87DDA" w:rsidRDefault="00B87DDA" w14:paraId="1070250A" w14:textId="77777777">
            <w:pPr>
              <w:spacing w:after="0" w:line="240" w:lineRule="auto"/>
              <w:jc w:val="center"/>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semestral</w:t>
            </w:r>
          </w:p>
        </w:tc>
        <w:tc>
          <w:tcPr>
            <w:tcW w:w="530" w:type="pct"/>
            <w:tcBorders>
              <w:top w:val="nil"/>
              <w:left w:val="nil"/>
              <w:bottom w:val="single" w:color="auto" w:sz="4" w:space="0"/>
              <w:right w:val="single" w:color="auto" w:sz="4" w:space="0"/>
            </w:tcBorders>
            <w:shd w:val="clear" w:color="000000" w:fill="FFFFFF"/>
            <w:noWrap/>
            <w:vAlign w:val="center"/>
            <w:hideMark/>
          </w:tcPr>
          <w:p w:rsidRPr="00B87DDA" w:rsidR="00B87DDA" w:rsidP="00513087" w:rsidRDefault="00B87DDA" w14:paraId="3949A48F" w14:textId="54358701">
            <w:pPr>
              <w:spacing w:after="0" w:line="240" w:lineRule="auto"/>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vencimiento</w:t>
            </w:r>
          </w:p>
        </w:tc>
        <w:tc>
          <w:tcPr>
            <w:tcW w:w="486" w:type="pct"/>
            <w:tcBorders>
              <w:top w:val="nil"/>
              <w:left w:val="nil"/>
              <w:bottom w:val="single" w:color="auto" w:sz="4" w:space="0"/>
              <w:right w:val="single" w:color="auto" w:sz="4" w:space="0"/>
            </w:tcBorders>
            <w:shd w:val="clear" w:color="000000" w:fill="FFFFFF"/>
            <w:vAlign w:val="center"/>
            <w:hideMark/>
          </w:tcPr>
          <w:p w:rsidRPr="00B87DDA" w:rsidR="00B87DDA" w:rsidP="00B87DDA" w:rsidRDefault="00B87DDA" w14:paraId="593AD711" w14:textId="77777777">
            <w:pPr>
              <w:spacing w:after="0" w:line="240" w:lineRule="auto"/>
              <w:jc w:val="center"/>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27/9/2023</w:t>
            </w:r>
          </w:p>
        </w:tc>
        <w:tc>
          <w:tcPr>
            <w:tcW w:w="409" w:type="pct"/>
            <w:tcBorders>
              <w:top w:val="nil"/>
              <w:left w:val="nil"/>
              <w:bottom w:val="single" w:color="auto" w:sz="4" w:space="0"/>
              <w:right w:val="single" w:color="auto" w:sz="4" w:space="0"/>
            </w:tcBorders>
            <w:shd w:val="clear" w:color="000000" w:fill="FFFFFF"/>
            <w:noWrap/>
            <w:vAlign w:val="center"/>
            <w:hideMark/>
          </w:tcPr>
          <w:p w:rsidRPr="00B87DDA" w:rsidR="00B87DDA" w:rsidP="00B87DDA" w:rsidRDefault="00B87DDA" w14:paraId="41598E34" w14:textId="77777777">
            <w:pPr>
              <w:spacing w:after="0" w:line="240" w:lineRule="auto"/>
              <w:jc w:val="center"/>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17</w:t>
            </w:r>
          </w:p>
        </w:tc>
        <w:tc>
          <w:tcPr>
            <w:tcW w:w="480" w:type="pct"/>
            <w:tcBorders>
              <w:top w:val="nil"/>
              <w:left w:val="nil"/>
              <w:bottom w:val="single" w:color="auto" w:sz="4" w:space="0"/>
              <w:right w:val="single" w:color="auto" w:sz="4" w:space="0"/>
            </w:tcBorders>
            <w:shd w:val="clear" w:color="000000" w:fill="FFFFFF"/>
            <w:noWrap/>
            <w:vAlign w:val="center"/>
            <w:hideMark/>
          </w:tcPr>
          <w:p w:rsidRPr="00B87DDA" w:rsidR="00B87DDA" w:rsidP="00B87DDA" w:rsidRDefault="00B87DDA" w14:paraId="23B1315E" w14:textId="0C5A8363">
            <w:pPr>
              <w:spacing w:after="0" w:line="240" w:lineRule="auto"/>
              <w:jc w:val="right"/>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135.125,66</w:t>
            </w:r>
          </w:p>
        </w:tc>
        <w:tc>
          <w:tcPr>
            <w:tcW w:w="447" w:type="pct"/>
            <w:tcBorders>
              <w:top w:val="nil"/>
              <w:left w:val="nil"/>
              <w:bottom w:val="single" w:color="auto" w:sz="4" w:space="0"/>
              <w:right w:val="single" w:color="auto" w:sz="4" w:space="0"/>
            </w:tcBorders>
            <w:shd w:val="clear" w:color="auto" w:fill="auto"/>
            <w:noWrap/>
            <w:vAlign w:val="center"/>
            <w:hideMark/>
          </w:tcPr>
          <w:p w:rsidRPr="00B87DDA" w:rsidR="00B87DDA" w:rsidP="00B87DDA" w:rsidRDefault="00B87DDA" w14:paraId="5FBF99C5" w14:textId="4D957CB7">
            <w:pPr>
              <w:spacing w:after="0" w:line="240" w:lineRule="auto"/>
              <w:jc w:val="right"/>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40.268.831,35</w:t>
            </w:r>
          </w:p>
        </w:tc>
      </w:tr>
      <w:tr w:rsidRPr="00513087" w:rsidR="00B87DDA" w:rsidTr="00B87DDA" w14:paraId="59FA1CE3" w14:textId="77777777">
        <w:trPr>
          <w:trHeight w:val="20"/>
        </w:trPr>
        <w:tc>
          <w:tcPr>
            <w:tcW w:w="480" w:type="pct"/>
            <w:tcBorders>
              <w:top w:val="nil"/>
              <w:left w:val="single" w:color="auto" w:sz="4" w:space="0"/>
              <w:bottom w:val="single" w:color="auto" w:sz="4" w:space="0"/>
              <w:right w:val="single" w:color="auto" w:sz="4" w:space="0"/>
            </w:tcBorders>
            <w:shd w:val="clear" w:color="000000" w:fill="FFFFFF"/>
            <w:noWrap/>
            <w:vAlign w:val="center"/>
            <w:hideMark/>
          </w:tcPr>
          <w:p w:rsidRPr="00B87DDA" w:rsidR="00B87DDA" w:rsidP="00513087" w:rsidRDefault="00B87DDA" w14:paraId="0E634FE9" w14:textId="3C11DC18">
            <w:pPr>
              <w:spacing w:after="0" w:line="240" w:lineRule="auto"/>
              <w:jc w:val="right"/>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31.120.469,35</w:t>
            </w:r>
          </w:p>
        </w:tc>
        <w:tc>
          <w:tcPr>
            <w:tcW w:w="348" w:type="pct"/>
            <w:tcBorders>
              <w:top w:val="nil"/>
              <w:left w:val="nil"/>
              <w:bottom w:val="single" w:color="auto" w:sz="4" w:space="0"/>
              <w:right w:val="single" w:color="auto" w:sz="4" w:space="0"/>
            </w:tcBorders>
            <w:shd w:val="clear" w:color="000000" w:fill="FFFFFF"/>
            <w:noWrap/>
            <w:vAlign w:val="center"/>
            <w:hideMark/>
          </w:tcPr>
          <w:p w:rsidRPr="00B87DDA" w:rsidR="00B87DDA" w:rsidP="00513087" w:rsidRDefault="00B87DDA" w14:paraId="12FD553F" w14:textId="77777777">
            <w:pPr>
              <w:spacing w:after="0" w:line="240" w:lineRule="auto"/>
              <w:jc w:val="center"/>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10 años</w:t>
            </w:r>
          </w:p>
        </w:tc>
        <w:tc>
          <w:tcPr>
            <w:tcW w:w="414" w:type="pct"/>
            <w:tcBorders>
              <w:top w:val="nil"/>
              <w:left w:val="nil"/>
              <w:bottom w:val="single" w:color="auto" w:sz="4" w:space="0"/>
              <w:right w:val="single" w:color="auto" w:sz="4" w:space="0"/>
            </w:tcBorders>
            <w:shd w:val="clear" w:color="000000" w:fill="FFFFFF"/>
            <w:vAlign w:val="center"/>
            <w:hideMark/>
          </w:tcPr>
          <w:p w:rsidRPr="00B87DDA" w:rsidR="00B87DDA" w:rsidP="00B87DDA" w:rsidRDefault="00B87DDA" w14:paraId="1BBBFCD3" w14:textId="77777777">
            <w:pPr>
              <w:spacing w:after="0" w:line="240" w:lineRule="auto"/>
              <w:jc w:val="center"/>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27/2/2023</w:t>
            </w:r>
          </w:p>
        </w:tc>
        <w:tc>
          <w:tcPr>
            <w:tcW w:w="475" w:type="pct"/>
            <w:tcBorders>
              <w:top w:val="nil"/>
              <w:left w:val="nil"/>
              <w:bottom w:val="single" w:color="auto" w:sz="4" w:space="0"/>
              <w:right w:val="single" w:color="auto" w:sz="4" w:space="0"/>
            </w:tcBorders>
            <w:shd w:val="clear" w:color="000000" w:fill="FFFFFF"/>
            <w:noWrap/>
            <w:vAlign w:val="center"/>
            <w:hideMark/>
          </w:tcPr>
          <w:p w:rsidRPr="00B87DDA" w:rsidR="00B87DDA" w:rsidP="00B87DDA" w:rsidRDefault="00B87DDA" w14:paraId="15DEE134" w14:textId="77777777">
            <w:pPr>
              <w:spacing w:after="0" w:line="240" w:lineRule="auto"/>
              <w:jc w:val="center"/>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27/2/2033</w:t>
            </w:r>
          </w:p>
        </w:tc>
        <w:tc>
          <w:tcPr>
            <w:tcW w:w="494" w:type="pct"/>
            <w:tcBorders>
              <w:top w:val="nil"/>
              <w:left w:val="nil"/>
              <w:bottom w:val="single" w:color="auto" w:sz="4" w:space="0"/>
              <w:right w:val="single" w:color="auto" w:sz="4" w:space="0"/>
            </w:tcBorders>
            <w:shd w:val="clear" w:color="000000" w:fill="FFFFFF"/>
            <w:noWrap/>
            <w:vAlign w:val="center"/>
            <w:hideMark/>
          </w:tcPr>
          <w:p w:rsidRPr="00B87DDA" w:rsidR="00B87DDA" w:rsidP="00B87DDA" w:rsidRDefault="00B87DDA" w14:paraId="2272445C" w14:textId="77777777">
            <w:pPr>
              <w:spacing w:after="0" w:line="240" w:lineRule="auto"/>
              <w:jc w:val="center"/>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7,8263%</w:t>
            </w:r>
          </w:p>
        </w:tc>
        <w:tc>
          <w:tcPr>
            <w:tcW w:w="436" w:type="pct"/>
            <w:tcBorders>
              <w:top w:val="nil"/>
              <w:left w:val="nil"/>
              <w:bottom w:val="single" w:color="auto" w:sz="4" w:space="0"/>
              <w:right w:val="single" w:color="auto" w:sz="4" w:space="0"/>
            </w:tcBorders>
            <w:shd w:val="clear" w:color="000000" w:fill="FFFFFF"/>
            <w:noWrap/>
            <w:vAlign w:val="center"/>
            <w:hideMark/>
          </w:tcPr>
          <w:p w:rsidRPr="00B87DDA" w:rsidR="00B87DDA" w:rsidP="00B87DDA" w:rsidRDefault="00B87DDA" w14:paraId="14B5474E" w14:textId="77777777">
            <w:pPr>
              <w:spacing w:after="0" w:line="240" w:lineRule="auto"/>
              <w:jc w:val="center"/>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semestral</w:t>
            </w:r>
          </w:p>
        </w:tc>
        <w:tc>
          <w:tcPr>
            <w:tcW w:w="530" w:type="pct"/>
            <w:tcBorders>
              <w:top w:val="nil"/>
              <w:left w:val="nil"/>
              <w:bottom w:val="single" w:color="auto" w:sz="4" w:space="0"/>
              <w:right w:val="single" w:color="auto" w:sz="4" w:space="0"/>
            </w:tcBorders>
            <w:shd w:val="clear" w:color="000000" w:fill="FFFFFF"/>
            <w:noWrap/>
            <w:vAlign w:val="center"/>
            <w:hideMark/>
          </w:tcPr>
          <w:p w:rsidRPr="00B87DDA" w:rsidR="00B87DDA" w:rsidP="00513087" w:rsidRDefault="00B87DDA" w14:paraId="097D3290" w14:textId="15F02D83">
            <w:pPr>
              <w:spacing w:after="0" w:line="240" w:lineRule="auto"/>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vencimiento</w:t>
            </w:r>
          </w:p>
        </w:tc>
        <w:tc>
          <w:tcPr>
            <w:tcW w:w="486" w:type="pct"/>
            <w:tcBorders>
              <w:top w:val="nil"/>
              <w:left w:val="nil"/>
              <w:bottom w:val="single" w:color="auto" w:sz="4" w:space="0"/>
              <w:right w:val="single" w:color="auto" w:sz="4" w:space="0"/>
            </w:tcBorders>
            <w:shd w:val="clear" w:color="000000" w:fill="FFFFFF"/>
            <w:vAlign w:val="center"/>
            <w:hideMark/>
          </w:tcPr>
          <w:p w:rsidRPr="00B87DDA" w:rsidR="00B87DDA" w:rsidP="00B87DDA" w:rsidRDefault="00B87DDA" w14:paraId="23096CC5" w14:textId="77777777">
            <w:pPr>
              <w:spacing w:after="0" w:line="240" w:lineRule="auto"/>
              <w:jc w:val="center"/>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27/9/2023</w:t>
            </w:r>
          </w:p>
        </w:tc>
        <w:tc>
          <w:tcPr>
            <w:tcW w:w="409" w:type="pct"/>
            <w:tcBorders>
              <w:top w:val="nil"/>
              <w:left w:val="nil"/>
              <w:bottom w:val="single" w:color="auto" w:sz="4" w:space="0"/>
              <w:right w:val="single" w:color="auto" w:sz="4" w:space="0"/>
            </w:tcBorders>
            <w:shd w:val="clear" w:color="000000" w:fill="FFFFFF"/>
            <w:noWrap/>
            <w:vAlign w:val="center"/>
            <w:hideMark/>
          </w:tcPr>
          <w:p w:rsidRPr="00B87DDA" w:rsidR="00B87DDA" w:rsidP="00B87DDA" w:rsidRDefault="00B87DDA" w14:paraId="3B9E8CB8" w14:textId="77777777">
            <w:pPr>
              <w:spacing w:after="0" w:line="240" w:lineRule="auto"/>
              <w:jc w:val="center"/>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30</w:t>
            </w:r>
          </w:p>
        </w:tc>
        <w:tc>
          <w:tcPr>
            <w:tcW w:w="480" w:type="pct"/>
            <w:tcBorders>
              <w:top w:val="nil"/>
              <w:left w:val="nil"/>
              <w:bottom w:val="single" w:color="auto" w:sz="4" w:space="0"/>
              <w:right w:val="single" w:color="auto" w:sz="4" w:space="0"/>
            </w:tcBorders>
            <w:shd w:val="clear" w:color="000000" w:fill="FFFFFF"/>
            <w:noWrap/>
            <w:vAlign w:val="center"/>
            <w:hideMark/>
          </w:tcPr>
          <w:p w:rsidRPr="00B87DDA" w:rsidR="00B87DDA" w:rsidP="00B87DDA" w:rsidRDefault="00B87DDA" w14:paraId="4C894FCD" w14:textId="5D42F396">
            <w:pPr>
              <w:spacing w:after="0" w:line="240" w:lineRule="auto"/>
              <w:jc w:val="right"/>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202.965,11</w:t>
            </w:r>
          </w:p>
        </w:tc>
        <w:tc>
          <w:tcPr>
            <w:tcW w:w="447" w:type="pct"/>
            <w:tcBorders>
              <w:top w:val="nil"/>
              <w:left w:val="nil"/>
              <w:bottom w:val="single" w:color="auto" w:sz="4" w:space="0"/>
              <w:right w:val="single" w:color="auto" w:sz="4" w:space="0"/>
            </w:tcBorders>
            <w:shd w:val="clear" w:color="auto" w:fill="auto"/>
            <w:noWrap/>
            <w:vAlign w:val="center"/>
            <w:hideMark/>
          </w:tcPr>
          <w:p w:rsidRPr="00B87DDA" w:rsidR="00B87DDA" w:rsidP="00B87DDA" w:rsidRDefault="00B87DDA" w14:paraId="4AC746F6" w14:textId="2CC2F67F">
            <w:pPr>
              <w:spacing w:after="0" w:line="240" w:lineRule="auto"/>
              <w:jc w:val="right"/>
              <w:rPr>
                <w:rFonts w:ascii="Palatino Linotype" w:hAnsi="Palatino Linotype" w:eastAsia="Times New Roman" w:cs="Calibri"/>
                <w:color w:val="000000"/>
                <w:sz w:val="13"/>
                <w:szCs w:val="13"/>
                <w:lang w:eastAsia="es-EC"/>
              </w:rPr>
            </w:pPr>
            <w:r w:rsidRPr="00B87DDA">
              <w:rPr>
                <w:rFonts w:ascii="Palatino Linotype" w:hAnsi="Palatino Linotype" w:eastAsia="Times New Roman" w:cs="Calibri"/>
                <w:color w:val="000000"/>
                <w:sz w:val="13"/>
                <w:szCs w:val="13"/>
                <w:lang w:eastAsia="es-EC"/>
              </w:rPr>
              <w:t>31.320.202,16</w:t>
            </w:r>
          </w:p>
        </w:tc>
      </w:tr>
      <w:tr w:rsidRPr="00513087" w:rsidR="00B87DDA" w:rsidTr="00B87DDA" w14:paraId="15112441" w14:textId="77777777">
        <w:trPr>
          <w:trHeight w:val="20"/>
        </w:trPr>
        <w:tc>
          <w:tcPr>
            <w:tcW w:w="480" w:type="pct"/>
            <w:tcBorders>
              <w:top w:val="nil"/>
              <w:left w:val="nil"/>
              <w:bottom w:val="nil"/>
              <w:right w:val="nil"/>
            </w:tcBorders>
            <w:shd w:val="clear" w:color="000000" w:fill="FFFFFF"/>
            <w:noWrap/>
            <w:vAlign w:val="center"/>
            <w:hideMark/>
          </w:tcPr>
          <w:p w:rsidRPr="00B87DDA" w:rsidR="00B87DDA" w:rsidP="00B87DDA" w:rsidRDefault="00B87DDA" w14:paraId="6B332247" w14:textId="4E772E98">
            <w:pPr>
              <w:spacing w:after="0" w:line="240" w:lineRule="auto"/>
              <w:jc w:val="center"/>
              <w:rPr>
                <w:rFonts w:ascii="Palatino Linotype" w:hAnsi="Palatino Linotype" w:eastAsia="Times New Roman" w:cs="Calibri"/>
                <w:color w:val="000000"/>
                <w:sz w:val="13"/>
                <w:szCs w:val="13"/>
                <w:lang w:eastAsia="es-EC"/>
              </w:rPr>
            </w:pPr>
          </w:p>
        </w:tc>
        <w:tc>
          <w:tcPr>
            <w:tcW w:w="348" w:type="pct"/>
            <w:tcBorders>
              <w:top w:val="nil"/>
              <w:left w:val="nil"/>
              <w:bottom w:val="nil"/>
              <w:right w:val="nil"/>
            </w:tcBorders>
            <w:shd w:val="clear" w:color="auto" w:fill="auto"/>
            <w:noWrap/>
            <w:vAlign w:val="center"/>
            <w:hideMark/>
          </w:tcPr>
          <w:p w:rsidRPr="00B87DDA" w:rsidR="00B87DDA" w:rsidP="00B87DDA" w:rsidRDefault="00B87DDA" w14:paraId="23B6FAA0" w14:textId="77777777">
            <w:pPr>
              <w:spacing w:after="0" w:line="240" w:lineRule="auto"/>
              <w:jc w:val="center"/>
              <w:rPr>
                <w:rFonts w:ascii="Palatino Linotype" w:hAnsi="Palatino Linotype" w:eastAsia="Times New Roman" w:cs="Calibri"/>
                <w:color w:val="000000"/>
                <w:sz w:val="13"/>
                <w:szCs w:val="13"/>
                <w:lang w:eastAsia="es-EC"/>
              </w:rPr>
            </w:pPr>
          </w:p>
        </w:tc>
        <w:tc>
          <w:tcPr>
            <w:tcW w:w="414" w:type="pct"/>
            <w:tcBorders>
              <w:top w:val="nil"/>
              <w:left w:val="nil"/>
              <w:bottom w:val="nil"/>
              <w:right w:val="nil"/>
            </w:tcBorders>
            <w:shd w:val="clear" w:color="auto" w:fill="auto"/>
            <w:noWrap/>
            <w:vAlign w:val="center"/>
            <w:hideMark/>
          </w:tcPr>
          <w:p w:rsidRPr="00B87DDA" w:rsidR="00B87DDA" w:rsidP="00B87DDA" w:rsidRDefault="00B87DDA" w14:paraId="3DB99747" w14:textId="77777777">
            <w:pPr>
              <w:spacing w:after="0" w:line="240" w:lineRule="auto"/>
              <w:jc w:val="center"/>
              <w:rPr>
                <w:rFonts w:ascii="Palatino Linotype" w:hAnsi="Palatino Linotype" w:eastAsia="Times New Roman" w:cs="Times New Roman"/>
                <w:sz w:val="13"/>
                <w:szCs w:val="13"/>
                <w:lang w:eastAsia="es-EC"/>
              </w:rPr>
            </w:pPr>
          </w:p>
        </w:tc>
        <w:tc>
          <w:tcPr>
            <w:tcW w:w="475" w:type="pct"/>
            <w:tcBorders>
              <w:top w:val="nil"/>
              <w:left w:val="nil"/>
              <w:bottom w:val="nil"/>
              <w:right w:val="nil"/>
            </w:tcBorders>
            <w:shd w:val="clear" w:color="000000" w:fill="FFFFFF"/>
            <w:noWrap/>
            <w:vAlign w:val="center"/>
            <w:hideMark/>
          </w:tcPr>
          <w:p w:rsidRPr="00B87DDA" w:rsidR="00B87DDA" w:rsidP="00B87DDA" w:rsidRDefault="00B87DDA" w14:paraId="13ED5FC1" w14:textId="4D43497F">
            <w:pPr>
              <w:spacing w:after="0" w:line="240" w:lineRule="auto"/>
              <w:jc w:val="center"/>
              <w:rPr>
                <w:rFonts w:ascii="Palatino Linotype" w:hAnsi="Palatino Linotype" w:eastAsia="Times New Roman" w:cs="Calibri"/>
                <w:color w:val="000000"/>
                <w:sz w:val="13"/>
                <w:szCs w:val="13"/>
                <w:lang w:eastAsia="es-EC"/>
              </w:rPr>
            </w:pPr>
          </w:p>
        </w:tc>
        <w:tc>
          <w:tcPr>
            <w:tcW w:w="494" w:type="pct"/>
            <w:tcBorders>
              <w:top w:val="nil"/>
              <w:left w:val="nil"/>
              <w:bottom w:val="nil"/>
              <w:right w:val="nil"/>
            </w:tcBorders>
            <w:shd w:val="clear" w:color="000000" w:fill="FFFFFF"/>
            <w:noWrap/>
            <w:vAlign w:val="center"/>
            <w:hideMark/>
          </w:tcPr>
          <w:p w:rsidRPr="00B87DDA" w:rsidR="00B87DDA" w:rsidP="00B87DDA" w:rsidRDefault="00B87DDA" w14:paraId="147F243E" w14:textId="29676388">
            <w:pPr>
              <w:spacing w:after="0" w:line="240" w:lineRule="auto"/>
              <w:jc w:val="center"/>
              <w:rPr>
                <w:rFonts w:ascii="Palatino Linotype" w:hAnsi="Palatino Linotype" w:eastAsia="Times New Roman" w:cs="Calibri"/>
                <w:color w:val="000000"/>
                <w:sz w:val="13"/>
                <w:szCs w:val="13"/>
                <w:lang w:eastAsia="es-EC"/>
              </w:rPr>
            </w:pPr>
          </w:p>
        </w:tc>
        <w:tc>
          <w:tcPr>
            <w:tcW w:w="436" w:type="pct"/>
            <w:tcBorders>
              <w:top w:val="nil"/>
              <w:left w:val="nil"/>
              <w:bottom w:val="nil"/>
              <w:right w:val="nil"/>
            </w:tcBorders>
            <w:shd w:val="clear" w:color="000000" w:fill="FFFFFF"/>
            <w:vAlign w:val="center"/>
            <w:hideMark/>
          </w:tcPr>
          <w:p w:rsidRPr="00B87DDA" w:rsidR="00B87DDA" w:rsidP="00B87DDA" w:rsidRDefault="00B87DDA" w14:paraId="6C9E09AE" w14:textId="7E621C70">
            <w:pPr>
              <w:spacing w:after="0" w:line="240" w:lineRule="auto"/>
              <w:jc w:val="center"/>
              <w:rPr>
                <w:rFonts w:ascii="Palatino Linotype" w:hAnsi="Palatino Linotype" w:eastAsia="Times New Roman" w:cs="Calibri"/>
                <w:color w:val="000000"/>
                <w:sz w:val="13"/>
                <w:szCs w:val="13"/>
                <w:lang w:eastAsia="es-EC"/>
              </w:rPr>
            </w:pPr>
          </w:p>
        </w:tc>
        <w:tc>
          <w:tcPr>
            <w:tcW w:w="530" w:type="pct"/>
            <w:tcBorders>
              <w:top w:val="nil"/>
              <w:left w:val="nil"/>
              <w:bottom w:val="nil"/>
              <w:right w:val="nil"/>
            </w:tcBorders>
            <w:shd w:val="clear" w:color="000000" w:fill="FFFFFF"/>
            <w:noWrap/>
            <w:vAlign w:val="center"/>
            <w:hideMark/>
          </w:tcPr>
          <w:p w:rsidRPr="00B87DDA" w:rsidR="00B87DDA" w:rsidP="00B87DDA" w:rsidRDefault="00B87DDA" w14:paraId="05E64A08" w14:textId="14E9F232">
            <w:pPr>
              <w:spacing w:after="0" w:line="240" w:lineRule="auto"/>
              <w:jc w:val="center"/>
              <w:rPr>
                <w:rFonts w:ascii="Palatino Linotype" w:hAnsi="Palatino Linotype" w:eastAsia="Times New Roman" w:cs="Calibri"/>
                <w:color w:val="000000"/>
                <w:sz w:val="13"/>
                <w:szCs w:val="13"/>
                <w:lang w:eastAsia="es-EC"/>
              </w:rPr>
            </w:pPr>
          </w:p>
        </w:tc>
        <w:tc>
          <w:tcPr>
            <w:tcW w:w="486" w:type="pct"/>
            <w:tcBorders>
              <w:top w:val="nil"/>
              <w:left w:val="nil"/>
              <w:bottom w:val="nil"/>
              <w:right w:val="nil"/>
            </w:tcBorders>
            <w:shd w:val="clear" w:color="000000" w:fill="FFFFFF"/>
            <w:noWrap/>
            <w:vAlign w:val="center"/>
            <w:hideMark/>
          </w:tcPr>
          <w:p w:rsidRPr="00B87DDA" w:rsidR="00B87DDA" w:rsidP="00B87DDA" w:rsidRDefault="00B87DDA" w14:paraId="6EB2C515" w14:textId="6DFD253A">
            <w:pPr>
              <w:spacing w:after="0" w:line="240" w:lineRule="auto"/>
              <w:jc w:val="center"/>
              <w:rPr>
                <w:rFonts w:ascii="Palatino Linotype" w:hAnsi="Palatino Linotype" w:eastAsia="Times New Roman" w:cs="Calibri"/>
                <w:color w:val="000000"/>
                <w:sz w:val="13"/>
                <w:szCs w:val="13"/>
                <w:lang w:eastAsia="es-EC"/>
              </w:rPr>
            </w:pPr>
          </w:p>
        </w:tc>
        <w:tc>
          <w:tcPr>
            <w:tcW w:w="409" w:type="pct"/>
            <w:tcBorders>
              <w:top w:val="nil"/>
              <w:left w:val="nil"/>
              <w:bottom w:val="nil"/>
              <w:right w:val="nil"/>
            </w:tcBorders>
            <w:shd w:val="clear" w:color="000000" w:fill="FFFFFF"/>
            <w:noWrap/>
            <w:vAlign w:val="center"/>
            <w:hideMark/>
          </w:tcPr>
          <w:p w:rsidRPr="00B87DDA" w:rsidR="00B87DDA" w:rsidP="00B87DDA" w:rsidRDefault="00B87DDA" w14:paraId="5B3FAEF6" w14:textId="238A23B3">
            <w:pPr>
              <w:spacing w:after="0" w:line="240" w:lineRule="auto"/>
              <w:jc w:val="center"/>
              <w:rPr>
                <w:rFonts w:ascii="Palatino Linotype" w:hAnsi="Palatino Linotype" w:eastAsia="Times New Roman" w:cs="Calibri"/>
                <w:color w:val="000000"/>
                <w:sz w:val="13"/>
                <w:szCs w:val="13"/>
                <w:lang w:eastAsia="es-EC"/>
              </w:rPr>
            </w:pPr>
          </w:p>
        </w:tc>
        <w:tc>
          <w:tcPr>
            <w:tcW w:w="480" w:type="pct"/>
            <w:tcBorders>
              <w:top w:val="nil"/>
              <w:left w:val="nil"/>
              <w:bottom w:val="nil"/>
              <w:right w:val="nil"/>
            </w:tcBorders>
            <w:shd w:val="clear" w:color="000000" w:fill="FFFFFF"/>
            <w:noWrap/>
            <w:vAlign w:val="center"/>
            <w:hideMark/>
          </w:tcPr>
          <w:p w:rsidRPr="00B87DDA" w:rsidR="00B87DDA" w:rsidP="00B87DDA" w:rsidRDefault="00B87DDA" w14:paraId="352808C8" w14:textId="058846CC">
            <w:pPr>
              <w:spacing w:after="0" w:line="240" w:lineRule="auto"/>
              <w:jc w:val="right"/>
              <w:rPr>
                <w:rFonts w:ascii="Palatino Linotype" w:hAnsi="Palatino Linotype" w:eastAsia="Times New Roman" w:cs="Calibri"/>
                <w:color w:val="000000"/>
                <w:sz w:val="13"/>
                <w:szCs w:val="13"/>
                <w:lang w:eastAsia="es-EC"/>
              </w:rPr>
            </w:pPr>
          </w:p>
        </w:tc>
        <w:tc>
          <w:tcPr>
            <w:tcW w:w="447" w:type="pct"/>
            <w:tcBorders>
              <w:top w:val="nil"/>
              <w:left w:val="nil"/>
              <w:bottom w:val="nil"/>
              <w:right w:val="nil"/>
            </w:tcBorders>
            <w:shd w:val="clear" w:color="000000" w:fill="FFFFFF"/>
            <w:vAlign w:val="center"/>
            <w:hideMark/>
          </w:tcPr>
          <w:p w:rsidRPr="00B87DDA" w:rsidR="00B87DDA" w:rsidP="00513087" w:rsidRDefault="00B87DDA" w14:paraId="5BE5AC55" w14:textId="23A65C26">
            <w:pPr>
              <w:spacing w:after="0" w:line="240" w:lineRule="auto"/>
              <w:jc w:val="right"/>
              <w:rPr>
                <w:rFonts w:ascii="Palatino Linotype" w:hAnsi="Palatino Linotype" w:eastAsia="Times New Roman" w:cs="Calibri"/>
                <w:b/>
                <w:bCs/>
                <w:color w:val="000000"/>
                <w:sz w:val="13"/>
                <w:szCs w:val="13"/>
                <w:lang w:eastAsia="es-EC"/>
              </w:rPr>
            </w:pPr>
            <w:r w:rsidRPr="00B87DDA">
              <w:rPr>
                <w:rFonts w:ascii="Palatino Linotype" w:hAnsi="Palatino Linotype" w:eastAsia="Times New Roman" w:cs="Calibri"/>
                <w:b/>
                <w:bCs/>
                <w:color w:val="000000"/>
                <w:sz w:val="13"/>
                <w:szCs w:val="13"/>
                <w:lang w:eastAsia="es-EC"/>
              </w:rPr>
              <w:t>111.857.864,8</w:t>
            </w:r>
            <w:r w:rsidR="00513087">
              <w:rPr>
                <w:rFonts w:ascii="Palatino Linotype" w:hAnsi="Palatino Linotype" w:eastAsia="Times New Roman" w:cs="Calibri"/>
                <w:b/>
                <w:bCs/>
                <w:color w:val="000000"/>
                <w:sz w:val="13"/>
                <w:szCs w:val="13"/>
                <w:lang w:eastAsia="es-EC"/>
              </w:rPr>
              <w:t>7</w:t>
            </w:r>
          </w:p>
        </w:tc>
      </w:tr>
    </w:tbl>
    <w:p w:rsidRPr="00345A22" w:rsidR="00C80EB7" w:rsidP="00DF36F2" w:rsidRDefault="00492F93" w14:paraId="2049FFE3" w14:textId="3711AB73">
      <w:pPr>
        <w:spacing w:after="0" w:line="240" w:lineRule="auto"/>
        <w:jc w:val="both"/>
        <w:rPr>
          <w:rFonts w:ascii="Palatino Linotype" w:hAnsi="Palatino Linotype" w:cs="Times New Roman"/>
          <w:color w:val="000000"/>
        </w:rPr>
      </w:pPr>
      <w:r w:rsidRPr="00B87DDA">
        <w:rPr>
          <w:rFonts w:ascii="Palatino Linotype" w:hAnsi="Palatino Linotype" w:cs="Times New Roman"/>
          <w:b/>
          <w:color w:val="000000"/>
        </w:rPr>
        <w:t>Artículo 2.-</w:t>
      </w:r>
      <w:r>
        <w:rPr>
          <w:rFonts w:ascii="Palatino Linotype" w:hAnsi="Palatino Linotype" w:cs="Times New Roman"/>
          <w:color w:val="000000"/>
        </w:rPr>
        <w:t xml:space="preserve"> Aprobar el contenido de</w:t>
      </w:r>
      <w:r w:rsidR="0073141C">
        <w:rPr>
          <w:rFonts w:ascii="Palatino Linotype" w:hAnsi="Palatino Linotype" w:cs="Times New Roman"/>
          <w:color w:val="000000"/>
        </w:rPr>
        <w:t xml:space="preserve"> la</w:t>
      </w:r>
      <w:r>
        <w:rPr>
          <w:rFonts w:ascii="Palatino Linotype" w:hAnsi="Palatino Linotype" w:cs="Times New Roman"/>
          <w:color w:val="000000"/>
        </w:rPr>
        <w:t xml:space="preserve"> propuesta de pago de títulos valores </w:t>
      </w:r>
      <w:r w:rsidR="0073141C">
        <w:rPr>
          <w:rFonts w:ascii="Palatino Linotype" w:hAnsi="Palatino Linotype" w:cs="Times New Roman"/>
          <w:color w:val="000000"/>
        </w:rPr>
        <w:t xml:space="preserve">al </w:t>
      </w:r>
      <w:r w:rsidRPr="00734815" w:rsidR="0073141C">
        <w:rPr>
          <w:rFonts w:ascii="Palatino Linotype" w:hAnsi="Palatino Linotype" w:cs="Times New Roman"/>
          <w:color w:val="000000"/>
        </w:rPr>
        <w:t>Gobierno Autónomo Descentralizado del Distrito Metropolitano de Quito</w:t>
      </w:r>
      <w:r w:rsidR="0073141C">
        <w:rPr>
          <w:rFonts w:ascii="Palatino Linotype" w:hAnsi="Palatino Linotype" w:cs="Times New Roman"/>
          <w:color w:val="000000"/>
        </w:rPr>
        <w:t>, mediante convenio de dación en pago con el Ministerio de Economía y Finanzas.</w:t>
      </w:r>
    </w:p>
    <w:p w:rsidR="00513087" w:rsidP="00DF36F2" w:rsidRDefault="00513087" w14:paraId="3E7017C1" w14:textId="77777777">
      <w:pPr>
        <w:spacing w:after="0" w:line="240" w:lineRule="auto"/>
        <w:jc w:val="both"/>
        <w:rPr>
          <w:rFonts w:ascii="Palatino Linotype" w:hAnsi="Palatino Linotype" w:cs="Times New Roman"/>
          <w:b/>
          <w:color w:val="000000"/>
        </w:rPr>
      </w:pPr>
    </w:p>
    <w:p w:rsidRPr="00345A22" w:rsidR="00C80EB7" w:rsidP="00DF36F2" w:rsidRDefault="0073141C" w14:paraId="29FF9B13" w14:textId="0E2F96CC">
      <w:pPr>
        <w:spacing w:after="0" w:line="240" w:lineRule="auto"/>
        <w:jc w:val="both"/>
        <w:rPr>
          <w:rFonts w:ascii="Palatino Linotype" w:hAnsi="Palatino Linotype" w:cs="Times New Roman"/>
          <w:color w:val="000000"/>
        </w:rPr>
      </w:pPr>
      <w:r w:rsidRPr="57BF6207" w:rsidR="0073141C">
        <w:rPr>
          <w:rFonts w:ascii="Palatino Linotype" w:hAnsi="Palatino Linotype" w:cs="Times New Roman"/>
          <w:b w:val="1"/>
          <w:bCs w:val="1"/>
          <w:color w:val="000000" w:themeColor="text1" w:themeTint="FF" w:themeShade="FF"/>
        </w:rPr>
        <w:t>Artículo 3.-</w:t>
      </w:r>
      <w:r w:rsidRPr="57BF6207" w:rsidR="0073141C">
        <w:rPr>
          <w:rFonts w:ascii="Palatino Linotype" w:hAnsi="Palatino Linotype" w:cs="Times New Roman"/>
          <w:color w:val="000000" w:themeColor="text1" w:themeTint="FF" w:themeShade="FF"/>
        </w:rPr>
        <w:t xml:space="preserve"> </w:t>
      </w:r>
      <w:r w:rsidRPr="57BF6207" w:rsidR="002417D0">
        <w:rPr>
          <w:rFonts w:ascii="Palatino Linotype" w:hAnsi="Palatino Linotype" w:cs="Times New Roman"/>
          <w:color w:val="000000" w:themeColor="text1" w:themeTint="FF" w:themeShade="FF"/>
        </w:rPr>
        <w:t xml:space="preserve">Disponer que el </w:t>
      </w:r>
      <w:r w:rsidRPr="57BF6207" w:rsidR="0073141C">
        <w:rPr>
          <w:rFonts w:ascii="Palatino Linotype" w:hAnsi="Palatino Linotype" w:cs="Times New Roman"/>
          <w:color w:val="000000" w:themeColor="text1" w:themeTint="FF" w:themeShade="FF"/>
        </w:rPr>
        <w:t>Municipio de Distrito Metropolitano de Quito por intermedio de la Administración General, reali</w:t>
      </w:r>
      <w:r w:rsidRPr="57BF6207" w:rsidR="002417D0">
        <w:rPr>
          <w:rFonts w:ascii="Palatino Linotype" w:hAnsi="Palatino Linotype" w:cs="Times New Roman"/>
          <w:color w:val="000000" w:themeColor="text1" w:themeTint="FF" w:themeShade="FF"/>
        </w:rPr>
        <w:t>ce</w:t>
      </w:r>
      <w:r w:rsidRPr="57BF6207" w:rsidR="0073141C">
        <w:rPr>
          <w:rFonts w:ascii="Palatino Linotype" w:hAnsi="Palatino Linotype" w:cs="Times New Roman"/>
          <w:color w:val="000000" w:themeColor="text1" w:themeTint="FF" w:themeShade="FF"/>
        </w:rPr>
        <w:t xml:space="preserve"> el seguimiento, observación y control con el propósito de dar cumplimiento al </w:t>
      </w:r>
      <w:r w:rsidRPr="57BF6207" w:rsidR="0073141C">
        <w:rPr>
          <w:rFonts w:ascii="Palatino Linotype" w:hAnsi="Palatino Linotype" w:cs="Times New Roman"/>
          <w:color w:val="000000" w:themeColor="text1" w:themeTint="FF" w:themeShade="FF"/>
        </w:rPr>
        <w:t>convenio de dación en pago con el Ministerio de Economía y Finanzas</w:t>
      </w:r>
      <w:r w:rsidRPr="57BF6207" w:rsidR="0073141C">
        <w:rPr>
          <w:rFonts w:ascii="Palatino Linotype" w:hAnsi="Palatino Linotype" w:cs="Times New Roman"/>
          <w:color w:val="000000" w:themeColor="text1" w:themeTint="FF" w:themeShade="FF"/>
        </w:rPr>
        <w:t xml:space="preserve">. En caso de incumplimiento, se </w:t>
      </w:r>
      <w:r w:rsidRPr="57BF6207" w:rsidR="00B74DC2">
        <w:rPr>
          <w:rFonts w:ascii="Palatino Linotype" w:hAnsi="Palatino Linotype" w:cs="Times New Roman"/>
          <w:color w:val="000000" w:themeColor="text1" w:themeTint="FF" w:themeShade="FF"/>
        </w:rPr>
        <w:t>procederá</w:t>
      </w:r>
      <w:r w:rsidRPr="57BF6207" w:rsidR="0073141C">
        <w:rPr>
          <w:rFonts w:ascii="Palatino Linotype" w:hAnsi="Palatino Linotype" w:cs="Times New Roman"/>
          <w:color w:val="000000" w:themeColor="text1" w:themeTint="FF" w:themeShade="FF"/>
        </w:rPr>
        <w:t xml:space="preserve"> conforme a </w:t>
      </w:r>
      <w:r w:rsidRPr="57BF6207" w:rsidR="00B74DC2">
        <w:rPr>
          <w:rFonts w:ascii="Palatino Linotype" w:hAnsi="Palatino Linotype" w:cs="Times New Roman"/>
          <w:color w:val="000000" w:themeColor="text1" w:themeTint="FF" w:themeShade="FF"/>
        </w:rPr>
        <w:t>las normas que integran el sistema jurídico</w:t>
      </w:r>
      <w:r w:rsidRPr="57BF6207" w:rsidR="0073141C">
        <w:rPr>
          <w:rFonts w:ascii="Palatino Linotype" w:hAnsi="Palatino Linotype" w:cs="Times New Roman"/>
          <w:color w:val="000000" w:themeColor="text1" w:themeTint="FF" w:themeShade="FF"/>
        </w:rPr>
        <w:t xml:space="preserve">. </w:t>
      </w:r>
    </w:p>
    <w:p w:rsidR="0073141C" w:rsidP="00DF36F2" w:rsidRDefault="0073141C" w14:paraId="3D8294D3" w14:textId="77777777">
      <w:pPr>
        <w:spacing w:after="0" w:line="240" w:lineRule="auto"/>
        <w:jc w:val="both"/>
        <w:rPr>
          <w:rFonts w:ascii="Palatino Linotype" w:hAnsi="Palatino Linotype" w:cs="Times New Roman"/>
          <w:b/>
          <w:color w:val="000000"/>
        </w:rPr>
      </w:pPr>
    </w:p>
    <w:p w:rsidRPr="00B87DDA" w:rsidR="00345A22" w:rsidP="00DF36F2" w:rsidRDefault="00B74DC2" w14:paraId="5F933E05" w14:textId="2F7B8CEF">
      <w:pPr>
        <w:spacing w:after="0" w:line="240" w:lineRule="auto"/>
        <w:jc w:val="both"/>
        <w:rPr>
          <w:rFonts w:ascii="Palatino Linotype" w:hAnsi="Palatino Linotype" w:cs="Times New Roman"/>
          <w:color w:val="000000"/>
        </w:rPr>
      </w:pPr>
      <w:r>
        <w:rPr>
          <w:rFonts w:ascii="Palatino Linotype" w:hAnsi="Palatino Linotype" w:cs="Times New Roman"/>
          <w:b/>
          <w:color w:val="000000"/>
        </w:rPr>
        <w:t>Artículo 4</w:t>
      </w:r>
      <w:r w:rsidRPr="00345A22" w:rsidR="00345A22">
        <w:rPr>
          <w:rFonts w:ascii="Palatino Linotype" w:hAnsi="Palatino Linotype" w:cs="Times New Roman"/>
          <w:b/>
          <w:color w:val="000000"/>
        </w:rPr>
        <w:t xml:space="preserve">.- </w:t>
      </w:r>
      <w:r w:rsidR="002417D0">
        <w:rPr>
          <w:rFonts w:ascii="Palatino Linotype" w:hAnsi="Palatino Linotype" w:cs="Times New Roman"/>
          <w:color w:val="000000"/>
        </w:rPr>
        <w:t xml:space="preserve">Notificar con la presente resolución al Ministerio </w:t>
      </w:r>
      <w:r w:rsidRPr="00B87DDA" w:rsidR="00345A22">
        <w:rPr>
          <w:rFonts w:ascii="Palatino Linotype" w:hAnsi="Palatino Linotype" w:cs="Times New Roman"/>
          <w:color w:val="000000"/>
        </w:rPr>
        <w:t xml:space="preserve">de Economía y Finanzas </w:t>
      </w:r>
      <w:r w:rsidR="002417D0">
        <w:rPr>
          <w:rFonts w:ascii="Palatino Linotype" w:hAnsi="Palatino Linotype" w:cs="Times New Roman"/>
          <w:color w:val="000000"/>
        </w:rPr>
        <w:t>para su pleno conocimiento</w:t>
      </w:r>
      <w:r w:rsidRPr="00B87DDA" w:rsidR="00345A22">
        <w:rPr>
          <w:rFonts w:ascii="Palatino Linotype" w:hAnsi="Palatino Linotype" w:cs="Times New Roman"/>
          <w:color w:val="000000"/>
        </w:rPr>
        <w:t>.</w:t>
      </w:r>
    </w:p>
    <w:p w:rsidRPr="00345A22" w:rsidR="00345A22" w:rsidP="00DF36F2" w:rsidRDefault="00345A22" w14:paraId="13DDA860" w14:textId="77777777">
      <w:pPr>
        <w:spacing w:after="0" w:line="240" w:lineRule="auto"/>
        <w:jc w:val="both"/>
        <w:rPr>
          <w:rFonts w:ascii="Palatino Linotype" w:hAnsi="Palatino Linotype" w:cs="Times New Roman"/>
          <w:b/>
          <w:color w:val="000000"/>
        </w:rPr>
      </w:pPr>
    </w:p>
    <w:p w:rsidRPr="00345A22" w:rsidR="006D0496" w:rsidP="00DF36F2" w:rsidRDefault="006D0496" w14:paraId="5CA49B64" w14:textId="39A026D9">
      <w:pPr>
        <w:spacing w:after="0" w:line="240" w:lineRule="auto"/>
        <w:jc w:val="both"/>
        <w:rPr>
          <w:rFonts w:ascii="Palatino Linotype" w:hAnsi="Palatino Linotype" w:cs="Times New Roman"/>
          <w:color w:val="000000"/>
        </w:rPr>
      </w:pPr>
      <w:r w:rsidRPr="00345A22">
        <w:rPr>
          <w:rFonts w:ascii="Palatino Linotype" w:hAnsi="Palatino Linotype" w:cs="Times New Roman"/>
          <w:b/>
          <w:color w:val="000000"/>
        </w:rPr>
        <w:t xml:space="preserve">Disposición General Primera.- </w:t>
      </w:r>
      <w:r w:rsidRPr="00345A22">
        <w:rPr>
          <w:rFonts w:ascii="Palatino Linotype" w:hAnsi="Palatino Linotype" w:cs="Times New Roman"/>
          <w:color w:val="000000"/>
        </w:rPr>
        <w:t xml:space="preserve">La presente autorización corresponde exclusivamente a la posibilidad legal de alcanzar una conciliación en los términos de la letra j) del </w:t>
      </w:r>
      <w:r w:rsidRPr="00345A22" w:rsidR="00231180">
        <w:rPr>
          <w:rFonts w:ascii="Palatino Linotype" w:hAnsi="Palatino Linotype" w:cs="Times New Roman"/>
          <w:color w:val="000000"/>
        </w:rPr>
        <w:t>artículo</w:t>
      </w:r>
      <w:r w:rsidRPr="00345A22">
        <w:rPr>
          <w:rFonts w:ascii="Palatino Linotype" w:hAnsi="Palatino Linotype" w:cs="Times New Roman"/>
          <w:color w:val="000000"/>
        </w:rPr>
        <w:t xml:space="preserve"> 331 del COOTAD y en ningún caso avala o valida cualquier error, acción u omisión que se hubiese generado, que en los términos de la Constitución y las leyes de la República, </w:t>
      </w:r>
      <w:r w:rsidRPr="00345A22" w:rsidR="00231180">
        <w:rPr>
          <w:rFonts w:ascii="Palatino Linotype" w:hAnsi="Palatino Linotype" w:cs="Times New Roman"/>
          <w:color w:val="000000"/>
        </w:rPr>
        <w:t xml:space="preserve">que </w:t>
      </w:r>
      <w:r w:rsidRPr="00345A22">
        <w:rPr>
          <w:rFonts w:ascii="Palatino Linotype" w:hAnsi="Palatino Linotype" w:cs="Times New Roman"/>
          <w:color w:val="000000"/>
        </w:rPr>
        <w:t>son de exclusiva responsabilidad de los funcionarios que actuaron en dichos procesos o suscribieron los informes, actas y demás documentos en el marco de tales procesos.</w:t>
      </w:r>
    </w:p>
    <w:p w:rsidRPr="00345A22" w:rsidR="00DF36F2" w:rsidP="00DF36F2" w:rsidRDefault="00DF36F2" w14:paraId="5B412D28" w14:textId="77777777">
      <w:pPr>
        <w:spacing w:after="0" w:line="240" w:lineRule="auto"/>
        <w:jc w:val="both"/>
        <w:rPr>
          <w:rFonts w:ascii="Palatino Linotype" w:hAnsi="Palatino Linotype" w:cs="Times New Roman"/>
          <w:color w:val="000000"/>
        </w:rPr>
      </w:pPr>
    </w:p>
    <w:p w:rsidRPr="00345A22" w:rsidR="00DF36F2" w:rsidP="00DF36F2" w:rsidRDefault="00DF36F2" w14:paraId="6C0DFCEC" w14:textId="77777777">
      <w:pPr>
        <w:spacing w:after="0" w:line="240" w:lineRule="auto"/>
        <w:jc w:val="both"/>
        <w:rPr>
          <w:rFonts w:ascii="Palatino Linotype" w:hAnsi="Palatino Linotype" w:cs="Times New Roman"/>
        </w:rPr>
      </w:pPr>
      <w:r w:rsidRPr="00345A22">
        <w:rPr>
          <w:rFonts w:ascii="Palatino Linotype" w:hAnsi="Palatino Linotype"/>
          <w:b/>
          <w:bCs/>
        </w:rPr>
        <w:t xml:space="preserve">Disposición Final. - </w:t>
      </w:r>
      <w:r w:rsidRPr="00345A22">
        <w:rPr>
          <w:rFonts w:ascii="Palatino Linotype" w:hAnsi="Palatino Linotype"/>
        </w:rPr>
        <w:t xml:space="preserve">La presente Resolución entrará en vigor a partir de su suscripción, sin perjuicio de su publicación </w:t>
      </w:r>
      <w:r w:rsidRPr="00345A22">
        <w:rPr>
          <w:rFonts w:ascii="Palatino Linotype" w:hAnsi="Palatino Linotype" w:cs="Times New Roman"/>
        </w:rPr>
        <w:t>en la Gaceta Oficial y en el dominio web de la institución.</w:t>
      </w:r>
    </w:p>
    <w:p w:rsidRPr="00345A22" w:rsidR="00DF36F2" w:rsidP="00DF36F2" w:rsidRDefault="00DF36F2" w14:paraId="6FACD0E8" w14:textId="77777777">
      <w:pPr>
        <w:spacing w:after="0" w:line="240" w:lineRule="auto"/>
        <w:jc w:val="both"/>
        <w:rPr>
          <w:rFonts w:ascii="Palatino Linotype" w:hAnsi="Palatino Linotype" w:cs="Times New Roman"/>
        </w:rPr>
      </w:pPr>
    </w:p>
    <w:p w:rsidRPr="00345A22" w:rsidR="00DF36F2" w:rsidP="00DF36F2" w:rsidRDefault="00DF36F2" w14:paraId="53D75921" w14:textId="77777777">
      <w:pPr>
        <w:spacing w:after="0" w:line="240" w:lineRule="auto"/>
        <w:jc w:val="both"/>
        <w:rPr>
          <w:rFonts w:ascii="Palatino Linotype" w:hAnsi="Palatino Linotype"/>
        </w:rPr>
      </w:pPr>
      <w:r w:rsidRPr="00345A22">
        <w:rPr>
          <w:rFonts w:ascii="Palatino Linotype" w:hAnsi="Palatino Linotype"/>
        </w:rPr>
        <w:t>Dada, en la ciudad de San Francisco de Quito, Distrito Metropolitano, en la sala de sesiones del Concejo Metropolitano de Quito, a los …… de xxxxx del dos mil veintitrés.</w:t>
      </w:r>
    </w:p>
    <w:p w:rsidRPr="00345A22" w:rsidR="00DF36F2" w:rsidP="00DF36F2" w:rsidRDefault="00DF36F2" w14:paraId="078322C7" w14:textId="77777777">
      <w:pPr>
        <w:spacing w:after="0" w:line="240" w:lineRule="auto"/>
        <w:rPr>
          <w:rFonts w:ascii="Palatino Linotype" w:hAnsi="Palatino Linotype"/>
        </w:rPr>
      </w:pPr>
      <w:r w:rsidRPr="00345A22">
        <w:rPr>
          <w:rFonts w:ascii="Palatino Linotype" w:hAnsi="Palatino Linotype"/>
        </w:rPr>
        <w:t xml:space="preserve"> </w:t>
      </w:r>
    </w:p>
    <w:p w:rsidRPr="00345A22" w:rsidR="00DF36F2" w:rsidP="00DF36F2" w:rsidRDefault="00DF36F2" w14:paraId="4CD9F353" w14:textId="77777777">
      <w:pPr>
        <w:spacing w:after="0" w:line="240" w:lineRule="auto"/>
        <w:rPr>
          <w:rFonts w:ascii="Palatino Linotype" w:hAnsi="Palatino Linotype"/>
          <w:b/>
          <w:bCs/>
        </w:rPr>
      </w:pPr>
      <w:r w:rsidRPr="00345A22">
        <w:rPr>
          <w:rFonts w:ascii="Palatino Linotype" w:hAnsi="Palatino Linotype"/>
          <w:b/>
          <w:bCs/>
        </w:rPr>
        <w:t xml:space="preserve">Alcaldía del Distrito Metropolitano. - </w:t>
      </w:r>
      <w:r w:rsidRPr="00345A22">
        <w:rPr>
          <w:rFonts w:ascii="Palatino Linotype" w:hAnsi="Palatino Linotype"/>
        </w:rPr>
        <w:t>Distrito Metropolitano de Quito, xx de xxxx de 2023.</w:t>
      </w:r>
      <w:r w:rsidRPr="00345A22">
        <w:rPr>
          <w:rFonts w:ascii="Palatino Linotype" w:hAnsi="Palatino Linotype"/>
          <w:b/>
          <w:bCs/>
        </w:rPr>
        <w:t xml:space="preserve"> </w:t>
      </w:r>
    </w:p>
    <w:p w:rsidRPr="00345A22" w:rsidR="00DF36F2" w:rsidP="00DF36F2" w:rsidRDefault="00DF36F2" w14:paraId="6058987C" w14:textId="77777777">
      <w:pPr>
        <w:spacing w:after="0" w:line="240" w:lineRule="auto"/>
        <w:rPr>
          <w:rFonts w:ascii="Palatino Linotype" w:hAnsi="Palatino Linotype"/>
        </w:rPr>
      </w:pPr>
      <w:r w:rsidRPr="00345A22">
        <w:rPr>
          <w:rFonts w:ascii="Palatino Linotype" w:hAnsi="Palatino Linotype"/>
        </w:rPr>
        <w:t xml:space="preserve"> </w:t>
      </w:r>
    </w:p>
    <w:p w:rsidRPr="00345A22" w:rsidR="00DF36F2" w:rsidP="00DF36F2" w:rsidRDefault="00DF36F2" w14:paraId="41DEA503" w14:textId="77777777">
      <w:pPr>
        <w:spacing w:after="0" w:line="240" w:lineRule="auto"/>
        <w:rPr>
          <w:rFonts w:ascii="Palatino Linotype" w:hAnsi="Palatino Linotype"/>
        </w:rPr>
      </w:pPr>
    </w:p>
    <w:p w:rsidRPr="00345A22" w:rsidR="00DF36F2" w:rsidP="00DF36F2" w:rsidRDefault="00DF36F2" w14:paraId="156D475F" w14:textId="77777777">
      <w:pPr>
        <w:spacing w:after="0" w:line="240" w:lineRule="auto"/>
        <w:rPr>
          <w:rFonts w:ascii="Palatino Linotype" w:hAnsi="Palatino Linotype"/>
        </w:rPr>
      </w:pPr>
      <w:r w:rsidRPr="00345A22">
        <w:rPr>
          <w:rFonts w:ascii="Palatino Linotype" w:hAnsi="Palatino Linotype"/>
        </w:rPr>
        <w:t xml:space="preserve"> </w:t>
      </w:r>
    </w:p>
    <w:p w:rsidRPr="00345A22" w:rsidR="00DF36F2" w:rsidP="00DF36F2" w:rsidRDefault="00DF36F2" w14:paraId="1C57D4D7" w14:textId="77777777">
      <w:pPr>
        <w:pStyle w:val="Sinespaciado"/>
        <w:jc w:val="center"/>
        <w:rPr>
          <w:rFonts w:ascii="Palatino Linotype" w:hAnsi="Palatino Linotype"/>
        </w:rPr>
      </w:pPr>
      <w:r w:rsidRPr="00345A22">
        <w:rPr>
          <w:rFonts w:ascii="Palatino Linotype" w:hAnsi="Palatino Linotype"/>
        </w:rPr>
        <w:t xml:space="preserve">Pabel Muñoz López </w:t>
      </w:r>
    </w:p>
    <w:p w:rsidRPr="00345A22" w:rsidR="00DF36F2" w:rsidP="00DF36F2" w:rsidRDefault="00DF36F2" w14:paraId="708D00F6" w14:textId="77777777">
      <w:pPr>
        <w:pStyle w:val="Sinespaciado"/>
        <w:jc w:val="center"/>
        <w:rPr>
          <w:rFonts w:ascii="Palatino Linotype" w:hAnsi="Palatino Linotype"/>
          <w:b/>
          <w:bCs/>
        </w:rPr>
      </w:pPr>
      <w:r w:rsidRPr="00345A22">
        <w:rPr>
          <w:rFonts w:ascii="Palatino Linotype" w:hAnsi="Palatino Linotype"/>
          <w:b/>
          <w:bCs/>
        </w:rPr>
        <w:t>ALCALDE DEL DISTRITO METROPOLITANO DE QUITO</w:t>
      </w:r>
    </w:p>
    <w:p w:rsidRPr="00345A22" w:rsidR="00DF36F2" w:rsidP="00DF36F2" w:rsidRDefault="00DF36F2" w14:paraId="6C6ADACB" w14:textId="77777777">
      <w:pPr>
        <w:spacing w:after="0" w:line="240" w:lineRule="auto"/>
        <w:rPr>
          <w:rFonts w:ascii="Palatino Linotype" w:hAnsi="Palatino Linotype"/>
        </w:rPr>
      </w:pPr>
      <w:r w:rsidRPr="00345A22">
        <w:rPr>
          <w:rFonts w:ascii="Palatino Linotype" w:hAnsi="Palatino Linotype"/>
        </w:rPr>
        <w:t xml:space="preserve"> </w:t>
      </w:r>
    </w:p>
    <w:p w:rsidRPr="00345A22" w:rsidR="00DF36F2" w:rsidP="00DF36F2" w:rsidRDefault="00DF36F2" w14:paraId="5A58A0A5" w14:textId="6A6EB371">
      <w:pPr>
        <w:spacing w:after="0" w:line="240" w:lineRule="auto"/>
        <w:jc w:val="both"/>
        <w:rPr>
          <w:rFonts w:ascii="Palatino Linotype" w:hAnsi="Palatino Linotype"/>
        </w:rPr>
      </w:pPr>
      <w:r w:rsidRPr="00345A22">
        <w:rPr>
          <w:rFonts w:ascii="Palatino Linotype" w:hAnsi="Palatino Linotype"/>
          <w:b/>
          <w:bCs/>
        </w:rPr>
        <w:t>CERTIFICO,</w:t>
      </w:r>
      <w:r w:rsidRPr="00345A22">
        <w:rPr>
          <w:rFonts w:ascii="Palatino Linotype" w:hAnsi="Palatino Linotype"/>
        </w:rPr>
        <w:t xml:space="preserve"> que la presente resolución fue discutida y aprobada en sesión pública xxxxxxxxxxxx del Concejo Metropolitano de Quito, el xxx de xxxx de 2023; y, suscrita por el Pabel Muñoz López, Alcalde del Distrito Metropolitano de Quito, el xx de xxx de 2023. </w:t>
      </w:r>
    </w:p>
    <w:p w:rsidRPr="00345A22" w:rsidR="00DF36F2" w:rsidP="00DF36F2" w:rsidRDefault="00DF36F2" w14:paraId="1517C05F" w14:textId="77777777">
      <w:pPr>
        <w:spacing w:after="0" w:line="240" w:lineRule="auto"/>
        <w:rPr>
          <w:rFonts w:ascii="Palatino Linotype" w:hAnsi="Palatino Linotype"/>
        </w:rPr>
      </w:pPr>
      <w:r w:rsidRPr="00345A22">
        <w:rPr>
          <w:rFonts w:ascii="Palatino Linotype" w:hAnsi="Palatino Linotype"/>
        </w:rPr>
        <w:t xml:space="preserve"> </w:t>
      </w:r>
    </w:p>
    <w:p w:rsidRPr="00345A22" w:rsidR="00DF36F2" w:rsidP="00DF36F2" w:rsidRDefault="00DF36F2" w14:paraId="4B3BBB9A" w14:textId="77777777">
      <w:pPr>
        <w:spacing w:after="0" w:line="240" w:lineRule="auto"/>
        <w:rPr>
          <w:rFonts w:ascii="Palatino Linotype" w:hAnsi="Palatino Linotype"/>
        </w:rPr>
      </w:pPr>
      <w:r w:rsidRPr="00345A22">
        <w:rPr>
          <w:rFonts w:ascii="Palatino Linotype" w:hAnsi="Palatino Linotype"/>
          <w:b/>
          <w:bCs/>
        </w:rPr>
        <w:t>Lo certifico. -</w:t>
      </w:r>
      <w:r w:rsidRPr="00345A22">
        <w:rPr>
          <w:rFonts w:ascii="Palatino Linotype" w:hAnsi="Palatino Linotype"/>
        </w:rPr>
        <w:t xml:space="preserve"> Distrito Metropolitano de Quito, xx de xxx de 2023.</w:t>
      </w:r>
    </w:p>
    <w:p w:rsidRPr="00345A22" w:rsidR="00DF36F2" w:rsidP="00DF36F2" w:rsidRDefault="00DF36F2" w14:paraId="4D98DA89" w14:textId="77777777">
      <w:pPr>
        <w:spacing w:after="0" w:line="240" w:lineRule="auto"/>
        <w:rPr>
          <w:rFonts w:ascii="Palatino Linotype" w:hAnsi="Palatino Linotype"/>
        </w:rPr>
      </w:pPr>
      <w:r w:rsidRPr="00345A22">
        <w:rPr>
          <w:rFonts w:ascii="Palatino Linotype" w:hAnsi="Palatino Linotype"/>
        </w:rPr>
        <w:t xml:space="preserve"> </w:t>
      </w:r>
    </w:p>
    <w:p w:rsidRPr="00345A22" w:rsidR="00DF36F2" w:rsidP="00DF36F2" w:rsidRDefault="00DF36F2" w14:paraId="7C04A091" w14:textId="77777777">
      <w:pPr>
        <w:spacing w:after="0" w:line="240" w:lineRule="auto"/>
        <w:rPr>
          <w:rFonts w:ascii="Palatino Linotype" w:hAnsi="Palatino Linotype"/>
        </w:rPr>
      </w:pPr>
      <w:r w:rsidRPr="00345A22">
        <w:rPr>
          <w:rFonts w:ascii="Palatino Linotype" w:hAnsi="Palatino Linotype"/>
        </w:rPr>
        <w:t xml:space="preserve"> </w:t>
      </w:r>
    </w:p>
    <w:p w:rsidRPr="00345A22" w:rsidR="00DF36F2" w:rsidP="00DF36F2" w:rsidRDefault="00DF36F2" w14:paraId="5890E2F8" w14:textId="77777777">
      <w:pPr>
        <w:pStyle w:val="Sinespaciado"/>
        <w:jc w:val="center"/>
        <w:rPr>
          <w:rFonts w:ascii="Palatino Linotype" w:hAnsi="Palatino Linotype"/>
        </w:rPr>
      </w:pPr>
    </w:p>
    <w:p w:rsidRPr="00B87DDA" w:rsidR="0095576B" w:rsidP="00B87DDA" w:rsidRDefault="00DF36F2" w14:paraId="07F7B5C8" w14:textId="14A00012">
      <w:pPr>
        <w:pStyle w:val="Sinespaciado"/>
        <w:jc w:val="center"/>
        <w:rPr>
          <w:rFonts w:ascii="Palatino Linotype" w:hAnsi="Palatino Linotype"/>
        </w:rPr>
      </w:pPr>
      <w:r w:rsidRPr="00345A22">
        <w:rPr>
          <w:rFonts w:ascii="Palatino Linotype" w:hAnsi="Palatino Linotype"/>
        </w:rPr>
        <w:t xml:space="preserve">Dra. Libia Rivas Ordóñez </w:t>
      </w:r>
      <w:r w:rsidRPr="00345A22">
        <w:rPr>
          <w:rFonts w:ascii="Palatino Linotype" w:hAnsi="Palatino Linotype"/>
        </w:rPr>
        <w:cr/>
      </w:r>
      <w:r w:rsidRPr="00345A22">
        <w:rPr>
          <w:rFonts w:ascii="Palatino Linotype" w:hAnsi="Palatino Linotype"/>
          <w:b/>
          <w:bCs/>
        </w:rPr>
        <w:t>SECRETARIA GENERAL DEL CONCEJO METROPOLITANO</w:t>
      </w:r>
    </w:p>
    <w:sectPr w:rsidRPr="00B87DDA" w:rsidR="0095576B">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JPSV" w:author="Juan Pablo Soto Vera" w:date="2023-09-09T10:00:00Z" w:id="0">
    <w:p w:rsidR="00153A55" w:rsidRDefault="00153A55" w14:paraId="35619708" w14:textId="05CE1A6A">
      <w:pPr>
        <w:pStyle w:val="Textocomentario"/>
      </w:pPr>
      <w:r>
        <w:rPr>
          <w:rStyle w:val="Refdecomentario"/>
        </w:rPr>
        <w:annotationRef/>
      </w:r>
      <w:r>
        <w:t xml:space="preserve">Numeral 17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6197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619708" w16cid:durableId="28A7642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an Pablo Soto Vera">
    <w15:presenceInfo w15:providerId="AD" w15:userId="S-1-5-21-273869320-1094921958-1243824655-154503"/>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5"/>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496"/>
    <w:rsid w:val="00153A55"/>
    <w:rsid w:val="00231180"/>
    <w:rsid w:val="002417D0"/>
    <w:rsid w:val="00305F12"/>
    <w:rsid w:val="00345A22"/>
    <w:rsid w:val="00351992"/>
    <w:rsid w:val="00385867"/>
    <w:rsid w:val="003E10DD"/>
    <w:rsid w:val="00432903"/>
    <w:rsid w:val="004603AD"/>
    <w:rsid w:val="00461193"/>
    <w:rsid w:val="00461CEA"/>
    <w:rsid w:val="00481A56"/>
    <w:rsid w:val="00492F93"/>
    <w:rsid w:val="00513087"/>
    <w:rsid w:val="005176A5"/>
    <w:rsid w:val="0059613E"/>
    <w:rsid w:val="005C0388"/>
    <w:rsid w:val="00611728"/>
    <w:rsid w:val="00661D06"/>
    <w:rsid w:val="006D0496"/>
    <w:rsid w:val="006D35A9"/>
    <w:rsid w:val="00700300"/>
    <w:rsid w:val="00711A0C"/>
    <w:rsid w:val="0073141C"/>
    <w:rsid w:val="0085429C"/>
    <w:rsid w:val="0095576B"/>
    <w:rsid w:val="00A66386"/>
    <w:rsid w:val="00A94A97"/>
    <w:rsid w:val="00AF3270"/>
    <w:rsid w:val="00B74DC2"/>
    <w:rsid w:val="00B87DDA"/>
    <w:rsid w:val="00C528E1"/>
    <w:rsid w:val="00C80EB7"/>
    <w:rsid w:val="00CC3C05"/>
    <w:rsid w:val="00D30FF8"/>
    <w:rsid w:val="00DF36F2"/>
    <w:rsid w:val="00E2720F"/>
    <w:rsid w:val="00ED45E4"/>
    <w:rsid w:val="00F931FF"/>
    <w:rsid w:val="00FE0F35"/>
    <w:rsid w:val="57BF620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2082"/>
  <w15:chartTrackingRefBased/>
  <w15:docId w15:val="{B89ABF84-FF0C-45D8-A03B-CEAEEF69F6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D0496"/>
    <w:pPr>
      <w:spacing w:line="256" w:lineRule="auto"/>
    </w:pPr>
    <w:rPr>
      <w:kern w:val="0"/>
      <w14:ligatures w14:val="none"/>
    </w:rPr>
  </w:style>
  <w:style w:type="paragraph" w:styleId="Ttulo2">
    <w:name w:val="heading 2"/>
    <w:basedOn w:val="Normal"/>
    <w:link w:val="Ttulo2Car"/>
    <w:uiPriority w:val="1"/>
    <w:semiHidden/>
    <w:unhideWhenUsed/>
    <w:qFormat/>
    <w:rsid w:val="006D0496"/>
    <w:pPr>
      <w:widowControl w:val="0"/>
      <w:autoSpaceDE w:val="0"/>
      <w:autoSpaceDN w:val="0"/>
      <w:spacing w:after="0" w:line="240" w:lineRule="auto"/>
      <w:ind w:left="982"/>
      <w:jc w:val="both"/>
      <w:outlineLvl w:val="1"/>
    </w:pPr>
    <w:rPr>
      <w:rFonts w:ascii="Times New Roman" w:hAnsi="Times New Roman" w:eastAsia="Times New Roman" w:cs="Times New Roman"/>
      <w:b/>
      <w:bCs/>
      <w:lang w:val="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2Car" w:customStyle="1">
    <w:name w:val="Título 2 Car"/>
    <w:basedOn w:val="Fuentedeprrafopredeter"/>
    <w:link w:val="Ttulo2"/>
    <w:uiPriority w:val="1"/>
    <w:semiHidden/>
    <w:rsid w:val="006D0496"/>
    <w:rPr>
      <w:rFonts w:ascii="Times New Roman" w:hAnsi="Times New Roman" w:eastAsia="Times New Roman" w:cs="Times New Roman"/>
      <w:b/>
      <w:bCs/>
      <w:kern w:val="0"/>
      <w:lang w:val="es-ES"/>
      <w14:ligatures w14:val="none"/>
    </w:rPr>
  </w:style>
  <w:style w:type="paragraph" w:styleId="Textoindependiente">
    <w:name w:val="Body Text"/>
    <w:basedOn w:val="Normal"/>
    <w:link w:val="TextoindependienteCar"/>
    <w:uiPriority w:val="1"/>
    <w:semiHidden/>
    <w:unhideWhenUsed/>
    <w:qFormat/>
    <w:rsid w:val="006D0496"/>
    <w:pPr>
      <w:widowControl w:val="0"/>
      <w:autoSpaceDE w:val="0"/>
      <w:autoSpaceDN w:val="0"/>
      <w:spacing w:after="0" w:line="240" w:lineRule="auto"/>
    </w:pPr>
    <w:rPr>
      <w:rFonts w:ascii="Times New Roman" w:hAnsi="Times New Roman" w:eastAsia="Times New Roman" w:cs="Times New Roman"/>
      <w:lang w:val="es-ES"/>
    </w:rPr>
  </w:style>
  <w:style w:type="character" w:styleId="TextoindependienteCar" w:customStyle="1">
    <w:name w:val="Texto independiente Car"/>
    <w:basedOn w:val="Fuentedeprrafopredeter"/>
    <w:link w:val="Textoindependiente"/>
    <w:uiPriority w:val="1"/>
    <w:semiHidden/>
    <w:rsid w:val="006D0496"/>
    <w:rPr>
      <w:rFonts w:ascii="Times New Roman" w:hAnsi="Times New Roman" w:eastAsia="Times New Roman" w:cs="Times New Roman"/>
      <w:kern w:val="0"/>
      <w:lang w:val="es-ES"/>
      <w14:ligatures w14:val="none"/>
    </w:rPr>
  </w:style>
  <w:style w:type="paragraph" w:styleId="Prrafodelista">
    <w:name w:val="List Paragraph"/>
    <w:basedOn w:val="Normal"/>
    <w:uiPriority w:val="1"/>
    <w:qFormat/>
    <w:rsid w:val="006D0496"/>
    <w:pPr>
      <w:widowControl w:val="0"/>
      <w:autoSpaceDE w:val="0"/>
      <w:autoSpaceDN w:val="0"/>
      <w:spacing w:after="0" w:line="240" w:lineRule="auto"/>
      <w:ind w:left="2062" w:hanging="720"/>
    </w:pPr>
    <w:rPr>
      <w:rFonts w:ascii="Times New Roman" w:hAnsi="Times New Roman" w:eastAsia="Times New Roman" w:cs="Times New Roman"/>
      <w:lang w:val="es-ES"/>
    </w:rPr>
  </w:style>
  <w:style w:type="paragraph" w:styleId="TableParagraph" w:customStyle="1">
    <w:name w:val="Table Paragraph"/>
    <w:basedOn w:val="Normal"/>
    <w:uiPriority w:val="1"/>
    <w:qFormat/>
    <w:rsid w:val="006D0496"/>
    <w:pPr>
      <w:widowControl w:val="0"/>
      <w:autoSpaceDE w:val="0"/>
      <w:autoSpaceDN w:val="0"/>
      <w:spacing w:after="0" w:line="240" w:lineRule="auto"/>
    </w:pPr>
    <w:rPr>
      <w:rFonts w:ascii="Times New Roman" w:hAnsi="Times New Roman" w:eastAsia="Times New Roman" w:cs="Times New Roman"/>
      <w:lang w:val="es-ES"/>
    </w:rPr>
  </w:style>
  <w:style w:type="table" w:styleId="TableNormal" w:customStyle="1">
    <w:name w:val="Normal Table0"/>
    <w:uiPriority w:val="2"/>
    <w:semiHidden/>
    <w:qFormat/>
    <w:rsid w:val="006D0496"/>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 w:type="paragraph" w:styleId="Default" w:customStyle="1">
    <w:name w:val="Default"/>
    <w:rsid w:val="006D0496"/>
    <w:pPr>
      <w:autoSpaceDE w:val="0"/>
      <w:autoSpaceDN w:val="0"/>
      <w:adjustRightInd w:val="0"/>
      <w:spacing w:after="0" w:line="240" w:lineRule="auto"/>
    </w:pPr>
    <w:rPr>
      <w:rFonts w:ascii="Arial" w:hAnsi="Arial" w:cs="Arial"/>
      <w:color w:val="000000"/>
      <w:kern w:val="0"/>
      <w:sz w:val="24"/>
      <w:szCs w:val="24"/>
    </w:rPr>
  </w:style>
  <w:style w:type="paragraph" w:styleId="Sinespaciado">
    <w:name w:val="No Spacing"/>
    <w:uiPriority w:val="1"/>
    <w:qFormat/>
    <w:rsid w:val="00305F12"/>
    <w:pPr>
      <w:spacing w:after="0" w:line="240" w:lineRule="auto"/>
    </w:pPr>
    <w:rPr>
      <w:kern w:val="0"/>
      <w14:ligatures w14:val="none"/>
    </w:rPr>
  </w:style>
  <w:style w:type="character" w:styleId="nrmar" w:customStyle="1">
    <w:name w:val="nrmar"/>
    <w:basedOn w:val="Fuentedeprrafopredeter"/>
    <w:rsid w:val="00661D06"/>
  </w:style>
  <w:style w:type="paragraph" w:styleId="Revisin">
    <w:name w:val="Revision"/>
    <w:hidden/>
    <w:uiPriority w:val="99"/>
    <w:semiHidden/>
    <w:rsid w:val="005C0388"/>
    <w:pPr>
      <w:spacing w:after="0" w:line="240" w:lineRule="auto"/>
    </w:pPr>
    <w:rPr>
      <w:kern w:val="0"/>
      <w14:ligatures w14:val="none"/>
    </w:rPr>
  </w:style>
  <w:style w:type="paragraph" w:styleId="Textodeglobo">
    <w:name w:val="Balloon Text"/>
    <w:basedOn w:val="Normal"/>
    <w:link w:val="TextodegloboCar"/>
    <w:uiPriority w:val="99"/>
    <w:semiHidden/>
    <w:unhideWhenUsed/>
    <w:rsid w:val="00153A55"/>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53A55"/>
    <w:rPr>
      <w:rFonts w:ascii="Segoe UI" w:hAnsi="Segoe UI" w:cs="Segoe UI"/>
      <w:kern w:val="0"/>
      <w:sz w:val="18"/>
      <w:szCs w:val="18"/>
      <w14:ligatures w14:val="none"/>
    </w:rPr>
  </w:style>
  <w:style w:type="character" w:styleId="Refdecomentario">
    <w:name w:val="annotation reference"/>
    <w:basedOn w:val="Fuentedeprrafopredeter"/>
    <w:uiPriority w:val="99"/>
    <w:semiHidden/>
    <w:unhideWhenUsed/>
    <w:rsid w:val="00153A55"/>
    <w:rPr>
      <w:sz w:val="16"/>
      <w:szCs w:val="16"/>
    </w:rPr>
  </w:style>
  <w:style w:type="paragraph" w:styleId="Textocomentario">
    <w:name w:val="annotation text"/>
    <w:basedOn w:val="Normal"/>
    <w:link w:val="TextocomentarioCar"/>
    <w:uiPriority w:val="99"/>
    <w:semiHidden/>
    <w:unhideWhenUsed/>
    <w:rsid w:val="00153A55"/>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153A55"/>
    <w:rPr>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153A55"/>
    <w:rPr>
      <w:b/>
      <w:bCs/>
    </w:rPr>
  </w:style>
  <w:style w:type="character" w:styleId="AsuntodelcomentarioCar" w:customStyle="1">
    <w:name w:val="Asunto del comentario Car"/>
    <w:basedOn w:val="TextocomentarioCar"/>
    <w:link w:val="Asuntodelcomentario"/>
    <w:uiPriority w:val="99"/>
    <w:semiHidden/>
    <w:rsid w:val="00153A55"/>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72861">
      <w:bodyDiv w:val="1"/>
      <w:marLeft w:val="0"/>
      <w:marRight w:val="0"/>
      <w:marTop w:val="0"/>
      <w:marBottom w:val="0"/>
      <w:divBdr>
        <w:top w:val="none" w:sz="0" w:space="0" w:color="auto"/>
        <w:left w:val="none" w:sz="0" w:space="0" w:color="auto"/>
        <w:bottom w:val="none" w:sz="0" w:space="0" w:color="auto"/>
        <w:right w:val="none" w:sz="0" w:space="0" w:color="auto"/>
      </w:divBdr>
    </w:div>
    <w:div w:id="1741364039">
      <w:bodyDiv w:val="1"/>
      <w:marLeft w:val="0"/>
      <w:marRight w:val="0"/>
      <w:marTop w:val="0"/>
      <w:marBottom w:val="0"/>
      <w:divBdr>
        <w:top w:val="none" w:sz="0" w:space="0" w:color="auto"/>
        <w:left w:val="none" w:sz="0" w:space="0" w:color="auto"/>
        <w:bottom w:val="none" w:sz="0" w:space="0" w:color="auto"/>
        <w:right w:val="none" w:sz="0" w:space="0" w:color="auto"/>
      </w:divBdr>
    </w:div>
    <w:div w:id="1862665300">
      <w:bodyDiv w:val="1"/>
      <w:marLeft w:val="0"/>
      <w:marRight w:val="0"/>
      <w:marTop w:val="0"/>
      <w:marBottom w:val="0"/>
      <w:divBdr>
        <w:top w:val="none" w:sz="0" w:space="0" w:color="auto"/>
        <w:left w:val="none" w:sz="0" w:space="0" w:color="auto"/>
        <w:bottom w:val="none" w:sz="0" w:space="0" w:color="auto"/>
        <w:right w:val="none" w:sz="0" w:space="0" w:color="auto"/>
      </w:divBdr>
      <w:divsChild>
        <w:div w:id="1354964058">
          <w:marLeft w:val="0"/>
          <w:marRight w:val="0"/>
          <w:marTop w:val="0"/>
          <w:marBottom w:val="0"/>
          <w:divBdr>
            <w:top w:val="none" w:sz="0" w:space="0" w:color="auto"/>
            <w:left w:val="none" w:sz="0" w:space="0" w:color="auto"/>
            <w:bottom w:val="none" w:sz="0" w:space="0" w:color="auto"/>
            <w:right w:val="none" w:sz="0" w:space="0" w:color="auto"/>
          </w:divBdr>
          <w:divsChild>
            <w:div w:id="614673593">
              <w:marLeft w:val="0"/>
              <w:marRight w:val="0"/>
              <w:marTop w:val="0"/>
              <w:marBottom w:val="0"/>
              <w:divBdr>
                <w:top w:val="none" w:sz="0" w:space="0" w:color="auto"/>
                <w:left w:val="none" w:sz="0" w:space="0" w:color="auto"/>
                <w:bottom w:val="none" w:sz="0" w:space="0" w:color="auto"/>
                <w:right w:val="none" w:sz="0" w:space="0" w:color="auto"/>
              </w:divBdr>
              <w:divsChild>
                <w:div w:id="268440935">
                  <w:marLeft w:val="0"/>
                  <w:marRight w:val="0"/>
                  <w:marTop w:val="0"/>
                  <w:marBottom w:val="0"/>
                  <w:divBdr>
                    <w:top w:val="none" w:sz="0" w:space="0" w:color="auto"/>
                    <w:left w:val="none" w:sz="0" w:space="0" w:color="auto"/>
                    <w:bottom w:val="none" w:sz="0" w:space="0" w:color="auto"/>
                    <w:right w:val="none" w:sz="0" w:space="0" w:color="auto"/>
                  </w:divBdr>
                  <w:divsChild>
                    <w:div w:id="333189011">
                      <w:marLeft w:val="0"/>
                      <w:marRight w:val="0"/>
                      <w:marTop w:val="0"/>
                      <w:marBottom w:val="0"/>
                      <w:divBdr>
                        <w:top w:val="none" w:sz="0" w:space="0" w:color="auto"/>
                        <w:left w:val="none" w:sz="0" w:space="0" w:color="auto"/>
                        <w:bottom w:val="none" w:sz="0" w:space="0" w:color="auto"/>
                        <w:right w:val="none" w:sz="0" w:space="0" w:color="auto"/>
                      </w:divBdr>
                      <w:divsChild>
                        <w:div w:id="1173454844">
                          <w:marLeft w:val="0"/>
                          <w:marRight w:val="0"/>
                          <w:marTop w:val="0"/>
                          <w:marBottom w:val="0"/>
                          <w:divBdr>
                            <w:top w:val="none" w:sz="0" w:space="0" w:color="auto"/>
                            <w:left w:val="none" w:sz="0" w:space="0" w:color="auto"/>
                            <w:bottom w:val="none" w:sz="0" w:space="0" w:color="auto"/>
                            <w:right w:val="none" w:sz="0" w:space="0" w:color="auto"/>
                          </w:divBdr>
                        </w:div>
                        <w:div w:id="618990951">
                          <w:marLeft w:val="0"/>
                          <w:marRight w:val="0"/>
                          <w:marTop w:val="0"/>
                          <w:marBottom w:val="0"/>
                          <w:divBdr>
                            <w:top w:val="none" w:sz="0" w:space="0" w:color="auto"/>
                            <w:left w:val="none" w:sz="0" w:space="0" w:color="auto"/>
                            <w:bottom w:val="none" w:sz="0" w:space="0" w:color="auto"/>
                            <w:right w:val="none" w:sz="0" w:space="0" w:color="auto"/>
                          </w:divBdr>
                        </w:div>
                        <w:div w:id="924337033">
                          <w:marLeft w:val="0"/>
                          <w:marRight w:val="0"/>
                          <w:marTop w:val="0"/>
                          <w:marBottom w:val="0"/>
                          <w:divBdr>
                            <w:top w:val="none" w:sz="0" w:space="0" w:color="auto"/>
                            <w:left w:val="none" w:sz="0" w:space="0" w:color="auto"/>
                            <w:bottom w:val="none" w:sz="0" w:space="0" w:color="auto"/>
                            <w:right w:val="none" w:sz="0" w:space="0" w:color="auto"/>
                          </w:divBdr>
                        </w:div>
                        <w:div w:id="222446937">
                          <w:marLeft w:val="0"/>
                          <w:marRight w:val="0"/>
                          <w:marTop w:val="0"/>
                          <w:marBottom w:val="0"/>
                          <w:divBdr>
                            <w:top w:val="none" w:sz="0" w:space="0" w:color="auto"/>
                            <w:left w:val="none" w:sz="0" w:space="0" w:color="auto"/>
                            <w:bottom w:val="none" w:sz="0" w:space="0" w:color="auto"/>
                            <w:right w:val="none" w:sz="0" w:space="0" w:color="auto"/>
                          </w:divBdr>
                        </w:div>
                        <w:div w:id="95252170">
                          <w:marLeft w:val="0"/>
                          <w:marRight w:val="0"/>
                          <w:marTop w:val="0"/>
                          <w:marBottom w:val="0"/>
                          <w:divBdr>
                            <w:top w:val="none" w:sz="0" w:space="0" w:color="auto"/>
                            <w:left w:val="none" w:sz="0" w:space="0" w:color="auto"/>
                            <w:bottom w:val="none" w:sz="0" w:space="0" w:color="auto"/>
                            <w:right w:val="none" w:sz="0" w:space="0" w:color="auto"/>
                          </w:divBdr>
                        </w:div>
                        <w:div w:id="1442922208">
                          <w:marLeft w:val="0"/>
                          <w:marRight w:val="0"/>
                          <w:marTop w:val="0"/>
                          <w:marBottom w:val="0"/>
                          <w:divBdr>
                            <w:top w:val="none" w:sz="0" w:space="0" w:color="auto"/>
                            <w:left w:val="none" w:sz="0" w:space="0" w:color="auto"/>
                            <w:bottom w:val="none" w:sz="0" w:space="0" w:color="auto"/>
                            <w:right w:val="none" w:sz="0" w:space="0" w:color="auto"/>
                          </w:divBdr>
                        </w:div>
                        <w:div w:id="680469912">
                          <w:marLeft w:val="0"/>
                          <w:marRight w:val="0"/>
                          <w:marTop w:val="0"/>
                          <w:marBottom w:val="0"/>
                          <w:divBdr>
                            <w:top w:val="none" w:sz="0" w:space="0" w:color="auto"/>
                            <w:left w:val="none" w:sz="0" w:space="0" w:color="auto"/>
                            <w:bottom w:val="none" w:sz="0" w:space="0" w:color="auto"/>
                            <w:right w:val="none" w:sz="0" w:space="0" w:color="auto"/>
                          </w:divBdr>
                        </w:div>
                        <w:div w:id="1509909646">
                          <w:marLeft w:val="0"/>
                          <w:marRight w:val="0"/>
                          <w:marTop w:val="0"/>
                          <w:marBottom w:val="0"/>
                          <w:divBdr>
                            <w:top w:val="none" w:sz="0" w:space="0" w:color="auto"/>
                            <w:left w:val="none" w:sz="0" w:space="0" w:color="auto"/>
                            <w:bottom w:val="none" w:sz="0" w:space="0" w:color="auto"/>
                            <w:right w:val="none" w:sz="0" w:space="0" w:color="auto"/>
                          </w:divBdr>
                        </w:div>
                        <w:div w:id="9426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967637">
          <w:marLeft w:val="0"/>
          <w:marRight w:val="0"/>
          <w:marTop w:val="0"/>
          <w:marBottom w:val="0"/>
          <w:divBdr>
            <w:top w:val="none" w:sz="0" w:space="0" w:color="auto"/>
            <w:left w:val="none" w:sz="0" w:space="0" w:color="auto"/>
            <w:bottom w:val="none" w:sz="0" w:space="0" w:color="auto"/>
            <w:right w:val="none" w:sz="0" w:space="0" w:color="auto"/>
          </w:divBdr>
          <w:divsChild>
            <w:div w:id="843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5BE0B-3840-48B4-B09A-3AAEDADBC9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Samuel Byun</dc:creator>
  <keywords/>
  <dc:description/>
  <lastModifiedBy>Daniela Beatriz Palacios Navarrete</lastModifiedBy>
  <revision>3</revision>
  <dcterms:created xsi:type="dcterms:W3CDTF">2023-09-10T02:37:00.0000000Z</dcterms:created>
  <dcterms:modified xsi:type="dcterms:W3CDTF">2023-09-13T15:47:29.3516961Z</dcterms:modified>
</coreProperties>
</file>