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247"/>
        <w:gridCol w:w="4247"/>
      </w:tblGrid>
      <w:tr w:rsidR="00BF3B38" w:rsidTr="00BF3B38">
        <w:tc>
          <w:tcPr>
            <w:tcW w:w="4247" w:type="dxa"/>
          </w:tcPr>
          <w:p w:rsidR="00BF3B38" w:rsidRDefault="00BF3B38">
            <w:r>
              <w:t>Concejal Fidel Chamba</w:t>
            </w:r>
          </w:p>
        </w:tc>
        <w:tc>
          <w:tcPr>
            <w:tcW w:w="4247" w:type="dxa"/>
          </w:tcPr>
          <w:p w:rsidR="00BF3B38" w:rsidRPr="00BF3B38" w:rsidRDefault="00BF3B38" w:rsidP="00BF3B38">
            <w:pPr>
              <w:pStyle w:val="Prrafodelista"/>
              <w:numPr>
                <w:ilvl w:val="0"/>
                <w:numId w:val="1"/>
              </w:numPr>
            </w:pPr>
            <w:r w:rsidRPr="005F598C">
              <w:rPr>
                <w:rFonts w:ascii="Palatino Linotype" w:hAnsi="Palatino Linotype"/>
              </w:rPr>
              <w:t>en el artículo uno, el objeto de la ordenanza tiene, es por tal, la regularización y titularización de asentamientos humanos de hecho y consolidados; sobre este tema, colegas concejales, quiteños y quiteñas, es importante en este proyecto de ordenanza definir específicamente a qué nos vamos a referir con asentamientos humanos de hecho y consolidados</w:t>
            </w:r>
          </w:p>
          <w:p w:rsidR="00BF3B38" w:rsidRPr="00BF3B38" w:rsidRDefault="00BF3B38" w:rsidP="00BF3B38">
            <w:pPr>
              <w:pStyle w:val="Prrafodelista"/>
              <w:numPr>
                <w:ilvl w:val="0"/>
                <w:numId w:val="1"/>
              </w:numPr>
            </w:pPr>
            <w:r w:rsidRPr="005F598C">
              <w:rPr>
                <w:rFonts w:ascii="Palatino Linotype" w:hAnsi="Palatino Linotype"/>
              </w:rPr>
              <w:t>la Ordenanza No. 147, establece las definiciones de asentamiento humano de hecho y consolidado, asentamiento humano de hecho y consolidado precario, áreas verdes y de equipamiento y demás definiciones. Si bien es cierto que el Código Municipal este momento no establece una definición concreta, es importante señor Alcalde, en el marco de la construcción de esta ordenanza tener definido cuál va a ser la característica de un asentamiento humano de hecho y consolidad</w:t>
            </w:r>
          </w:p>
          <w:p w:rsidR="00BF3B38" w:rsidRPr="00BF3B38" w:rsidRDefault="00BF3B38" w:rsidP="00BF3B38">
            <w:pPr>
              <w:pStyle w:val="Prrafodelista"/>
              <w:numPr>
                <w:ilvl w:val="0"/>
                <w:numId w:val="1"/>
              </w:numPr>
            </w:pPr>
            <w:r>
              <w:rPr>
                <w:rFonts w:ascii="Palatino Linotype" w:hAnsi="Palatino Linotype"/>
              </w:rPr>
              <w:t>Articulo 3 grupo 1:</w:t>
            </w:r>
            <w:r w:rsidRPr="00BF3B38">
              <w:rPr>
                <w:rFonts w:ascii="Palatino Linotype" w:hAnsi="Palatino Linotype"/>
              </w:rPr>
              <w:t>es importante poder definir el concepto constituido en el marco de lo que puede haber sido la constitución respecto de los ministerios que en esa época estaban ejerciendo la rectoría</w:t>
            </w:r>
          </w:p>
          <w:p w:rsidR="00BF3B38" w:rsidRPr="00BF3B38" w:rsidRDefault="00BF3B38" w:rsidP="00BF3B38">
            <w:pPr>
              <w:pStyle w:val="Prrafodelista"/>
              <w:numPr>
                <w:ilvl w:val="0"/>
                <w:numId w:val="1"/>
              </w:numPr>
            </w:pPr>
            <w:r w:rsidRPr="005F598C">
              <w:rPr>
                <w:rFonts w:ascii="Palatino Linotype" w:hAnsi="Palatino Linotype"/>
              </w:rPr>
              <w:t>El artículo 5 respecto de la periodización</w:t>
            </w:r>
            <w:r>
              <w:rPr>
                <w:rFonts w:ascii="Palatino Linotype" w:hAnsi="Palatino Linotype"/>
              </w:rPr>
              <w:t xml:space="preserve">: </w:t>
            </w:r>
            <w:r w:rsidRPr="005F598C">
              <w:rPr>
                <w:rFonts w:ascii="Palatino Linotype" w:hAnsi="Palatino Linotype"/>
              </w:rPr>
              <w:t>sugerir se pueda en este proyecto de ordenanza establecer los mecanismos mínimos con los cuales la Secretaría y las demás entidades van a tener la posibilidad de priorizar, y entramos en una lógica de análisis jurídico</w:t>
            </w:r>
          </w:p>
          <w:p w:rsidR="00BF3B38" w:rsidRPr="00BF3B38" w:rsidRDefault="00BF3B38" w:rsidP="00BF3B38">
            <w:pPr>
              <w:pStyle w:val="Prrafodelista"/>
              <w:numPr>
                <w:ilvl w:val="0"/>
                <w:numId w:val="1"/>
              </w:numPr>
            </w:pPr>
            <w:r w:rsidRPr="005F598C">
              <w:rPr>
                <w:rFonts w:ascii="Palatino Linotype" w:hAnsi="Palatino Linotype"/>
              </w:rPr>
              <w:t>En el artículo 8</w:t>
            </w:r>
            <w:r>
              <w:rPr>
                <w:rFonts w:ascii="Palatino Linotype" w:hAnsi="Palatino Linotype"/>
              </w:rPr>
              <w:t>:</w:t>
            </w:r>
            <w:r w:rsidRPr="005F598C">
              <w:rPr>
                <w:rFonts w:ascii="Palatino Linotype" w:hAnsi="Palatino Linotype"/>
              </w:rPr>
              <w:t xml:space="preserve"> </w:t>
            </w:r>
            <w:r w:rsidRPr="005F598C">
              <w:rPr>
                <w:rFonts w:ascii="Palatino Linotype" w:hAnsi="Palatino Linotype"/>
              </w:rPr>
              <w:t xml:space="preserve">se tiene que dar respuesta respecto de cuál va a ser la lógica de respuesta a estos asentamientos humanos y </w:t>
            </w:r>
            <w:r w:rsidRPr="005F598C">
              <w:rPr>
                <w:rFonts w:ascii="Palatino Linotype" w:hAnsi="Palatino Linotype"/>
              </w:rPr>
              <w:lastRenderedPageBreak/>
              <w:t>consolidados</w:t>
            </w:r>
            <w:r>
              <w:rPr>
                <w:rFonts w:ascii="Palatino Linotype" w:hAnsi="Palatino Linotype"/>
              </w:rPr>
              <w:t xml:space="preserve"> que se encuentran en alto riesgo. </w:t>
            </w:r>
          </w:p>
          <w:p w:rsidR="00BF3B38" w:rsidRPr="00BF3B38" w:rsidRDefault="00BF3B38" w:rsidP="00BF3B38">
            <w:pPr>
              <w:pStyle w:val="Prrafodelista"/>
              <w:numPr>
                <w:ilvl w:val="0"/>
                <w:numId w:val="1"/>
              </w:numPr>
            </w:pPr>
            <w:r w:rsidRPr="005F598C">
              <w:rPr>
                <w:rFonts w:ascii="Palatino Linotype" w:hAnsi="Palatino Linotype"/>
              </w:rPr>
              <w:t>En el artículo 16</w:t>
            </w:r>
            <w:r>
              <w:rPr>
                <w:rFonts w:ascii="Palatino Linotype" w:hAnsi="Palatino Linotype"/>
              </w:rPr>
              <w:t xml:space="preserve">: </w:t>
            </w:r>
            <w:r w:rsidRPr="00BF3B38">
              <w:rPr>
                <w:rFonts w:ascii="Palatino Linotype" w:hAnsi="Palatino Linotype"/>
              </w:rPr>
              <w:t>se analice la posibilidad de poder establecer una transitoria respecto de un tiempo perentorio con el cual se pueda establecer un proceso de regularización de las edificaciones</w:t>
            </w:r>
          </w:p>
          <w:p w:rsidR="00BF3B38" w:rsidRPr="00BF3B38" w:rsidRDefault="007469E0" w:rsidP="00BF3B38">
            <w:pPr>
              <w:pStyle w:val="Prrafodelista"/>
              <w:numPr>
                <w:ilvl w:val="0"/>
                <w:numId w:val="1"/>
              </w:numPr>
            </w:pPr>
            <w:r w:rsidRPr="005F598C">
              <w:rPr>
                <w:rFonts w:ascii="Palatino Linotype" w:hAnsi="Palatino Linotype"/>
              </w:rPr>
              <w:t>definiciones</w:t>
            </w:r>
            <w:r w:rsidRPr="005F598C">
              <w:rPr>
                <w:rFonts w:ascii="Palatino Linotype" w:hAnsi="Palatino Linotype"/>
              </w:rPr>
              <w:t xml:space="preserve"> respecto de la Ordenanza No. 147</w:t>
            </w:r>
          </w:p>
          <w:p w:rsidR="00BF3B38" w:rsidRDefault="00BF3B38" w:rsidP="00BF3B38">
            <w:pPr>
              <w:pStyle w:val="Prrafodelista"/>
            </w:pPr>
          </w:p>
        </w:tc>
      </w:tr>
      <w:tr w:rsidR="00BF3B38" w:rsidTr="00BF3B38">
        <w:tc>
          <w:tcPr>
            <w:tcW w:w="4247" w:type="dxa"/>
          </w:tcPr>
          <w:p w:rsidR="00BF3B38" w:rsidRDefault="007469E0">
            <w:r w:rsidRPr="005F598C">
              <w:rPr>
                <w:rFonts w:ascii="Palatino Linotype" w:hAnsi="Palatino Linotype" w:cs="Palatino Linotype,Bold"/>
                <w:b/>
                <w:bCs/>
              </w:rPr>
              <w:lastRenderedPageBreak/>
              <w:t>CONCEJALA DIANA CRUZ</w:t>
            </w:r>
          </w:p>
        </w:tc>
        <w:tc>
          <w:tcPr>
            <w:tcW w:w="4247" w:type="dxa"/>
          </w:tcPr>
          <w:p w:rsidR="00BF3B38" w:rsidRPr="007469E0" w:rsidRDefault="007469E0" w:rsidP="007469E0">
            <w:pPr>
              <w:pStyle w:val="Prrafodelista"/>
              <w:numPr>
                <w:ilvl w:val="0"/>
                <w:numId w:val="2"/>
              </w:numPr>
            </w:pPr>
            <w:r>
              <w:t>Articular 3: analizar la pertinencia de mantener el grupo 3</w:t>
            </w:r>
          </w:p>
        </w:tc>
      </w:tr>
      <w:tr w:rsidR="00BF3B38" w:rsidTr="00BF3B38">
        <w:tc>
          <w:tcPr>
            <w:tcW w:w="4247" w:type="dxa"/>
          </w:tcPr>
          <w:p w:rsidR="007469E0" w:rsidRPr="00214001" w:rsidRDefault="007469E0" w:rsidP="007469E0">
            <w:pPr>
              <w:jc w:val="both"/>
              <w:rPr>
                <w:rFonts w:ascii="Palatino Linotype" w:hAnsi="Palatino Linotype" w:cs="Palatino Linotype,Bold"/>
                <w:b/>
                <w:bCs/>
              </w:rPr>
            </w:pPr>
            <w:r w:rsidRPr="00214001">
              <w:rPr>
                <w:rFonts w:ascii="Palatino Linotype" w:hAnsi="Palatino Linotype" w:cs="Palatino Linotype,Bold"/>
                <w:b/>
                <w:bCs/>
              </w:rPr>
              <w:t xml:space="preserve">CONCEJAL HÉCTOR CUEVA </w:t>
            </w:r>
            <w:proofErr w:type="spellStart"/>
            <w:r w:rsidRPr="00214001">
              <w:rPr>
                <w:rFonts w:ascii="Palatino Linotype" w:hAnsi="Palatino Linotype" w:cs="Palatino Linotype,Bold"/>
                <w:b/>
                <w:bCs/>
              </w:rPr>
              <w:t>CUEVA</w:t>
            </w:r>
            <w:proofErr w:type="spellEnd"/>
          </w:p>
          <w:p w:rsidR="00BF3B38" w:rsidRDefault="00BF3B38"/>
        </w:tc>
        <w:tc>
          <w:tcPr>
            <w:tcW w:w="4247" w:type="dxa"/>
          </w:tcPr>
          <w:p w:rsidR="00BF3B38" w:rsidRDefault="007469E0" w:rsidP="007469E0">
            <w:pPr>
              <w:pStyle w:val="Prrafodelista"/>
              <w:numPr>
                <w:ilvl w:val="0"/>
                <w:numId w:val="2"/>
              </w:numPr>
            </w:pPr>
            <w:r w:rsidRPr="005F598C">
              <w:rPr>
                <w:rFonts w:ascii="Palatino Linotype" w:hAnsi="Palatino Linotype"/>
              </w:rPr>
              <w:t>artículo 20 pase a formar parte del nuevo artículo y propongo que se agregue dos incisos, quedando con tres incisos el nuevo artículo 21 denominado “plazo de ejecución de obras y ampliación del plazo</w:t>
            </w:r>
          </w:p>
        </w:tc>
      </w:tr>
      <w:tr w:rsidR="00BF3B38" w:rsidTr="00BF3B38">
        <w:tc>
          <w:tcPr>
            <w:tcW w:w="4247" w:type="dxa"/>
          </w:tcPr>
          <w:p w:rsidR="004A240D" w:rsidRPr="00214001" w:rsidRDefault="004A240D" w:rsidP="004A240D">
            <w:pPr>
              <w:jc w:val="both"/>
              <w:rPr>
                <w:rFonts w:ascii="Palatino Linotype" w:hAnsi="Palatino Linotype"/>
                <w:b/>
              </w:rPr>
            </w:pPr>
            <w:r w:rsidRPr="00214001">
              <w:rPr>
                <w:rFonts w:ascii="Palatino Linotype" w:hAnsi="Palatino Linotype"/>
                <w:b/>
              </w:rPr>
              <w:t>ALCALDE PABEL MUÑOZ LÓPEZ</w:t>
            </w:r>
          </w:p>
          <w:p w:rsidR="00BF3B38" w:rsidRDefault="00BF3B38"/>
        </w:tc>
        <w:tc>
          <w:tcPr>
            <w:tcW w:w="4247" w:type="dxa"/>
          </w:tcPr>
          <w:p w:rsidR="00BF3B38" w:rsidRDefault="004A240D" w:rsidP="004A240D">
            <w:pPr>
              <w:pStyle w:val="Prrafodelista"/>
              <w:numPr>
                <w:ilvl w:val="0"/>
                <w:numId w:val="2"/>
              </w:numPr>
            </w:pPr>
            <w:bookmarkStart w:id="0" w:name="_GoBack"/>
            <w:bookmarkEnd w:id="0"/>
            <w:r w:rsidRPr="005F598C">
              <w:rPr>
                <w:rFonts w:ascii="Palatino Linotype" w:hAnsi="Palatino Linotype"/>
              </w:rPr>
              <w:t>una disposición de moratoria sobre los procesos de invasión de tierras</w:t>
            </w:r>
          </w:p>
        </w:tc>
      </w:tr>
      <w:tr w:rsidR="00BF3B38" w:rsidTr="00BF3B38">
        <w:tc>
          <w:tcPr>
            <w:tcW w:w="4247" w:type="dxa"/>
          </w:tcPr>
          <w:p w:rsidR="00BF3B38" w:rsidRDefault="00BF3B38"/>
        </w:tc>
        <w:tc>
          <w:tcPr>
            <w:tcW w:w="4247" w:type="dxa"/>
          </w:tcPr>
          <w:p w:rsidR="00BF3B38" w:rsidRDefault="00BF3B38"/>
        </w:tc>
      </w:tr>
    </w:tbl>
    <w:p w:rsidR="001E36F3" w:rsidRDefault="001C1FF3"/>
    <w:sectPr w:rsidR="001E36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82698"/>
    <w:multiLevelType w:val="hybridMultilevel"/>
    <w:tmpl w:val="B46043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2D646B0"/>
    <w:multiLevelType w:val="hybridMultilevel"/>
    <w:tmpl w:val="FFF4D5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38"/>
    <w:rsid w:val="001C1FF3"/>
    <w:rsid w:val="004A240D"/>
    <w:rsid w:val="007469E0"/>
    <w:rsid w:val="00B16FDA"/>
    <w:rsid w:val="00B41E70"/>
    <w:rsid w:val="00BF3B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49D"/>
  <w15:chartTrackingRefBased/>
  <w15:docId w15:val="{E3D15613-075F-4A4B-95CC-817B2A15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3B38"/>
    <w:pPr>
      <w:ind w:left="720"/>
      <w:contextualSpacing/>
    </w:pPr>
  </w:style>
  <w:style w:type="paragraph" w:styleId="Textodeglobo">
    <w:name w:val="Balloon Text"/>
    <w:basedOn w:val="Normal"/>
    <w:link w:val="TextodegloboCar"/>
    <w:uiPriority w:val="99"/>
    <w:semiHidden/>
    <w:unhideWhenUsed/>
    <w:rsid w:val="004A24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329</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Patricia Melo Castillo</dc:creator>
  <cp:keywords/>
  <dc:description/>
  <cp:lastModifiedBy>Gabriela Patricia Melo Castillo</cp:lastModifiedBy>
  <cp:revision>2</cp:revision>
  <cp:lastPrinted>2024-03-04T13:44:00Z</cp:lastPrinted>
  <dcterms:created xsi:type="dcterms:W3CDTF">2024-03-04T13:15:00Z</dcterms:created>
  <dcterms:modified xsi:type="dcterms:W3CDTF">2024-03-04T17:19:00Z</dcterms:modified>
</cp:coreProperties>
</file>