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bookmarkStart w:id="0" w:name="_GoBack"/>
      <w:bookmarkEnd w:id="0"/>
    </w:p>
    <w:p w14:paraId="40EE2E47" w14:textId="77777777" w:rsidR="009631CE" w:rsidRPr="009631CE" w:rsidRDefault="009631CE" w:rsidP="009631CE">
      <w:pPr>
        <w:pStyle w:val="Puest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2F81E15B"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w:t>
      </w:r>
      <w:r w:rsidR="001E4634" w:rsidRPr="00FB0932">
        <w:rPr>
          <w:rFonts w:ascii="Times New Roman" w:hAnsi="Times New Roman" w:cs="Times New Roman"/>
          <w:b w:val="0"/>
          <w:bCs w:val="0"/>
        </w:rPr>
        <w:t xml:space="preserve">tu </w:t>
      </w:r>
      <w:r w:rsidR="00A5044F" w:rsidRPr="00FB0932">
        <w:rPr>
          <w:rFonts w:ascii="Times New Roman" w:hAnsi="Times New Roman" w:cs="Times New Roman"/>
          <w:b w:val="0"/>
          <w:bCs w:val="0"/>
        </w:rPr>
        <w:t xml:space="preserve">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2A3310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8F1DD4">
        <w:rPr>
          <w:rFonts w:ascii="Times New Roman" w:hAnsi="Times New Roman" w:cs="Times New Roman"/>
          <w:b w:val="0"/>
          <w:bCs w:val="0"/>
        </w:rPr>
        <w:t>Ruta Viva de San Juan de Calderón</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BC74D4" w:rsidRPr="00FB0932">
        <w:rPr>
          <w:rFonts w:ascii="Times New Roman" w:hAnsi="Times New Roman" w:cs="Times New Roman"/>
          <w:b w:val="0"/>
          <w:bCs w:val="0"/>
        </w:rPr>
        <w:t>4</w:t>
      </w:r>
      <w:r w:rsidR="008F1DD4">
        <w:rPr>
          <w:rFonts w:ascii="Times New Roman" w:hAnsi="Times New Roman" w:cs="Times New Roman"/>
          <w:b w:val="0"/>
          <w:bCs w:val="0"/>
        </w:rPr>
        <w:t>3</w:t>
      </w:r>
      <w:r w:rsidR="00C82F6B">
        <w:rPr>
          <w:rFonts w:ascii="Times New Roman" w:hAnsi="Times New Roman" w:cs="Times New Roman"/>
          <w:b w:val="0"/>
          <w:bCs w:val="0"/>
        </w:rPr>
        <w:t>,</w:t>
      </w:r>
      <w:r w:rsidR="008F1DD4">
        <w:rPr>
          <w:rFonts w:ascii="Times New Roman" w:hAnsi="Times New Roman" w:cs="Times New Roman"/>
          <w:b w:val="0"/>
          <w:bCs w:val="0"/>
        </w:rPr>
        <w:t>33</w:t>
      </w:r>
      <w:r w:rsidRPr="00FB0932">
        <w:rPr>
          <w:rFonts w:ascii="Times New Roman" w:hAnsi="Times New Roman" w:cs="Times New Roman"/>
          <w:b w:val="0"/>
          <w:bCs w:val="0"/>
        </w:rPr>
        <w:t xml:space="preserve">%, al momento de la sanción de la presente Ordenanza cuenta con </w:t>
      </w:r>
      <w:r w:rsidR="008F1DD4">
        <w:rPr>
          <w:rFonts w:ascii="Times New Roman" w:hAnsi="Times New Roman" w:cs="Times New Roman"/>
          <w:b w:val="0"/>
          <w:bCs w:val="0"/>
        </w:rPr>
        <w:t>10</w:t>
      </w:r>
      <w:r w:rsidRPr="00FB0932">
        <w:rPr>
          <w:rFonts w:ascii="Times New Roman" w:hAnsi="Times New Roman" w:cs="Times New Roman"/>
          <w:b w:val="0"/>
          <w:bCs w:val="0"/>
        </w:rPr>
        <w:t xml:space="preserve"> años de asentamiento, </w:t>
      </w:r>
      <w:r w:rsidR="008F1DD4">
        <w:rPr>
          <w:rFonts w:ascii="Times New Roman" w:hAnsi="Times New Roman" w:cs="Times New Roman"/>
          <w:b w:val="0"/>
          <w:bCs w:val="0"/>
        </w:rPr>
        <w:t>30</w:t>
      </w:r>
      <w:r w:rsidRPr="00FB0932">
        <w:rPr>
          <w:rFonts w:ascii="Times New Roman" w:hAnsi="Times New Roman" w:cs="Times New Roman"/>
          <w:b w:val="0"/>
          <w:bCs w:val="0"/>
        </w:rPr>
        <w:t xml:space="preserve"> número de lotes a fraccionar y </w:t>
      </w:r>
      <w:r w:rsidR="008F1DD4">
        <w:rPr>
          <w:rFonts w:ascii="Times New Roman" w:hAnsi="Times New Roman" w:cs="Times New Roman"/>
          <w:b w:val="0"/>
          <w:bCs w:val="0"/>
        </w:rPr>
        <w:t>123</w:t>
      </w:r>
      <w:r w:rsidRPr="00FB0932">
        <w:rPr>
          <w:rFonts w:ascii="Times New Roman" w:hAnsi="Times New Roman" w:cs="Times New Roman"/>
          <w:b w:val="0"/>
          <w:bCs w:val="0"/>
        </w:rPr>
        <w:t xml:space="preserve"> beneficiarios.</w:t>
      </w:r>
    </w:p>
    <w:p w14:paraId="031880B6" w14:textId="0B3F1D59"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Dicho asentamiento humano de hecho y consolidado de interés social no cuenta con reconocimiento legal por parte de la Municipalidad, por lo que la Unidad Especial “Regula </w:t>
      </w:r>
      <w:r w:rsidR="00E94606" w:rsidRPr="00FB0932">
        <w:rPr>
          <w:rFonts w:ascii="Times New Roman" w:hAnsi="Times New Roman" w:cs="Times New Roman"/>
          <w:b w:val="0"/>
          <w:bCs w:val="0"/>
        </w:rPr>
        <w:t xml:space="preserve">tu </w:t>
      </w:r>
      <w:r w:rsidRPr="00FB0932">
        <w:rPr>
          <w:rFonts w:ascii="Times New Roman" w:hAnsi="Times New Roman" w:cs="Times New Roman"/>
          <w:b w:val="0"/>
          <w:bCs w:val="0"/>
        </w:rPr>
        <w:t>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21E73A88"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8F1DD4">
        <w:rPr>
          <w:rFonts w:ascii="Times New Roman" w:hAnsi="Times New Roman" w:cs="Times New Roman"/>
          <w:b w:val="0"/>
          <w:bCs w:val="0"/>
        </w:rPr>
        <w:t>Ruta Viva de San Juan de Calderón</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12F6CC43" w14:textId="77777777" w:rsidR="004F2B0A" w:rsidRDefault="004F2B0A" w:rsidP="00FB0932">
      <w:pPr>
        <w:spacing w:after="240" w:line="276" w:lineRule="auto"/>
        <w:jc w:val="both"/>
        <w:rPr>
          <w:sz w:val="24"/>
          <w:szCs w:val="24"/>
        </w:rPr>
      </w:pPr>
    </w:p>
    <w:p w14:paraId="2106E056" w14:textId="2449EBAC" w:rsidR="004F2B0A" w:rsidRPr="000C21D1" w:rsidRDefault="004F2B0A" w:rsidP="000C21D1">
      <w:pPr>
        <w:spacing w:after="240" w:line="276" w:lineRule="auto"/>
        <w:jc w:val="center"/>
        <w:rPr>
          <w:b/>
          <w:sz w:val="24"/>
          <w:szCs w:val="24"/>
        </w:rPr>
      </w:pPr>
      <w:r w:rsidRPr="000C21D1">
        <w:rPr>
          <w:b/>
          <w:sz w:val="24"/>
          <w:szCs w:val="24"/>
        </w:rPr>
        <w:lastRenderedPageBreak/>
        <w:t>EL CONCEJO METROPOLITANO DE QUITO</w:t>
      </w:r>
    </w:p>
    <w:p w14:paraId="708E0042" w14:textId="1FD90D59" w:rsidR="00143683" w:rsidRPr="00FB0932" w:rsidRDefault="00143683" w:rsidP="00FB0932">
      <w:pPr>
        <w:spacing w:after="240" w:line="276" w:lineRule="auto"/>
        <w:jc w:val="both"/>
        <w:rPr>
          <w:sz w:val="24"/>
          <w:szCs w:val="24"/>
        </w:rPr>
      </w:pPr>
      <w:r w:rsidRPr="00FB0932">
        <w:rPr>
          <w:sz w:val="24"/>
          <w:szCs w:val="24"/>
        </w:rPr>
        <w:t xml:space="preserve">Visto el Informe </w:t>
      </w:r>
      <w:r w:rsidR="00237E21">
        <w:rPr>
          <w:sz w:val="24"/>
          <w:szCs w:val="24"/>
        </w:rPr>
        <w:t xml:space="preserve">No.         </w:t>
      </w:r>
      <w:proofErr w:type="gramStart"/>
      <w:r w:rsidR="00237E21">
        <w:rPr>
          <w:sz w:val="24"/>
          <w:szCs w:val="24"/>
        </w:rPr>
        <w:t>,de</w:t>
      </w:r>
      <w:proofErr w:type="gramEnd"/>
      <w:r w:rsidR="00237E21">
        <w:rPr>
          <w:sz w:val="24"/>
          <w:szCs w:val="24"/>
        </w:rPr>
        <w:t xml:space="preserve">          </w:t>
      </w:r>
      <w:proofErr w:type="spellStart"/>
      <w:r w:rsidR="00237E21">
        <w:rPr>
          <w:sz w:val="24"/>
          <w:szCs w:val="24"/>
        </w:rPr>
        <w:t>de</w:t>
      </w:r>
      <w:proofErr w:type="spellEnd"/>
      <w:r w:rsidR="00237E21">
        <w:rPr>
          <w:sz w:val="24"/>
          <w:szCs w:val="24"/>
        </w:rPr>
        <w:t xml:space="preserve"> 2022</w:t>
      </w:r>
      <w:r w:rsidRPr="00FB0932">
        <w:rPr>
          <w:sz w:val="24"/>
          <w:szCs w:val="24"/>
        </w:rPr>
        <w:t>,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w:t>
      </w:r>
      <w:r w:rsidRPr="00FB0932">
        <w:rPr>
          <w:bCs/>
          <w:i/>
          <w:sz w:val="24"/>
          <w:szCs w:val="24"/>
        </w:rPr>
        <w:lastRenderedPageBreak/>
        <w:t>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F92F2E2" w14:textId="6DCE6075" w:rsidR="004C3598" w:rsidRPr="00FB0932" w:rsidRDefault="00CD4769" w:rsidP="00E94606">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la Unidad Especial “Regula </w:t>
      </w:r>
      <w:r w:rsidR="00E94606" w:rsidRPr="00FB0932">
        <w:rPr>
          <w:bCs/>
          <w:sz w:val="24"/>
          <w:szCs w:val="24"/>
        </w:rPr>
        <w:t xml:space="preserve">tu </w:t>
      </w:r>
      <w:r w:rsidRPr="00FB0932">
        <w:rPr>
          <w:bCs/>
          <w:sz w:val="24"/>
          <w:szCs w:val="24"/>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078533B" w14:textId="46B3FD7D"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 xml:space="preserve">Que, </w:t>
      </w:r>
      <w:r w:rsidRPr="00FB0932">
        <w:rPr>
          <w:b/>
          <w:bCs/>
          <w:sz w:val="24"/>
          <w:szCs w:val="24"/>
        </w:rPr>
        <w:tab/>
      </w:r>
      <w:r w:rsidRPr="00FB0932">
        <w:rPr>
          <w:bCs/>
          <w:sz w:val="24"/>
          <w:szCs w:val="24"/>
        </w:rPr>
        <w:t xml:space="preserve">el libro IV.7., título II </w:t>
      </w:r>
      <w:r w:rsidR="00E94606" w:rsidRPr="007D5F63">
        <w:rPr>
          <w:bCs/>
          <w:sz w:val="24"/>
          <w:szCs w:val="24"/>
        </w:rPr>
        <w:t>del Código Municipal para el Distrito Metropolitano de Quito</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2EE539CF"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xml:space="preserve">, último párrafo </w:t>
      </w:r>
      <w:r w:rsidR="00237E21" w:rsidRPr="007D5F63">
        <w:rPr>
          <w:bCs/>
          <w:sz w:val="24"/>
          <w:szCs w:val="24"/>
        </w:rPr>
        <w:t>del Código Municipal para el Distrito Metropolitano de Quito</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1054323A"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w:t>
      </w:r>
      <w:r w:rsidR="00E94606" w:rsidRPr="007D5F63">
        <w:rPr>
          <w:bCs/>
          <w:sz w:val="24"/>
          <w:szCs w:val="24"/>
        </w:rPr>
        <w:t>del Código Municipal para el Distrito Metropolitano de Quito</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0805E56D"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w:t>
      </w:r>
      <w:r w:rsidR="00E94606" w:rsidRPr="007D5F63">
        <w:rPr>
          <w:bCs/>
          <w:sz w:val="24"/>
          <w:szCs w:val="24"/>
        </w:rPr>
        <w:t>del Código Municipal para el Distrito Metropolitano de Quito</w:t>
      </w:r>
      <w:r w:rsidR="00E94606">
        <w:rPr>
          <w:bCs/>
          <w:sz w:val="24"/>
          <w:szCs w:val="24"/>
        </w:rPr>
        <w:t>,</w:t>
      </w:r>
      <w:r w:rsidR="00E94606" w:rsidRPr="00FB0932">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19EF0A12" w14:textId="77777777" w:rsidR="00E94606" w:rsidRPr="007D5F63" w:rsidRDefault="00E94606" w:rsidP="00E94606">
      <w:pPr>
        <w:spacing w:after="240" w:line="276" w:lineRule="auto"/>
        <w:ind w:left="705" w:hanging="705"/>
        <w:jc w:val="both"/>
        <w:rPr>
          <w:bCs/>
          <w:i/>
          <w:sz w:val="24"/>
          <w:szCs w:val="24"/>
        </w:rPr>
      </w:pPr>
      <w:r w:rsidRPr="007D5F63">
        <w:rPr>
          <w:b/>
          <w:bCs/>
          <w:sz w:val="24"/>
          <w:szCs w:val="24"/>
        </w:rPr>
        <w:t>Que,</w:t>
      </w:r>
      <w:r w:rsidRPr="007D5F63">
        <w:rPr>
          <w:b/>
          <w:bCs/>
          <w:sz w:val="24"/>
          <w:szCs w:val="24"/>
        </w:rPr>
        <w:tab/>
      </w:r>
      <w:r w:rsidRPr="007D5F63">
        <w:rPr>
          <w:bCs/>
          <w:sz w:val="24"/>
          <w:szCs w:val="24"/>
        </w:rPr>
        <w:t>el artículo 3715 del Código Municipal para el Distrito Metropolitano de Quito, en su parte pertinente de la regularización de barrios ubicados en parroquias rurales dispone</w:t>
      </w:r>
      <w:r w:rsidRPr="007D5F63">
        <w:rPr>
          <w:bCs/>
          <w:i/>
          <w:sz w:val="24"/>
          <w:szCs w:val="24"/>
        </w:rPr>
        <w:t>: “(…)</w:t>
      </w:r>
      <w:r w:rsidRPr="007D5F63">
        <w:rPr>
          <w:bCs/>
          <w:sz w:val="24"/>
          <w:szCs w:val="24"/>
        </w:rPr>
        <w:t xml:space="preserve"> </w:t>
      </w:r>
      <w:r w:rsidRPr="007D5F63">
        <w:rPr>
          <w:bCs/>
          <w:i/>
          <w:sz w:val="24"/>
          <w:szCs w:val="24"/>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7D5F63">
        <w:rPr>
          <w:b/>
          <w:bCs/>
          <w:i/>
          <w:sz w:val="24"/>
          <w:szCs w:val="24"/>
        </w:rPr>
        <w:t xml:space="preserve"> </w:t>
      </w:r>
    </w:p>
    <w:p w14:paraId="02620DDD" w14:textId="77777777" w:rsidR="00E94606" w:rsidRPr="007D5F63" w:rsidRDefault="00E94606" w:rsidP="00E94606">
      <w:pPr>
        <w:spacing w:after="240" w:line="276" w:lineRule="auto"/>
        <w:ind w:left="705" w:hanging="705"/>
        <w:jc w:val="both"/>
        <w:rPr>
          <w:bCs/>
          <w:sz w:val="24"/>
          <w:szCs w:val="24"/>
        </w:rPr>
      </w:pPr>
      <w:r w:rsidRPr="007D5F63">
        <w:rPr>
          <w:b/>
          <w:bCs/>
          <w:sz w:val="24"/>
          <w:szCs w:val="24"/>
        </w:rPr>
        <w:t xml:space="preserve">Que, </w:t>
      </w:r>
      <w:r w:rsidRPr="007D5F63">
        <w:rPr>
          <w:b/>
          <w:bCs/>
          <w:sz w:val="24"/>
          <w:szCs w:val="24"/>
        </w:rPr>
        <w:tab/>
      </w:r>
      <w:r w:rsidRPr="007D5F63">
        <w:rPr>
          <w:bCs/>
          <w:sz w:val="24"/>
          <w:szCs w:val="24"/>
        </w:rPr>
        <w:t>el</w:t>
      </w:r>
      <w:r w:rsidRPr="007D5F63">
        <w:rPr>
          <w:b/>
          <w:bCs/>
          <w:sz w:val="24"/>
          <w:szCs w:val="24"/>
        </w:rPr>
        <w:t xml:space="preserve"> </w:t>
      </w:r>
      <w:r w:rsidRPr="007D5F63">
        <w:rPr>
          <w:bCs/>
          <w:sz w:val="24"/>
          <w:szCs w:val="24"/>
        </w:rPr>
        <w:t xml:space="preserve">Código Municipal para el Distrito Metropolitano de Quito, determina en su disposición derogatoria lo siguiente: </w:t>
      </w:r>
      <w:r w:rsidRPr="007D5F63">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 xml:space="preserve">en concordancia con el considerando precedente, la Disposición Transitoria Segunda de la Ordenanza No. 0147 de 9 de diciembre de 2016 en los procesos de </w:t>
      </w:r>
      <w:r w:rsidRPr="00FB0932">
        <w:rPr>
          <w:bCs/>
          <w:sz w:val="24"/>
          <w:szCs w:val="24"/>
        </w:rPr>
        <w:lastRenderedPageBreak/>
        <w:t>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2648DA68" w14:textId="77777777" w:rsidR="00AA65F3" w:rsidRPr="00AA65F3" w:rsidRDefault="00AA65F3" w:rsidP="00AA65F3">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mediante Oficio Nro. </w:t>
      </w:r>
      <w:r w:rsidRPr="00AA65F3">
        <w:rPr>
          <w:rFonts w:eastAsiaTheme="minorHAnsi"/>
          <w:bCs/>
          <w:sz w:val="22"/>
          <w:szCs w:val="22"/>
          <w:lang w:val="es-EC" w:eastAsia="en-US"/>
        </w:rPr>
        <w:t>GADDMQ-SGSG-2021-0319-OF</w:t>
      </w:r>
      <w:r w:rsidRPr="00AA65F3">
        <w:rPr>
          <w:bCs/>
          <w:sz w:val="24"/>
          <w:szCs w:val="24"/>
        </w:rPr>
        <w:t xml:space="preserve">, de 05 de febrero de 2021, emitido por el Secretario General de Seguridad y Gobernabilidad remite 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0005-EAH-AT</w:t>
      </w:r>
      <w:r w:rsidRPr="00AA65F3">
        <w:rPr>
          <w:sz w:val="24"/>
          <w:szCs w:val="24"/>
        </w:rPr>
        <w:t xml:space="preserve">-DMGR-2021, de 02 de febrero de 2021, en el cual, califica en el numeral </w:t>
      </w:r>
      <w:r w:rsidRPr="00AA65F3">
        <w:rPr>
          <w:bCs/>
          <w:sz w:val="24"/>
          <w:szCs w:val="24"/>
        </w:rPr>
        <w:t xml:space="preserve">6.1 referente al nivel de riesgo para la regularización de tierras indicando: </w:t>
      </w:r>
    </w:p>
    <w:p w14:paraId="53EF95A1" w14:textId="77777777" w:rsidR="00AA65F3" w:rsidRPr="00AA65F3" w:rsidRDefault="00AA65F3" w:rsidP="00AA65F3">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94C3721" w14:textId="77777777" w:rsidR="00AA65F3" w:rsidRDefault="00AA65F3" w:rsidP="00AA65F3">
      <w:pPr>
        <w:pStyle w:val="Prrafodelista"/>
        <w:spacing w:after="240" w:line="276" w:lineRule="auto"/>
        <w:ind w:left="705"/>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“Ruta Viva de San Juan de Calderón” en general presenta un </w:t>
      </w:r>
      <w:r w:rsidRPr="00AA65F3">
        <w:rPr>
          <w:rFonts w:eastAsiaTheme="minorHAnsi"/>
          <w:i/>
          <w:iCs/>
          <w:color w:val="000000"/>
          <w:sz w:val="24"/>
          <w:szCs w:val="24"/>
          <w:u w:val="single"/>
          <w:lang w:val="es-EC" w:eastAsia="en-US"/>
        </w:rPr>
        <w:t>Riesgo Bajo Mitigabl</w:t>
      </w:r>
      <w:r w:rsidRPr="00AA65F3">
        <w:rPr>
          <w:rFonts w:eastAsiaTheme="minorHAnsi"/>
          <w:i/>
          <w:iCs/>
          <w:color w:val="000000"/>
          <w:sz w:val="24"/>
          <w:szCs w:val="24"/>
          <w:lang w:val="es-EC" w:eastAsia="en-US"/>
        </w:rPr>
        <w:t xml:space="preserve">e para todos lotes </w:t>
      </w:r>
      <w:r w:rsidRPr="00AA65F3">
        <w:rPr>
          <w:rFonts w:eastAsiaTheme="minorHAnsi"/>
          <w:i/>
          <w:color w:val="000000"/>
          <w:sz w:val="24"/>
          <w:szCs w:val="24"/>
          <w:lang w:val="es-EC" w:eastAsia="en-US"/>
        </w:rPr>
        <w:t>frente a deslizamientos.”</w:t>
      </w:r>
      <w:r w:rsidRPr="00AA65F3">
        <w:rPr>
          <w:rFonts w:eastAsiaTheme="minorHAnsi"/>
          <w:color w:val="000000"/>
          <w:sz w:val="24"/>
          <w:szCs w:val="24"/>
          <w:lang w:val="es-EC" w:eastAsia="en-US"/>
        </w:rPr>
        <w:t>;</w:t>
      </w:r>
    </w:p>
    <w:p w14:paraId="2EF33D09" w14:textId="5469D82D" w:rsidR="00460577" w:rsidRDefault="00460577" w:rsidP="00460577">
      <w:pPr>
        <w:spacing w:after="240" w:line="276" w:lineRule="auto"/>
        <w:ind w:left="705" w:hanging="705"/>
        <w:jc w:val="both"/>
        <w:rPr>
          <w:i/>
          <w:color w:val="000000"/>
          <w:sz w:val="24"/>
          <w:szCs w:val="24"/>
        </w:rPr>
      </w:pPr>
      <w:r w:rsidRPr="006950CF">
        <w:rPr>
          <w:b/>
          <w:bCs/>
          <w:sz w:val="24"/>
          <w:szCs w:val="24"/>
        </w:rPr>
        <w:t xml:space="preserve">Que, </w:t>
      </w:r>
      <w:r w:rsidRPr="006950CF">
        <w:rPr>
          <w:b/>
          <w:bCs/>
          <w:sz w:val="24"/>
          <w:szCs w:val="24"/>
        </w:rPr>
        <w:tab/>
      </w:r>
      <w:r w:rsidRPr="006950CF">
        <w:rPr>
          <w:bCs/>
          <w:sz w:val="24"/>
          <w:szCs w:val="24"/>
        </w:rPr>
        <w:t>mediante Oficio Nro. STHV-DMPPS-2021-033</w:t>
      </w:r>
      <w:r>
        <w:rPr>
          <w:bCs/>
          <w:sz w:val="24"/>
          <w:szCs w:val="24"/>
        </w:rPr>
        <w:t>5</w:t>
      </w:r>
      <w:r w:rsidRPr="006950CF">
        <w:rPr>
          <w:bCs/>
          <w:sz w:val="24"/>
          <w:szCs w:val="24"/>
        </w:rPr>
        <w:t>-O, de 22 de septiembre de 2021, el Director Metropolitano de Políticas y Planeamiento del Suelo, de la Secretaría de Territorio, Hábitat y Vivienda informa e indica que: “</w:t>
      </w:r>
      <w:r w:rsidRPr="00460577">
        <w:rPr>
          <w:i/>
          <w:color w:val="000000"/>
          <w:sz w:val="24"/>
          <w:szCs w:val="24"/>
        </w:rPr>
        <w:t>Mediante Oficio No.</w:t>
      </w:r>
      <w:r>
        <w:rPr>
          <w:i/>
          <w:color w:val="000000"/>
          <w:sz w:val="24"/>
          <w:szCs w:val="24"/>
        </w:rPr>
        <w:t xml:space="preserve"> </w:t>
      </w:r>
      <w:r w:rsidRPr="00460577">
        <w:rPr>
          <w:i/>
          <w:color w:val="000000"/>
          <w:sz w:val="24"/>
          <w:szCs w:val="24"/>
        </w:rPr>
        <w:t>GADDMQ-SGCTYPC-UERB-2021-1093-O de fecha 06 de agosto</w:t>
      </w:r>
      <w:r>
        <w:rPr>
          <w:i/>
          <w:color w:val="000000"/>
          <w:sz w:val="24"/>
          <w:szCs w:val="24"/>
        </w:rPr>
        <w:t xml:space="preserve"> </w:t>
      </w:r>
      <w:r w:rsidRPr="00460577">
        <w:rPr>
          <w:i/>
          <w:color w:val="000000"/>
          <w:sz w:val="24"/>
          <w:szCs w:val="24"/>
        </w:rPr>
        <w:t>de 2021, el</w:t>
      </w:r>
      <w:r>
        <w:rPr>
          <w:i/>
          <w:color w:val="000000"/>
          <w:sz w:val="24"/>
          <w:szCs w:val="24"/>
        </w:rPr>
        <w:t xml:space="preserve"> </w:t>
      </w:r>
      <w:r w:rsidRPr="00460577">
        <w:rPr>
          <w:i/>
          <w:color w:val="000000"/>
          <w:sz w:val="24"/>
          <w:szCs w:val="24"/>
        </w:rPr>
        <w:t>Director de la Unidad Especial Regula tu Barrio, manifiesta que en</w:t>
      </w:r>
      <w:r>
        <w:rPr>
          <w:i/>
          <w:color w:val="000000"/>
          <w:sz w:val="24"/>
          <w:szCs w:val="24"/>
        </w:rPr>
        <w:t xml:space="preserve"> </w:t>
      </w:r>
      <w:r w:rsidRPr="00460577">
        <w:rPr>
          <w:i/>
          <w:color w:val="000000"/>
          <w:sz w:val="24"/>
          <w:szCs w:val="24"/>
        </w:rPr>
        <w:t>cumplimiento de</w:t>
      </w:r>
      <w:r>
        <w:rPr>
          <w:i/>
          <w:color w:val="000000"/>
          <w:sz w:val="24"/>
          <w:szCs w:val="24"/>
        </w:rPr>
        <w:t xml:space="preserve"> </w:t>
      </w:r>
      <w:r w:rsidRPr="00460577">
        <w:rPr>
          <w:i/>
          <w:color w:val="000000"/>
          <w:sz w:val="24"/>
          <w:szCs w:val="24"/>
        </w:rPr>
        <w:t>los acuerdos de la mesa de trabajo entre ambas entidades remite</w:t>
      </w:r>
      <w:r>
        <w:rPr>
          <w:i/>
          <w:color w:val="000000"/>
          <w:sz w:val="24"/>
          <w:szCs w:val="24"/>
        </w:rPr>
        <w:t xml:space="preserve"> </w:t>
      </w:r>
      <w:r w:rsidR="006550A8">
        <w:rPr>
          <w:i/>
          <w:color w:val="000000"/>
          <w:sz w:val="24"/>
          <w:szCs w:val="24"/>
        </w:rPr>
        <w:t>inf</w:t>
      </w:r>
      <w:r w:rsidRPr="00460577">
        <w:rPr>
          <w:i/>
          <w:color w:val="000000"/>
          <w:sz w:val="24"/>
          <w:szCs w:val="24"/>
        </w:rPr>
        <w:t>o</w:t>
      </w:r>
      <w:r w:rsidR="006550A8">
        <w:rPr>
          <w:i/>
          <w:color w:val="000000"/>
          <w:sz w:val="24"/>
          <w:szCs w:val="24"/>
        </w:rPr>
        <w:t>r</w:t>
      </w:r>
      <w:r w:rsidRPr="00460577">
        <w:rPr>
          <w:i/>
          <w:color w:val="000000"/>
          <w:sz w:val="24"/>
          <w:szCs w:val="24"/>
        </w:rPr>
        <w:t xml:space="preserve">mación </w:t>
      </w:r>
      <w:r>
        <w:rPr>
          <w:i/>
          <w:color w:val="000000"/>
          <w:sz w:val="24"/>
          <w:szCs w:val="24"/>
        </w:rPr>
        <w:t xml:space="preserve">(sic) </w:t>
      </w:r>
      <w:r w:rsidRPr="00460577">
        <w:rPr>
          <w:i/>
          <w:color w:val="000000"/>
          <w:sz w:val="24"/>
          <w:szCs w:val="24"/>
        </w:rPr>
        <w:t>para su análisis en referencia al Asentamiento Humano de Hecho y</w:t>
      </w:r>
      <w:r>
        <w:rPr>
          <w:i/>
          <w:color w:val="000000"/>
          <w:sz w:val="24"/>
          <w:szCs w:val="24"/>
        </w:rPr>
        <w:t xml:space="preserve"> </w:t>
      </w:r>
      <w:r w:rsidRPr="00460577">
        <w:rPr>
          <w:i/>
          <w:color w:val="000000"/>
          <w:sz w:val="24"/>
          <w:szCs w:val="24"/>
        </w:rPr>
        <w:t>Consolidado</w:t>
      </w:r>
      <w:r>
        <w:rPr>
          <w:i/>
          <w:color w:val="000000"/>
          <w:sz w:val="24"/>
          <w:szCs w:val="24"/>
        </w:rPr>
        <w:t xml:space="preserve"> </w:t>
      </w:r>
      <w:r w:rsidRPr="00460577">
        <w:rPr>
          <w:i/>
          <w:color w:val="000000"/>
          <w:sz w:val="24"/>
          <w:szCs w:val="24"/>
        </w:rPr>
        <w:t>denominado “RUTA VIVA DE SAN JUAN DE CALDERON” y solicita</w:t>
      </w:r>
      <w:r>
        <w:rPr>
          <w:i/>
          <w:color w:val="000000"/>
          <w:sz w:val="24"/>
          <w:szCs w:val="24"/>
        </w:rPr>
        <w:t xml:space="preserve"> </w:t>
      </w:r>
      <w:r w:rsidRPr="00460577">
        <w:rPr>
          <w:i/>
          <w:color w:val="000000"/>
          <w:sz w:val="24"/>
          <w:szCs w:val="24"/>
        </w:rPr>
        <w:t>emitir el</w:t>
      </w:r>
      <w:r>
        <w:rPr>
          <w:i/>
          <w:color w:val="000000"/>
          <w:sz w:val="24"/>
          <w:szCs w:val="24"/>
        </w:rPr>
        <w:t xml:space="preserve"> </w:t>
      </w:r>
      <w:r w:rsidRPr="00460577">
        <w:rPr>
          <w:i/>
          <w:color w:val="000000"/>
          <w:sz w:val="24"/>
          <w:szCs w:val="24"/>
        </w:rPr>
        <w:t>criterio de cambio de zonificación para el AHHYC en mención conforme lo</w:t>
      </w:r>
      <w:r>
        <w:rPr>
          <w:i/>
          <w:color w:val="000000"/>
          <w:sz w:val="24"/>
          <w:szCs w:val="24"/>
        </w:rPr>
        <w:t xml:space="preserve"> </w:t>
      </w:r>
      <w:r w:rsidRPr="00460577">
        <w:rPr>
          <w:i/>
          <w:color w:val="000000"/>
          <w:sz w:val="24"/>
          <w:szCs w:val="24"/>
        </w:rPr>
        <w:t>dispuesto</w:t>
      </w:r>
      <w:r>
        <w:rPr>
          <w:i/>
          <w:color w:val="000000"/>
          <w:sz w:val="24"/>
          <w:szCs w:val="24"/>
        </w:rPr>
        <w:t xml:space="preserve"> </w:t>
      </w:r>
      <w:r w:rsidRPr="00460577">
        <w:rPr>
          <w:i/>
          <w:color w:val="000000"/>
          <w:sz w:val="24"/>
          <w:szCs w:val="24"/>
        </w:rPr>
        <w:t>en el artículo 6 de la Resolución C 0</w:t>
      </w:r>
      <w:r>
        <w:rPr>
          <w:i/>
          <w:color w:val="000000"/>
          <w:sz w:val="24"/>
          <w:szCs w:val="24"/>
        </w:rPr>
        <w:t>39-2021 de 02 de junio de 2021.</w:t>
      </w:r>
    </w:p>
    <w:p w14:paraId="44794987" w14:textId="77777777" w:rsidR="00460577" w:rsidRPr="00460577" w:rsidRDefault="00460577" w:rsidP="00460577">
      <w:pPr>
        <w:pStyle w:val="Prrafodelista"/>
        <w:spacing w:after="240" w:line="276" w:lineRule="auto"/>
        <w:ind w:left="720"/>
        <w:jc w:val="both"/>
        <w:rPr>
          <w:rFonts w:ascii="Times-Roman" w:hAnsi="Times-Roman"/>
          <w:color w:val="000000"/>
          <w:sz w:val="24"/>
          <w:szCs w:val="24"/>
        </w:rPr>
      </w:pPr>
      <w:r w:rsidRPr="00460577">
        <w:rPr>
          <w:i/>
          <w:color w:val="000000"/>
          <w:sz w:val="24"/>
          <w:szCs w:val="24"/>
        </w:rPr>
        <w:t>Con lo expuesto, la Secretaria de Territorio, Hábitat y Vivienda, por medio de la</w:t>
      </w:r>
      <w:r>
        <w:rPr>
          <w:i/>
          <w:color w:val="000000"/>
          <w:sz w:val="24"/>
          <w:szCs w:val="24"/>
        </w:rPr>
        <w:t xml:space="preserve"> </w:t>
      </w:r>
      <w:r w:rsidRPr="00460577">
        <w:rPr>
          <w:i/>
          <w:color w:val="000000"/>
          <w:sz w:val="24"/>
          <w:szCs w:val="24"/>
        </w:rPr>
        <w:t>Dirección Metropolitana de Políticas y Planeamiento de Suelo, revisada la</w:t>
      </w:r>
      <w:r>
        <w:rPr>
          <w:i/>
          <w:color w:val="000000"/>
          <w:sz w:val="24"/>
          <w:szCs w:val="24"/>
        </w:rPr>
        <w:t xml:space="preserve"> </w:t>
      </w:r>
      <w:r w:rsidRPr="00460577">
        <w:rPr>
          <w:i/>
          <w:color w:val="000000"/>
          <w:sz w:val="24"/>
          <w:szCs w:val="24"/>
        </w:rPr>
        <w:t>documentación anexa al oficio y en el ámbito de sus competencias, adjunta el</w:t>
      </w:r>
      <w:r>
        <w:rPr>
          <w:i/>
          <w:color w:val="000000"/>
          <w:sz w:val="24"/>
          <w:szCs w:val="24"/>
        </w:rPr>
        <w:t xml:space="preserve"> </w:t>
      </w:r>
      <w:r w:rsidRPr="00460577">
        <w:rPr>
          <w:i/>
          <w:color w:val="000000"/>
          <w:sz w:val="24"/>
          <w:szCs w:val="24"/>
        </w:rPr>
        <w:t>Informe</w:t>
      </w:r>
      <w:r>
        <w:rPr>
          <w:i/>
          <w:color w:val="000000"/>
          <w:sz w:val="24"/>
          <w:szCs w:val="24"/>
        </w:rPr>
        <w:t xml:space="preserve"> </w:t>
      </w:r>
      <w:r w:rsidRPr="00460577">
        <w:rPr>
          <w:i/>
          <w:color w:val="000000"/>
          <w:sz w:val="24"/>
          <w:szCs w:val="24"/>
        </w:rPr>
        <w:t xml:space="preserve">Técnico correspondiente </w:t>
      </w:r>
      <w:proofErr w:type="spellStart"/>
      <w:r w:rsidRPr="00460577">
        <w:rPr>
          <w:i/>
          <w:color w:val="000000"/>
          <w:sz w:val="24"/>
          <w:szCs w:val="24"/>
        </w:rPr>
        <w:t>correspondiente</w:t>
      </w:r>
      <w:proofErr w:type="spellEnd"/>
      <w:r w:rsidRPr="00460577">
        <w:rPr>
          <w:i/>
          <w:color w:val="000000"/>
          <w:sz w:val="24"/>
          <w:szCs w:val="24"/>
        </w:rPr>
        <w:t xml:space="preserve"> al análisis de factibilidad de</w:t>
      </w:r>
      <w:r>
        <w:rPr>
          <w:i/>
          <w:color w:val="000000"/>
          <w:sz w:val="24"/>
          <w:szCs w:val="24"/>
        </w:rPr>
        <w:t xml:space="preserve"> </w:t>
      </w:r>
      <w:r w:rsidRPr="00460577">
        <w:rPr>
          <w:i/>
          <w:color w:val="000000"/>
          <w:sz w:val="24"/>
          <w:szCs w:val="24"/>
        </w:rPr>
        <w:t>cambio de</w:t>
      </w:r>
      <w:r>
        <w:rPr>
          <w:i/>
          <w:color w:val="000000"/>
          <w:sz w:val="24"/>
          <w:szCs w:val="24"/>
        </w:rPr>
        <w:t xml:space="preserve"> </w:t>
      </w:r>
      <w:r w:rsidRPr="00460577">
        <w:rPr>
          <w:i/>
          <w:color w:val="000000"/>
          <w:sz w:val="24"/>
          <w:szCs w:val="24"/>
        </w:rPr>
        <w:t>zonificación del Asentamiento Humano de Hecho y Consolidado de</w:t>
      </w:r>
      <w:r>
        <w:rPr>
          <w:i/>
          <w:color w:val="000000"/>
          <w:sz w:val="24"/>
          <w:szCs w:val="24"/>
        </w:rPr>
        <w:t xml:space="preserve"> </w:t>
      </w:r>
      <w:r w:rsidRPr="00460577">
        <w:rPr>
          <w:i/>
          <w:color w:val="000000"/>
          <w:sz w:val="24"/>
          <w:szCs w:val="24"/>
        </w:rPr>
        <w:t>Interés Social</w:t>
      </w:r>
      <w:r>
        <w:rPr>
          <w:i/>
          <w:color w:val="000000"/>
          <w:sz w:val="24"/>
          <w:szCs w:val="24"/>
        </w:rPr>
        <w:t xml:space="preserve"> </w:t>
      </w:r>
      <w:r w:rsidRPr="00460577">
        <w:rPr>
          <w:i/>
          <w:color w:val="000000"/>
          <w:sz w:val="24"/>
          <w:szCs w:val="24"/>
        </w:rPr>
        <w:t>denominado “RUTA VIVA DE SAN JUAN DE CALDERÓN”, el cual</w:t>
      </w:r>
      <w:r>
        <w:rPr>
          <w:i/>
          <w:color w:val="000000"/>
          <w:sz w:val="24"/>
          <w:szCs w:val="24"/>
        </w:rPr>
        <w:t xml:space="preserve"> </w:t>
      </w:r>
      <w:r w:rsidRPr="00460577">
        <w:rPr>
          <w:i/>
          <w:color w:val="000000"/>
          <w:sz w:val="24"/>
          <w:szCs w:val="24"/>
        </w:rPr>
        <w:t>concluye que,</w:t>
      </w:r>
      <w:r>
        <w:rPr>
          <w:i/>
          <w:color w:val="000000"/>
          <w:sz w:val="24"/>
          <w:szCs w:val="24"/>
        </w:rPr>
        <w:t xml:space="preserve"> </w:t>
      </w:r>
      <w:r w:rsidRPr="00460577">
        <w:rPr>
          <w:i/>
          <w:color w:val="000000"/>
          <w:sz w:val="24"/>
          <w:szCs w:val="24"/>
        </w:rPr>
        <w:t>solventando las recomendaciones indicadas, considera factible el</w:t>
      </w:r>
      <w:r>
        <w:rPr>
          <w:i/>
          <w:color w:val="000000"/>
          <w:sz w:val="24"/>
          <w:szCs w:val="24"/>
        </w:rPr>
        <w:t xml:space="preserve"> </w:t>
      </w:r>
      <w:r w:rsidRPr="00460577">
        <w:rPr>
          <w:i/>
          <w:color w:val="000000"/>
          <w:sz w:val="24"/>
          <w:szCs w:val="24"/>
        </w:rPr>
        <w:t>cambio en la ocupación</w:t>
      </w:r>
      <w:r>
        <w:rPr>
          <w:i/>
          <w:color w:val="000000"/>
          <w:sz w:val="24"/>
          <w:szCs w:val="24"/>
        </w:rPr>
        <w:t xml:space="preserve"> </w:t>
      </w:r>
      <w:r w:rsidRPr="00460577">
        <w:rPr>
          <w:i/>
          <w:color w:val="000000"/>
          <w:sz w:val="24"/>
          <w:szCs w:val="24"/>
        </w:rPr>
        <w:t>y edificabilidad (zonificación) considerando los términos</w:t>
      </w:r>
      <w:r>
        <w:rPr>
          <w:i/>
          <w:color w:val="000000"/>
          <w:sz w:val="24"/>
          <w:szCs w:val="24"/>
        </w:rPr>
        <w:t xml:space="preserve"> </w:t>
      </w:r>
      <w:r w:rsidRPr="00460577">
        <w:rPr>
          <w:i/>
          <w:color w:val="000000"/>
          <w:sz w:val="24"/>
          <w:szCs w:val="24"/>
        </w:rPr>
        <w:t>que se señalan en el Cuadro No</w:t>
      </w:r>
      <w:r>
        <w:rPr>
          <w:i/>
          <w:color w:val="000000"/>
          <w:sz w:val="24"/>
          <w:szCs w:val="24"/>
        </w:rPr>
        <w:t xml:space="preserve"> </w:t>
      </w:r>
      <w:r w:rsidRPr="00460577">
        <w:rPr>
          <w:i/>
          <w:color w:val="000000"/>
          <w:sz w:val="24"/>
          <w:szCs w:val="24"/>
        </w:rPr>
        <w:t>2 del documento anexo, que establecen clasificación</w:t>
      </w:r>
      <w:r>
        <w:rPr>
          <w:i/>
          <w:color w:val="000000"/>
          <w:sz w:val="24"/>
          <w:szCs w:val="24"/>
        </w:rPr>
        <w:t xml:space="preserve"> </w:t>
      </w:r>
      <w:r w:rsidRPr="00460577">
        <w:rPr>
          <w:i/>
          <w:color w:val="000000"/>
          <w:sz w:val="24"/>
          <w:szCs w:val="24"/>
        </w:rPr>
        <w:t>de suelo rural; uso de suelo (RR2)</w:t>
      </w:r>
      <w:r>
        <w:rPr>
          <w:i/>
          <w:color w:val="000000"/>
          <w:sz w:val="24"/>
          <w:szCs w:val="24"/>
        </w:rPr>
        <w:t xml:space="preserve"> </w:t>
      </w:r>
      <w:r w:rsidRPr="00460577">
        <w:rPr>
          <w:i/>
          <w:color w:val="000000"/>
          <w:sz w:val="24"/>
          <w:szCs w:val="24"/>
        </w:rPr>
        <w:t>Residencial Rural 2; zonificación D1(202-80), a</w:t>
      </w:r>
      <w:r>
        <w:rPr>
          <w:i/>
          <w:color w:val="000000"/>
          <w:sz w:val="24"/>
          <w:szCs w:val="24"/>
        </w:rPr>
        <w:t xml:space="preserve"> </w:t>
      </w:r>
      <w:r w:rsidRPr="00460577">
        <w:rPr>
          <w:i/>
          <w:color w:val="000000"/>
          <w:sz w:val="24"/>
          <w:szCs w:val="24"/>
        </w:rPr>
        <w:t>fin de continuar con el proceso integral</w:t>
      </w:r>
      <w:r>
        <w:rPr>
          <w:i/>
          <w:color w:val="000000"/>
          <w:sz w:val="24"/>
          <w:szCs w:val="24"/>
        </w:rPr>
        <w:t xml:space="preserve"> </w:t>
      </w:r>
      <w:r w:rsidRPr="00460577">
        <w:rPr>
          <w:i/>
          <w:color w:val="000000"/>
          <w:sz w:val="24"/>
          <w:szCs w:val="24"/>
        </w:rPr>
        <w:t>de regularización correspondiente.</w:t>
      </w:r>
      <w:r w:rsidRPr="00460577">
        <w:rPr>
          <w:rFonts w:ascii="Times-Roman" w:hAnsi="Times-Roman"/>
          <w:color w:val="000000"/>
          <w:sz w:val="24"/>
          <w:szCs w:val="24"/>
        </w:rPr>
        <w:t xml:space="preserve">”; </w:t>
      </w:r>
    </w:p>
    <w:p w14:paraId="5237771E" w14:textId="4B86C036" w:rsidR="00183D58" w:rsidRDefault="00183D58" w:rsidP="00183D58">
      <w:pPr>
        <w:spacing w:after="240" w:line="276" w:lineRule="auto"/>
        <w:ind w:left="705" w:hanging="705"/>
        <w:jc w:val="both"/>
        <w:rPr>
          <w:bCs/>
          <w:sz w:val="24"/>
          <w:szCs w:val="24"/>
        </w:rPr>
      </w:pPr>
      <w:r w:rsidRPr="005142D9">
        <w:rPr>
          <w:b/>
          <w:bCs/>
          <w:sz w:val="24"/>
          <w:szCs w:val="24"/>
        </w:rPr>
        <w:lastRenderedPageBreak/>
        <w:t xml:space="preserve">Que, </w:t>
      </w:r>
      <w:r w:rsidRPr="005142D9">
        <w:rPr>
          <w:b/>
          <w:bCs/>
          <w:sz w:val="24"/>
          <w:szCs w:val="24"/>
        </w:rPr>
        <w:tab/>
      </w:r>
      <w:r w:rsidRPr="005142D9">
        <w:rPr>
          <w:bCs/>
          <w:sz w:val="24"/>
          <w:szCs w:val="24"/>
        </w:rPr>
        <w:t xml:space="preserve">mediante </w:t>
      </w:r>
      <w:r w:rsidR="008F1DD4">
        <w:rPr>
          <w:sz w:val="24"/>
          <w:szCs w:val="24"/>
        </w:rPr>
        <w:t>oficio Nro. GADDMQ-AZCA-2021</w:t>
      </w:r>
      <w:r w:rsidRPr="005142D9">
        <w:rPr>
          <w:sz w:val="24"/>
          <w:szCs w:val="24"/>
        </w:rPr>
        <w:t>-</w:t>
      </w:r>
      <w:r w:rsidR="008F1DD4">
        <w:rPr>
          <w:sz w:val="24"/>
          <w:szCs w:val="24"/>
        </w:rPr>
        <w:t>3664</w:t>
      </w:r>
      <w:r>
        <w:rPr>
          <w:sz w:val="24"/>
          <w:szCs w:val="24"/>
        </w:rPr>
        <w:t>-</w:t>
      </w:r>
      <w:r w:rsidR="008F1DD4">
        <w:rPr>
          <w:sz w:val="24"/>
          <w:szCs w:val="24"/>
        </w:rPr>
        <w:t>O</w:t>
      </w:r>
      <w:r>
        <w:rPr>
          <w:sz w:val="24"/>
          <w:szCs w:val="24"/>
        </w:rPr>
        <w:t xml:space="preserve"> de </w:t>
      </w:r>
      <w:r w:rsidR="008F1DD4">
        <w:rPr>
          <w:sz w:val="24"/>
          <w:szCs w:val="24"/>
        </w:rPr>
        <w:t>31</w:t>
      </w:r>
      <w:r w:rsidRPr="005142D9">
        <w:rPr>
          <w:sz w:val="24"/>
          <w:szCs w:val="24"/>
        </w:rPr>
        <w:t xml:space="preserve"> de </w:t>
      </w:r>
      <w:r w:rsidR="008F1DD4">
        <w:rPr>
          <w:sz w:val="24"/>
          <w:szCs w:val="24"/>
        </w:rPr>
        <w:t xml:space="preserve">octubre </w:t>
      </w:r>
      <w:r w:rsidRPr="005142D9">
        <w:rPr>
          <w:sz w:val="24"/>
          <w:szCs w:val="24"/>
        </w:rPr>
        <w:t>de</w:t>
      </w:r>
      <w:r>
        <w:rPr>
          <w:sz w:val="24"/>
          <w:szCs w:val="24"/>
        </w:rPr>
        <w:t xml:space="preserve"> </w:t>
      </w:r>
      <w:r w:rsidRPr="005142D9">
        <w:rPr>
          <w:sz w:val="24"/>
          <w:szCs w:val="24"/>
        </w:rPr>
        <w:t>202</w:t>
      </w:r>
      <w:r w:rsidR="008F1DD4">
        <w:rPr>
          <w:sz w:val="24"/>
          <w:szCs w:val="24"/>
        </w:rPr>
        <w:t>1</w:t>
      </w:r>
      <w:r w:rsidRPr="005142D9">
        <w:rPr>
          <w:bCs/>
          <w:sz w:val="24"/>
          <w:szCs w:val="24"/>
        </w:rPr>
        <w:t xml:space="preserve">, la </w:t>
      </w:r>
      <w:proofErr w:type="spellStart"/>
      <w:r w:rsidR="008F1DD4">
        <w:rPr>
          <w:bCs/>
          <w:sz w:val="24"/>
          <w:szCs w:val="24"/>
        </w:rPr>
        <w:t>Mgs</w:t>
      </w:r>
      <w:proofErr w:type="spellEnd"/>
      <w:r w:rsidR="008F1DD4">
        <w:rPr>
          <w:bCs/>
          <w:sz w:val="24"/>
          <w:szCs w:val="24"/>
        </w:rPr>
        <w:t>. Ana María Sánchez Castillo</w:t>
      </w:r>
      <w:r w:rsidRPr="005142D9">
        <w:rPr>
          <w:sz w:val="24"/>
          <w:szCs w:val="24"/>
        </w:rPr>
        <w:t xml:space="preserve"> Administradora Zonal Calderón,</w:t>
      </w:r>
      <w:r w:rsidRPr="005142D9">
        <w:rPr>
          <w:bCs/>
          <w:sz w:val="24"/>
          <w:szCs w:val="24"/>
        </w:rPr>
        <w:t xml:space="preserve"> al</w:t>
      </w:r>
      <w:r>
        <w:rPr>
          <w:bCs/>
          <w:sz w:val="24"/>
          <w:szCs w:val="24"/>
        </w:rPr>
        <w:t xml:space="preserve"> </w:t>
      </w:r>
      <w:r w:rsidRPr="005142D9">
        <w:rPr>
          <w:bCs/>
          <w:sz w:val="24"/>
          <w:szCs w:val="24"/>
        </w:rPr>
        <w:t xml:space="preserve">Director de la Unidad Especial “Regula </w:t>
      </w:r>
      <w:r w:rsidR="00E66E89" w:rsidRPr="005142D9">
        <w:rPr>
          <w:bCs/>
          <w:sz w:val="24"/>
          <w:szCs w:val="24"/>
        </w:rPr>
        <w:t xml:space="preserve">tu </w:t>
      </w:r>
      <w:r w:rsidRPr="005142D9">
        <w:rPr>
          <w:bCs/>
          <w:sz w:val="24"/>
          <w:szCs w:val="24"/>
        </w:rPr>
        <w:t>Barrio” informa:</w:t>
      </w:r>
    </w:p>
    <w:p w14:paraId="2FA1188C" w14:textId="64FCB87E" w:rsidR="00183D58" w:rsidRDefault="00183D58" w:rsidP="008F1DD4">
      <w:pPr>
        <w:pStyle w:val="Prrafodelista"/>
        <w:spacing w:after="240" w:line="276" w:lineRule="auto"/>
        <w:ind w:left="720"/>
        <w:jc w:val="both"/>
        <w:rPr>
          <w:sz w:val="24"/>
          <w:szCs w:val="24"/>
        </w:rPr>
      </w:pPr>
      <w:r w:rsidRPr="00183D58">
        <w:rPr>
          <w:bCs/>
          <w:sz w:val="24"/>
          <w:szCs w:val="24"/>
        </w:rPr>
        <w:t>“</w:t>
      </w:r>
      <w:r w:rsidR="008F1DD4" w:rsidRPr="00460577">
        <w:rPr>
          <w:i/>
          <w:color w:val="000000"/>
          <w:sz w:val="24"/>
          <w:szCs w:val="24"/>
        </w:rPr>
        <w:t xml:space="preserve">Al respecto, la Administración Zonal Calderón, a través de la Unidad de Territorio y Vivienda informa que: se procedió a realizar la verificación del eje vial de las vías periféricas del predio No. </w:t>
      </w:r>
      <w:r w:rsidR="00460577">
        <w:rPr>
          <w:b/>
          <w:bCs/>
          <w:i/>
          <w:color w:val="000000"/>
          <w:sz w:val="24"/>
          <w:szCs w:val="24"/>
        </w:rPr>
        <w:t>5332755</w:t>
      </w:r>
      <w:r w:rsidR="008F1DD4" w:rsidRPr="00460577">
        <w:rPr>
          <w:i/>
          <w:color w:val="000000"/>
          <w:sz w:val="24"/>
          <w:szCs w:val="24"/>
        </w:rPr>
        <w:t xml:space="preserve">, con clave catastral No. </w:t>
      </w:r>
      <w:r w:rsidR="008F1DD4" w:rsidRPr="00460577">
        <w:rPr>
          <w:b/>
          <w:bCs/>
          <w:i/>
          <w:color w:val="000000"/>
          <w:sz w:val="24"/>
          <w:szCs w:val="24"/>
        </w:rPr>
        <w:t xml:space="preserve">14716 01 019 </w:t>
      </w:r>
      <w:r w:rsidR="008F1DD4" w:rsidRPr="00460577">
        <w:rPr>
          <w:i/>
          <w:color w:val="000000"/>
          <w:sz w:val="24"/>
          <w:szCs w:val="24"/>
        </w:rPr>
        <w:t xml:space="preserve">correspondiente al </w:t>
      </w:r>
      <w:r w:rsidR="008F1DD4" w:rsidRPr="00460577">
        <w:rPr>
          <w:b/>
          <w:bCs/>
          <w:i/>
          <w:color w:val="000000"/>
          <w:sz w:val="24"/>
          <w:szCs w:val="24"/>
        </w:rPr>
        <w:t>Asentamiento Humano de Hecho y Consolidado de Interés Social denominado: Barrio "RUTA VIVA DE SAN JUAN DE CALDERON"</w:t>
      </w:r>
      <w:r w:rsidR="008F1DD4" w:rsidRPr="00460577">
        <w:rPr>
          <w:i/>
          <w:color w:val="000000"/>
          <w:sz w:val="24"/>
          <w:szCs w:val="24"/>
        </w:rPr>
        <w:t xml:space="preserve">, emitiendo el informe de Replanteo Vial No. </w:t>
      </w:r>
      <w:r w:rsidR="008F1DD4" w:rsidRPr="00460577">
        <w:rPr>
          <w:b/>
          <w:bCs/>
          <w:i/>
          <w:color w:val="000000"/>
          <w:sz w:val="24"/>
          <w:szCs w:val="24"/>
        </w:rPr>
        <w:t xml:space="preserve">AZC-DGT-UTV-IRV-2021-132 </w:t>
      </w:r>
      <w:r w:rsidR="008F1DD4" w:rsidRPr="00460577">
        <w:rPr>
          <w:i/>
          <w:color w:val="000000"/>
          <w:sz w:val="24"/>
          <w:szCs w:val="24"/>
        </w:rPr>
        <w:t xml:space="preserve">de </w:t>
      </w:r>
      <w:r w:rsidR="008F1DD4" w:rsidRPr="00460577">
        <w:rPr>
          <w:b/>
          <w:bCs/>
          <w:i/>
          <w:color w:val="000000"/>
          <w:sz w:val="24"/>
          <w:szCs w:val="24"/>
        </w:rPr>
        <w:t xml:space="preserve">fecha 25 de octubre de 2021, </w:t>
      </w:r>
      <w:r w:rsidR="008F1DD4" w:rsidRPr="00460577">
        <w:rPr>
          <w:i/>
          <w:color w:val="000000"/>
          <w:sz w:val="24"/>
          <w:szCs w:val="24"/>
        </w:rPr>
        <w:t>mismo que se adjunta al presente.</w:t>
      </w:r>
      <w:r w:rsidRPr="006501C3">
        <w:rPr>
          <w:sz w:val="24"/>
          <w:szCs w:val="24"/>
        </w:rPr>
        <w:t>”;</w:t>
      </w:r>
    </w:p>
    <w:p w14:paraId="4CA09775" w14:textId="21CD215D"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AA65F3">
        <w:rPr>
          <w:sz w:val="24"/>
          <w:szCs w:val="24"/>
        </w:rPr>
        <w:t>2</w:t>
      </w:r>
      <w:r w:rsidR="00682A33">
        <w:rPr>
          <w:sz w:val="24"/>
          <w:szCs w:val="24"/>
        </w:rPr>
        <w:t>5</w:t>
      </w:r>
      <w:r w:rsidRPr="00C65027">
        <w:rPr>
          <w:sz w:val="24"/>
          <w:szCs w:val="24"/>
        </w:rPr>
        <w:t xml:space="preserve"> de </w:t>
      </w:r>
      <w:r w:rsidR="00C82F6B">
        <w:rPr>
          <w:sz w:val="24"/>
          <w:szCs w:val="24"/>
        </w:rPr>
        <w:t>noviembre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6950CF" w:rsidRPr="00682A33">
        <w:rPr>
          <w:bCs/>
          <w:sz w:val="24"/>
          <w:szCs w:val="24"/>
        </w:rPr>
        <w:t xml:space="preserve">Arq. Katherine Pamela Dueñas </w:t>
      </w:r>
      <w:proofErr w:type="spellStart"/>
      <w:r w:rsidR="006950CF" w:rsidRPr="00682A33">
        <w:rPr>
          <w:bCs/>
          <w:sz w:val="24"/>
          <w:szCs w:val="24"/>
        </w:rPr>
        <w:t>Cuamacaz</w:t>
      </w:r>
      <w:proofErr w:type="spellEnd"/>
      <w:r w:rsidR="006950CF" w:rsidRPr="00682A33">
        <w:rPr>
          <w:bCs/>
          <w:sz w:val="24"/>
          <w:szCs w:val="24"/>
        </w:rPr>
        <w:t xml:space="preserve">, Delegada de la Administradora Zonal Calderón; </w:t>
      </w:r>
      <w:r w:rsidR="00682A33" w:rsidRPr="00682A33">
        <w:rPr>
          <w:bCs/>
          <w:sz w:val="24"/>
          <w:szCs w:val="24"/>
        </w:rPr>
        <w:t>Abg. Lorena Elizabeth Donoso Rivera,</w:t>
      </w:r>
      <w:r w:rsidR="00682A33" w:rsidRPr="00682A33">
        <w:rPr>
          <w:b/>
          <w:bCs/>
          <w:sz w:val="24"/>
          <w:szCs w:val="24"/>
        </w:rPr>
        <w:t xml:space="preserve"> </w:t>
      </w:r>
      <w:r w:rsidR="00682A33" w:rsidRPr="00682A33">
        <w:rPr>
          <w:bCs/>
          <w:sz w:val="24"/>
          <w:szCs w:val="24"/>
        </w:rPr>
        <w:t>Directora Jurídica de la Administración Zonal Calderón</w:t>
      </w:r>
      <w:r w:rsidR="006950CF" w:rsidRPr="00682A33">
        <w:rPr>
          <w:bCs/>
          <w:sz w:val="24"/>
          <w:szCs w:val="24"/>
        </w:rPr>
        <w:t xml:space="preserve">; </w:t>
      </w:r>
      <w:r w:rsidR="006950CF" w:rsidRPr="00682A33">
        <w:rPr>
          <w:sz w:val="24"/>
          <w:szCs w:val="24"/>
        </w:rPr>
        <w:t xml:space="preserve">Arq. Cristina </w:t>
      </w:r>
      <w:proofErr w:type="spellStart"/>
      <w:r w:rsidR="006950CF" w:rsidRPr="00682A33">
        <w:rPr>
          <w:sz w:val="24"/>
          <w:szCs w:val="24"/>
        </w:rPr>
        <w:t>Jeanneth</w:t>
      </w:r>
      <w:proofErr w:type="spellEnd"/>
      <w:r w:rsidR="006950CF" w:rsidRPr="00682A33">
        <w:rPr>
          <w:sz w:val="24"/>
          <w:szCs w:val="24"/>
        </w:rPr>
        <w:t xml:space="preserve"> Paredes Armijos,</w:t>
      </w:r>
      <w:r w:rsidR="006950CF" w:rsidRPr="00682A33">
        <w:rPr>
          <w:bCs/>
          <w:sz w:val="24"/>
          <w:szCs w:val="24"/>
        </w:rPr>
        <w:t xml:space="preserve"> Delegada de la Dirección Metropolitana de Políticas y Planeamiento de Suelo de la Secretaria de Territorio, Hábitat y Vivienda;</w:t>
      </w:r>
      <w:r w:rsidR="006950CF" w:rsidRPr="00682A33">
        <w:rPr>
          <w:sz w:val="24"/>
          <w:szCs w:val="24"/>
        </w:rPr>
        <w:t xml:space="preserve"> </w:t>
      </w:r>
      <w:r w:rsidR="00682A33" w:rsidRPr="00682A33">
        <w:rPr>
          <w:sz w:val="24"/>
          <w:szCs w:val="24"/>
        </w:rPr>
        <w:t>Arq. Luis Alberto Hidalgo González</w:t>
      </w:r>
      <w:r w:rsidR="006950CF" w:rsidRPr="00682A33">
        <w:rPr>
          <w:sz w:val="24"/>
          <w:szCs w:val="24"/>
        </w:rPr>
        <w:t xml:space="preserve">, </w:t>
      </w:r>
      <w:r w:rsidR="006950CF" w:rsidRPr="00682A33">
        <w:rPr>
          <w:bCs/>
          <w:sz w:val="24"/>
          <w:szCs w:val="24"/>
        </w:rPr>
        <w:t xml:space="preserve">Delegado </w:t>
      </w:r>
      <w:r w:rsidR="006950CF" w:rsidRPr="00682A33">
        <w:rPr>
          <w:sz w:val="24"/>
          <w:szCs w:val="24"/>
        </w:rPr>
        <w:t xml:space="preserve">de la Dirección Metropolitana de Catastros </w:t>
      </w:r>
      <w:r w:rsidR="006950CF" w:rsidRPr="00682A33">
        <w:rPr>
          <w:bCs/>
          <w:sz w:val="24"/>
          <w:szCs w:val="24"/>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682A33">
        <w:rPr>
          <w:sz w:val="24"/>
          <w:szCs w:val="24"/>
        </w:rPr>
        <w:t xml:space="preserve">, aprobaron </w:t>
      </w:r>
      <w:r w:rsidR="00C65027" w:rsidRPr="00682A33">
        <w:rPr>
          <w:sz w:val="24"/>
          <w:szCs w:val="24"/>
        </w:rPr>
        <w:t>el Informe Socio Organizativo Legal y Técnico Nro. 0</w:t>
      </w:r>
      <w:r w:rsidR="00C368B6" w:rsidRPr="00682A33">
        <w:rPr>
          <w:sz w:val="24"/>
          <w:szCs w:val="24"/>
        </w:rPr>
        <w:t>1</w:t>
      </w:r>
      <w:r w:rsidR="00C65027" w:rsidRPr="00682A33">
        <w:rPr>
          <w:sz w:val="24"/>
          <w:szCs w:val="24"/>
        </w:rPr>
        <w:t xml:space="preserve">0-UERB-AZCA-SOLT-2021, de </w:t>
      </w:r>
      <w:r w:rsidR="002422A8" w:rsidRPr="00682A33">
        <w:rPr>
          <w:sz w:val="24"/>
          <w:szCs w:val="24"/>
        </w:rPr>
        <w:t>16</w:t>
      </w:r>
      <w:r w:rsidR="00C65027" w:rsidRPr="00682A33">
        <w:rPr>
          <w:sz w:val="24"/>
          <w:szCs w:val="24"/>
        </w:rPr>
        <w:t xml:space="preserve"> de </w:t>
      </w:r>
      <w:r w:rsidR="002422A8" w:rsidRPr="00682A33">
        <w:rPr>
          <w:sz w:val="24"/>
          <w:szCs w:val="24"/>
        </w:rPr>
        <w:t>n</w:t>
      </w:r>
      <w:r w:rsidR="00802772" w:rsidRPr="00682A33">
        <w:rPr>
          <w:sz w:val="24"/>
          <w:szCs w:val="24"/>
        </w:rPr>
        <w:t>o</w:t>
      </w:r>
      <w:r w:rsidR="002422A8" w:rsidRPr="00682A33">
        <w:rPr>
          <w:sz w:val="24"/>
          <w:szCs w:val="24"/>
        </w:rPr>
        <w:t>viem</w:t>
      </w:r>
      <w:r w:rsidR="00802772" w:rsidRPr="00682A33">
        <w:rPr>
          <w:sz w:val="24"/>
          <w:szCs w:val="24"/>
        </w:rPr>
        <w:t>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2422A8" w:rsidRPr="002422A8">
        <w:rPr>
          <w:bCs/>
          <w:sz w:val="24"/>
          <w:szCs w:val="24"/>
        </w:rPr>
        <w:t>Ruta Viva de San Juan de Calderón</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43CFF1ED" w14:textId="77777777" w:rsidR="00B91604" w:rsidRDefault="00B91604" w:rsidP="00FB0932">
      <w:pPr>
        <w:spacing w:after="240" w:line="276" w:lineRule="auto"/>
        <w:jc w:val="both"/>
        <w:rPr>
          <w:b/>
          <w:sz w:val="24"/>
          <w:szCs w:val="24"/>
        </w:rPr>
      </w:pPr>
    </w:p>
    <w:p w14:paraId="336BFE32" w14:textId="77777777" w:rsidR="009A3DDA" w:rsidRPr="00FB0932" w:rsidRDefault="009A3DDA" w:rsidP="00FB0932">
      <w:pPr>
        <w:spacing w:after="240" w:line="276" w:lineRule="auto"/>
        <w:jc w:val="both"/>
        <w:rPr>
          <w:b/>
          <w:sz w:val="24"/>
          <w:szCs w:val="24"/>
        </w:rPr>
      </w:pP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6CE9BE2A"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2422A8">
        <w:rPr>
          <w:rFonts w:ascii="Times New Roman" w:hAnsi="Times New Roman"/>
          <w:b/>
          <w:bCs/>
        </w:rPr>
        <w:t>RUTA VIVA DE SAN JUAN DE CALDERÓN</w:t>
      </w:r>
      <w:r w:rsidR="00EE7202" w:rsidRPr="00FB0932">
        <w:rPr>
          <w:rFonts w:ascii="Times New Roman" w:hAnsi="Times New Roman"/>
          <w:b/>
          <w:bCs/>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2E6C9E25"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F27D35">
        <w:rPr>
          <w:color w:val="000000"/>
          <w:sz w:val="24"/>
          <w:szCs w:val="24"/>
          <w:lang w:val="es-EC" w:eastAsia="es-EC"/>
        </w:rPr>
        <w:t>5332755</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Pr="00183D58">
        <w:rPr>
          <w:bCs/>
          <w:color w:val="000000" w:themeColor="text1"/>
          <w:sz w:val="24"/>
          <w:szCs w:val="24"/>
        </w:rPr>
        <w:t xml:space="preserve">la zonificación; sobre el que se encuentra el asentamiento humano de hecho y consolidado de interés social denominado </w:t>
      </w:r>
      <w:r w:rsidR="002422A8" w:rsidRPr="002422A8">
        <w:rPr>
          <w:bCs/>
          <w:sz w:val="24"/>
          <w:szCs w:val="24"/>
        </w:rPr>
        <w:t>Ruta Viva de San Juan de Calderón</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169EE172"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2422A8" w:rsidRPr="002422A8">
        <w:rPr>
          <w:bCs/>
        </w:rPr>
        <w:t>Ruta Viva de San Juan de Calderón</w:t>
      </w:r>
      <w:r w:rsidRPr="00FB0932">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4D4D3BDB"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2422A8" w:rsidRPr="002422A8">
        <w:rPr>
          <w:bCs/>
          <w:sz w:val="24"/>
          <w:szCs w:val="24"/>
        </w:rPr>
        <w:t>Ruta Viva de San Juan de Calderón</w:t>
      </w:r>
      <w:r w:rsidRPr="00B91604">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lastRenderedPageBreak/>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3209F571" w:rsidR="00EC1048" w:rsidRDefault="00EC1048" w:rsidP="00FB0932">
      <w:pPr>
        <w:spacing w:after="240" w:line="276" w:lineRule="auto"/>
        <w:jc w:val="both"/>
        <w:rPr>
          <w:b/>
          <w:bCs/>
          <w:sz w:val="24"/>
          <w:szCs w:val="24"/>
        </w:rPr>
      </w:pPr>
      <w:r w:rsidRPr="00FB0932">
        <w:rPr>
          <w:b/>
          <w:bCs/>
          <w:sz w:val="24"/>
          <w:szCs w:val="24"/>
        </w:rPr>
        <w:t xml:space="preserve">Artículo 4.- Especificaciones </w:t>
      </w:r>
      <w:r w:rsidR="00561EB8" w:rsidRPr="00FB0932">
        <w:rPr>
          <w:b/>
          <w:bCs/>
          <w:sz w:val="24"/>
          <w:szCs w:val="24"/>
        </w:rPr>
        <w:t>técnicas. -</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77777777" w:rsidR="00F27D35" w:rsidRPr="00F146C4" w:rsidRDefault="00F27D35" w:rsidP="00455512">
            <w:pPr>
              <w:contextualSpacing/>
              <w:rPr>
                <w:sz w:val="24"/>
                <w:szCs w:val="24"/>
              </w:rPr>
            </w:pPr>
            <w:r w:rsidRPr="00F146C4">
              <w:rPr>
                <w:sz w:val="24"/>
                <w:szCs w:val="24"/>
              </w:rPr>
              <w:t>5332755</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77777777" w:rsidR="00F27D35" w:rsidRPr="00F146C4" w:rsidRDefault="00F27D35" w:rsidP="00455512">
            <w:pPr>
              <w:contextualSpacing/>
              <w:rPr>
                <w:sz w:val="24"/>
                <w:szCs w:val="24"/>
              </w:rPr>
            </w:pPr>
            <w:r w:rsidRPr="00F146C4">
              <w:rPr>
                <w:sz w:val="24"/>
                <w:szCs w:val="24"/>
              </w:rPr>
              <w:t>A4(A5002-5)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77777777" w:rsidR="00F27D35" w:rsidRPr="00F146C4" w:rsidRDefault="00F27D35" w:rsidP="00455512">
            <w:pPr>
              <w:contextualSpacing/>
              <w:rPr>
                <w:sz w:val="24"/>
                <w:szCs w:val="24"/>
              </w:rPr>
            </w:pPr>
            <w:r w:rsidRPr="00F146C4">
              <w:rPr>
                <w:sz w:val="24"/>
                <w:szCs w:val="24"/>
              </w:rPr>
              <w:t>5000 m</w:t>
            </w:r>
            <w:r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77777777" w:rsidR="00F27D35" w:rsidRPr="00F146C4" w:rsidRDefault="00F27D35" w:rsidP="00455512">
            <w:pPr>
              <w:contextualSpacing/>
              <w:rPr>
                <w:sz w:val="24"/>
                <w:szCs w:val="24"/>
              </w:rPr>
            </w:pPr>
            <w:r w:rsidRPr="00F146C4">
              <w:rPr>
                <w:sz w:val="24"/>
                <w:szCs w:val="24"/>
              </w:rPr>
              <w:t>(RN/PS) Recursos Naturales / Producción Sostenible</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77777777" w:rsidR="00F27D35" w:rsidRPr="00F146C4" w:rsidRDefault="00F27D35" w:rsidP="00455512">
            <w:pPr>
              <w:contextualSpacing/>
              <w:rPr>
                <w:sz w:val="24"/>
                <w:szCs w:val="24"/>
              </w:rPr>
            </w:pPr>
            <w:r w:rsidRPr="00F146C4">
              <w:rPr>
                <w:sz w:val="24"/>
                <w:szCs w:val="24"/>
              </w:rPr>
              <w:t>(SRU) (Suelo Rural)</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02377AEE" w:rsidR="00643E8C" w:rsidRPr="00F146C4" w:rsidRDefault="00F146C4" w:rsidP="00643E8C">
            <w:pPr>
              <w:contextualSpacing/>
              <w:rPr>
                <w:rFonts w:eastAsia="Calibri"/>
                <w:sz w:val="24"/>
                <w:szCs w:val="24"/>
              </w:rPr>
            </w:pPr>
            <w:r w:rsidRPr="00F146C4">
              <w:rPr>
                <w:rFonts w:eastAsia="Calibri"/>
                <w:sz w:val="24"/>
                <w:szCs w:val="24"/>
              </w:rPr>
              <w:t>30</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497A7BEA" w:rsidR="00643E8C" w:rsidRPr="00F146C4" w:rsidRDefault="00F146C4" w:rsidP="00643E8C">
            <w:pPr>
              <w:rPr>
                <w:b/>
                <w:sz w:val="24"/>
                <w:szCs w:val="24"/>
                <w:lang w:val="es-EC" w:eastAsia="es-EC"/>
              </w:rPr>
            </w:pPr>
            <w:r w:rsidRPr="00F146C4">
              <w:rPr>
                <w:sz w:val="24"/>
                <w:szCs w:val="24"/>
              </w:rPr>
              <w:t>7.047,12</w:t>
            </w:r>
            <w:r w:rsidR="00643E8C" w:rsidRPr="00F146C4">
              <w:rPr>
                <w:rStyle w:val="fontstyle01"/>
                <w:rFonts w:ascii="Times New Roman" w:hAnsi="Times New Roman"/>
                <w:b w:val="0"/>
                <w:sz w:val="24"/>
                <w:szCs w:val="24"/>
              </w:rPr>
              <w:t xml:space="preserve"> </w:t>
            </w:r>
            <w:r w:rsidR="00643E8C" w:rsidRPr="00F146C4">
              <w:rPr>
                <w:sz w:val="24"/>
                <w:szCs w:val="24"/>
              </w:rPr>
              <w:t>m2</w:t>
            </w:r>
          </w:p>
        </w:tc>
      </w:tr>
      <w:tr w:rsidR="00F146C4" w:rsidRPr="00BB53CD" w14:paraId="0CFC2663"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9282124" w14:textId="5C4FF6F4" w:rsidR="00F146C4" w:rsidRPr="00F146C4" w:rsidRDefault="00F146C4" w:rsidP="00F146C4">
            <w:pPr>
              <w:contextualSpacing/>
              <w:rPr>
                <w:b/>
                <w:sz w:val="24"/>
                <w:szCs w:val="24"/>
              </w:rPr>
            </w:pPr>
            <w:r w:rsidRPr="00F146C4">
              <w:rPr>
                <w:b/>
                <w:bCs/>
                <w:sz w:val="24"/>
                <w:szCs w:val="24"/>
              </w:rPr>
              <w:t>Área de afectación</w:t>
            </w:r>
            <w:r w:rsidR="00177836">
              <w:rPr>
                <w:b/>
                <w:bCs/>
                <w:sz w:val="24"/>
                <w:szCs w:val="24"/>
              </w:rPr>
              <w:t xml:space="preserve"> vial</w:t>
            </w:r>
            <w:r w:rsidRPr="00F146C4">
              <w:rPr>
                <w:b/>
                <w:bCs/>
                <w:sz w:val="24"/>
                <w:szCs w:val="24"/>
              </w:rPr>
              <w:t xml:space="preserve"> </w:t>
            </w:r>
            <w:r>
              <w:rPr>
                <w:b/>
                <w:bCs/>
                <w:sz w:val="24"/>
                <w:szCs w:val="24"/>
              </w:rPr>
              <w:t>m</w:t>
            </w:r>
            <w:r w:rsidRPr="00F146C4">
              <w:rPr>
                <w:b/>
                <w:bCs/>
                <w:sz w:val="24"/>
                <w:szCs w:val="24"/>
              </w:rPr>
              <w:t xml:space="preserve">acro </w:t>
            </w:r>
            <w:r>
              <w:rPr>
                <w:b/>
                <w:bCs/>
                <w:sz w:val="24"/>
                <w:szCs w:val="24"/>
              </w:rPr>
              <w:t>l</w:t>
            </w:r>
            <w:r w:rsidRPr="00F146C4">
              <w:rPr>
                <w:b/>
                <w:bCs/>
                <w:sz w:val="24"/>
                <w:szCs w:val="24"/>
              </w:rPr>
              <w:t>ote:</w:t>
            </w:r>
          </w:p>
        </w:tc>
        <w:tc>
          <w:tcPr>
            <w:tcW w:w="3143" w:type="pct"/>
            <w:tcBorders>
              <w:top w:val="single" w:sz="4" w:space="0" w:color="000000"/>
              <w:left w:val="single" w:sz="4" w:space="0" w:color="000000"/>
              <w:bottom w:val="single" w:sz="4" w:space="0" w:color="000000"/>
              <w:right w:val="single" w:sz="4" w:space="0" w:color="000000"/>
            </w:tcBorders>
          </w:tcPr>
          <w:p w14:paraId="138C6B46" w14:textId="61A6F45C" w:rsidR="00F146C4" w:rsidRPr="00F146C4" w:rsidRDefault="00F146C4" w:rsidP="00374462">
            <w:pPr>
              <w:rPr>
                <w:sz w:val="24"/>
                <w:szCs w:val="24"/>
              </w:rPr>
            </w:pPr>
            <w:r w:rsidRPr="00F146C4">
              <w:rPr>
                <w:sz w:val="24"/>
                <w:szCs w:val="24"/>
              </w:rPr>
              <w:t>1.605,25 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68061A82" w:rsidR="00643E8C" w:rsidRPr="00F146C4" w:rsidRDefault="00F146C4" w:rsidP="00374462">
            <w:pPr>
              <w:rPr>
                <w:b/>
                <w:sz w:val="24"/>
                <w:szCs w:val="24"/>
                <w:lang w:val="es-EC" w:eastAsia="es-EC"/>
              </w:rPr>
            </w:pPr>
            <w:r>
              <w:rPr>
                <w:sz w:val="24"/>
                <w:szCs w:val="24"/>
              </w:rPr>
              <w:t>1.272</w:t>
            </w:r>
            <w:r w:rsidRPr="00F146C4">
              <w:rPr>
                <w:sz w:val="24"/>
                <w:szCs w:val="24"/>
              </w:rPr>
              <w:t xml:space="preserve"> </w:t>
            </w:r>
            <w:r w:rsidR="00374462" w:rsidRPr="00F146C4">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249F8CC3" w:rsidR="00643E8C" w:rsidRPr="00F146C4" w:rsidRDefault="00F146C4" w:rsidP="00374462">
            <w:pPr>
              <w:rPr>
                <w:b/>
                <w:sz w:val="24"/>
                <w:szCs w:val="24"/>
                <w:lang w:val="es-EC" w:eastAsia="es-EC"/>
              </w:rPr>
            </w:pPr>
            <w:r w:rsidRPr="00F146C4">
              <w:rPr>
                <w:sz w:val="24"/>
                <w:szCs w:val="24"/>
              </w:rPr>
              <w:t xml:space="preserve">1.101,35 </w:t>
            </w:r>
            <w:r w:rsidR="00374462" w:rsidRPr="00F146C4">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55BED644" w:rsidR="00374462" w:rsidRPr="00F146C4" w:rsidRDefault="00F146C4" w:rsidP="00374462">
            <w:pPr>
              <w:rPr>
                <w:b/>
                <w:sz w:val="24"/>
                <w:szCs w:val="24"/>
                <w:lang w:val="es-EC" w:eastAsia="es-EC"/>
              </w:rPr>
            </w:pPr>
            <w:r w:rsidRPr="00F146C4">
              <w:rPr>
                <w:sz w:val="24"/>
                <w:szCs w:val="24"/>
              </w:rPr>
              <w:t>11.025,72</w:t>
            </w:r>
            <w:r w:rsidRPr="00F146C4">
              <w:rPr>
                <w:b/>
                <w:sz w:val="24"/>
                <w:szCs w:val="24"/>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6C63EC72"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F146C4">
        <w:rPr>
          <w:sz w:val="24"/>
          <w:szCs w:val="24"/>
        </w:rPr>
        <w:t>30</w:t>
      </w:r>
      <w:r w:rsidRPr="00FB0932">
        <w:rPr>
          <w:sz w:val="24"/>
          <w:szCs w:val="24"/>
        </w:rPr>
        <w:t xml:space="preserve"> signados del uno (1) al </w:t>
      </w:r>
      <w:r w:rsidR="00F146C4">
        <w:rPr>
          <w:sz w:val="24"/>
          <w:szCs w:val="24"/>
        </w:rPr>
        <w:t>treinta</w:t>
      </w:r>
      <w:r w:rsidRPr="00FB0932">
        <w:rPr>
          <w:sz w:val="24"/>
          <w:szCs w:val="24"/>
        </w:rPr>
        <w:t xml:space="preserve"> (</w:t>
      </w:r>
      <w:r w:rsidR="00F146C4">
        <w:rPr>
          <w:sz w:val="24"/>
          <w:szCs w:val="24"/>
        </w:rPr>
        <w:t>30</w:t>
      </w:r>
      <w:r w:rsidRPr="00FB0932">
        <w:rPr>
          <w:sz w:val="24"/>
          <w:szCs w:val="24"/>
        </w:rPr>
        <w:t>), cuyo detalle es el que consta en los planos aprobatorios que forman parte de la presente Ordenanza.</w:t>
      </w:r>
    </w:p>
    <w:p w14:paraId="7ED87DD5" w14:textId="77777777" w:rsidR="00177836" w:rsidRPr="00D15D82" w:rsidRDefault="00177836" w:rsidP="002D2F0A">
      <w:pPr>
        <w:spacing w:after="240"/>
        <w:jc w:val="both"/>
        <w:rPr>
          <w:sz w:val="24"/>
          <w:szCs w:val="24"/>
        </w:rPr>
      </w:pPr>
      <w:r w:rsidRPr="00D15D82">
        <w:rPr>
          <w:sz w:val="24"/>
          <w:szCs w:val="24"/>
        </w:rPr>
        <w:t xml:space="preserve">De acuerdo al artículo 424 del COOTAD, el área de afectación vial del </w:t>
      </w:r>
      <w:proofErr w:type="spellStart"/>
      <w:r w:rsidRPr="00D15D82">
        <w:rPr>
          <w:sz w:val="24"/>
          <w:szCs w:val="24"/>
        </w:rPr>
        <w:t>macrolote</w:t>
      </w:r>
      <w:proofErr w:type="spellEnd"/>
      <w:r w:rsidRPr="00D15D82">
        <w:rPr>
          <w:sz w:val="24"/>
          <w:szCs w:val="24"/>
        </w:rPr>
        <w:t xml:space="preserve"> constante en el presente artículo, será cedida de manera gratuita a favor del Municipio del Distrito Metropolitano de Quito.</w:t>
      </w:r>
    </w:p>
    <w:p w14:paraId="58C64AAF" w14:textId="52EB11D6" w:rsidR="00A06F0A" w:rsidRPr="00DB2F63" w:rsidRDefault="00A06F0A" w:rsidP="002D2F0A">
      <w:pPr>
        <w:spacing w:after="240" w:line="276" w:lineRule="auto"/>
        <w:jc w:val="both"/>
        <w:rPr>
          <w:bCs/>
          <w:sz w:val="24"/>
          <w:szCs w:val="24"/>
        </w:rPr>
      </w:pPr>
      <w:r w:rsidRPr="00DB2F63">
        <w:rPr>
          <w:sz w:val="24"/>
          <w:szCs w:val="24"/>
        </w:rPr>
        <w:t xml:space="preserve">El área total del predio No. </w:t>
      </w:r>
      <w:r w:rsidR="007E2AD7" w:rsidRPr="00F146C4">
        <w:rPr>
          <w:sz w:val="24"/>
          <w:szCs w:val="24"/>
        </w:rPr>
        <w:t>5332755</w:t>
      </w:r>
      <w:r w:rsidRPr="00DB2F63">
        <w:rPr>
          <w:sz w:val="24"/>
          <w:szCs w:val="24"/>
        </w:rPr>
        <w:t xml:space="preserve">, es la que consta en la Cédula Catastral en </w:t>
      </w:r>
      <w:proofErr w:type="spellStart"/>
      <w:r w:rsidRPr="00DB2F63">
        <w:rPr>
          <w:sz w:val="24"/>
          <w:szCs w:val="24"/>
        </w:rPr>
        <w:t>Unipropiedad</w:t>
      </w:r>
      <w:proofErr w:type="spellEnd"/>
      <w:r w:rsidRPr="00DB2F63">
        <w:rPr>
          <w:sz w:val="24"/>
          <w:szCs w:val="24"/>
        </w:rPr>
        <w:t xml:space="preserve"> No. </w:t>
      </w:r>
      <w:r w:rsidR="007E2AD7">
        <w:rPr>
          <w:rFonts w:eastAsiaTheme="minorHAnsi"/>
          <w:sz w:val="24"/>
          <w:szCs w:val="24"/>
          <w:lang w:val="es-EC" w:eastAsia="en-US"/>
        </w:rPr>
        <w:t>7581</w:t>
      </w:r>
      <w:r w:rsidRPr="00DB2F63">
        <w:rPr>
          <w:sz w:val="24"/>
          <w:szCs w:val="24"/>
        </w:rPr>
        <w:t xml:space="preserve"> emitida por la Dirección Metropolitana de Catastro, el </w:t>
      </w:r>
      <w:r w:rsidR="007E2AD7">
        <w:rPr>
          <w:sz w:val="24"/>
          <w:szCs w:val="24"/>
        </w:rPr>
        <w:t>02</w:t>
      </w:r>
      <w:r w:rsidRPr="00DB2F63">
        <w:rPr>
          <w:sz w:val="24"/>
          <w:szCs w:val="24"/>
        </w:rPr>
        <w:t xml:space="preserve"> de </w:t>
      </w:r>
      <w:r w:rsidR="007E2AD7">
        <w:rPr>
          <w:sz w:val="24"/>
          <w:szCs w:val="24"/>
        </w:rPr>
        <w:t>mayo</w:t>
      </w:r>
      <w:r w:rsidRPr="00DB2F63">
        <w:rPr>
          <w:sz w:val="24"/>
          <w:szCs w:val="24"/>
        </w:rPr>
        <w:t xml:space="preserve"> de 201</w:t>
      </w:r>
      <w:r w:rsidR="007E2AD7">
        <w:rPr>
          <w:sz w:val="24"/>
          <w:szCs w:val="24"/>
        </w:rPr>
        <w:t>9</w:t>
      </w:r>
      <w:r w:rsidR="00E66E89">
        <w:rPr>
          <w:sz w:val="24"/>
          <w:szCs w:val="24"/>
        </w:rPr>
        <w:t>.</w:t>
      </w:r>
    </w:p>
    <w:p w14:paraId="2F40ADFE" w14:textId="3170A98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851A9">
        <w:rPr>
          <w:sz w:val="24"/>
          <w:szCs w:val="24"/>
        </w:rPr>
        <w:t>R</w:t>
      </w:r>
      <w:r w:rsidRPr="00FB0932">
        <w:rPr>
          <w:sz w:val="24"/>
          <w:szCs w:val="24"/>
        </w:rPr>
        <w:t xml:space="preserve">2) Residencial </w:t>
      </w:r>
      <w:r w:rsidR="00C851A9">
        <w:rPr>
          <w:sz w:val="24"/>
          <w:szCs w:val="24"/>
        </w:rPr>
        <w:t>Rural</w:t>
      </w:r>
      <w:r w:rsidRPr="00FB0932">
        <w:rPr>
          <w:sz w:val="24"/>
          <w:szCs w:val="24"/>
        </w:rPr>
        <w:t xml:space="preserve"> 2. </w:t>
      </w:r>
    </w:p>
    <w:p w14:paraId="5A0B7D86" w14:textId="5038C920"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Los lotes fraccionados mantendrán la clasificación vigente esto es (S</w:t>
      </w:r>
      <w:r w:rsidR="00232750">
        <w:rPr>
          <w:sz w:val="24"/>
          <w:szCs w:val="24"/>
        </w:rPr>
        <w:t>R</w:t>
      </w:r>
      <w:r w:rsidRPr="00FB0932">
        <w:rPr>
          <w:sz w:val="24"/>
          <w:szCs w:val="24"/>
        </w:rPr>
        <w:t xml:space="preserve">U) Suelo </w:t>
      </w:r>
      <w:r w:rsidR="00232750">
        <w:rPr>
          <w:sz w:val="24"/>
          <w:szCs w:val="24"/>
        </w:rPr>
        <w:t>Rural</w:t>
      </w:r>
      <w:r w:rsidRPr="00FB0932">
        <w:rPr>
          <w:sz w:val="24"/>
          <w:szCs w:val="24"/>
        </w:rPr>
        <w:t>.</w:t>
      </w:r>
    </w:p>
    <w:p w14:paraId="05DB5DD1" w14:textId="2817C9DB"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2422A8" w:rsidRPr="002422A8">
        <w:rPr>
          <w:bCs/>
          <w:sz w:val="24"/>
          <w:szCs w:val="24"/>
        </w:rPr>
        <w:t>Ruta Viva de San Juan de Calderón</w:t>
      </w:r>
      <w:r w:rsidR="003C199B" w:rsidRPr="00FB0932">
        <w:rPr>
          <w:sz w:val="24"/>
          <w:szCs w:val="24"/>
        </w:rPr>
        <w:t xml:space="preserve">, </w:t>
      </w:r>
      <w:r w:rsidRPr="00FB0932">
        <w:rPr>
          <w:sz w:val="24"/>
          <w:szCs w:val="24"/>
        </w:rPr>
        <w:t xml:space="preserve">conforme a la normativa vigente se les exonera el 15% como </w:t>
      </w:r>
      <w:r w:rsidRPr="00FB0932">
        <w:rPr>
          <w:sz w:val="24"/>
          <w:szCs w:val="24"/>
        </w:rPr>
        <w:lastRenderedPageBreak/>
        <w:t xml:space="preserve">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C851A9" w:rsidRPr="00C851A9">
        <w:rPr>
          <w:rStyle w:val="fontstyle01"/>
          <w:rFonts w:ascii="Times New Roman" w:hAnsi="Times New Roman"/>
          <w:b w:val="0"/>
          <w:sz w:val="24"/>
          <w:szCs w:val="24"/>
        </w:rPr>
        <w:t>1</w:t>
      </w:r>
      <w:r w:rsidR="00232750">
        <w:rPr>
          <w:rStyle w:val="fontstyle01"/>
          <w:rFonts w:ascii="Times New Roman" w:hAnsi="Times New Roman"/>
          <w:b w:val="0"/>
          <w:sz w:val="24"/>
          <w:szCs w:val="24"/>
        </w:rPr>
        <w:t>.</w:t>
      </w:r>
      <w:r w:rsidR="00C851A9" w:rsidRPr="00C851A9">
        <w:rPr>
          <w:rStyle w:val="fontstyle01"/>
          <w:rFonts w:ascii="Times New Roman" w:hAnsi="Times New Roman"/>
          <w:b w:val="0"/>
          <w:sz w:val="24"/>
          <w:szCs w:val="24"/>
        </w:rPr>
        <w:t>2</w:t>
      </w:r>
      <w:r w:rsidR="00232750">
        <w:rPr>
          <w:rStyle w:val="fontstyle01"/>
          <w:rFonts w:ascii="Times New Roman" w:hAnsi="Times New Roman"/>
          <w:b w:val="0"/>
          <w:sz w:val="24"/>
          <w:szCs w:val="24"/>
        </w:rPr>
        <w:t>72</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p w14:paraId="494EE997" w14:textId="77777777" w:rsidR="00232750" w:rsidRDefault="00232750" w:rsidP="00232750">
      <w:pPr>
        <w:contextualSpacing/>
        <w:rPr>
          <w:sz w:val="12"/>
          <w:szCs w:val="12"/>
          <w:highlight w:val="yellow"/>
        </w:rPr>
      </w:pPr>
    </w:p>
    <w:p w14:paraId="73642D68" w14:textId="77777777" w:rsidR="00232750" w:rsidRDefault="00232750" w:rsidP="00232750">
      <w:pPr>
        <w:contextualSpacing/>
        <w:rPr>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7"/>
        <w:gridCol w:w="1133"/>
        <w:gridCol w:w="1914"/>
        <w:gridCol w:w="1841"/>
        <w:gridCol w:w="1410"/>
        <w:gridCol w:w="1428"/>
      </w:tblGrid>
      <w:tr w:rsidR="00232750" w:rsidRPr="00232750" w14:paraId="512372DE" w14:textId="77777777" w:rsidTr="00232750">
        <w:trPr>
          <w:trHeight w:val="483"/>
        </w:trPr>
        <w:tc>
          <w:tcPr>
            <w:tcW w:w="8643" w:type="dxa"/>
            <w:gridSpan w:val="6"/>
            <w:shd w:val="clear" w:color="auto" w:fill="auto"/>
            <w:hideMark/>
          </w:tcPr>
          <w:p w14:paraId="652ED80E" w14:textId="77777777" w:rsidR="00232750" w:rsidRPr="00232750" w:rsidRDefault="00232750" w:rsidP="00174C6F">
            <w:pPr>
              <w:contextualSpacing/>
              <w:jc w:val="center"/>
              <w:rPr>
                <w:b/>
                <w:bCs/>
                <w:lang w:val="es-EC"/>
              </w:rPr>
            </w:pPr>
            <w:r w:rsidRPr="00232750">
              <w:rPr>
                <w:b/>
                <w:bCs/>
              </w:rPr>
              <w:t>ÁREA VERDE</w:t>
            </w:r>
          </w:p>
        </w:tc>
      </w:tr>
      <w:tr w:rsidR="00232750" w:rsidRPr="00232750" w14:paraId="6FD4AFB2" w14:textId="77777777" w:rsidTr="00232750">
        <w:trPr>
          <w:trHeight w:val="439"/>
        </w:trPr>
        <w:tc>
          <w:tcPr>
            <w:tcW w:w="917" w:type="dxa"/>
            <w:vMerge w:val="restart"/>
            <w:shd w:val="clear" w:color="auto" w:fill="auto"/>
            <w:noWrap/>
            <w:hideMark/>
          </w:tcPr>
          <w:p w14:paraId="510388B9" w14:textId="77777777" w:rsidR="009A3DDA" w:rsidRDefault="009A3DDA" w:rsidP="00174C6F">
            <w:pPr>
              <w:contextualSpacing/>
              <w:rPr>
                <w:b/>
                <w:bCs/>
              </w:rPr>
            </w:pPr>
          </w:p>
          <w:p w14:paraId="0FA102C4" w14:textId="77777777" w:rsidR="009A3DDA" w:rsidRDefault="009A3DDA" w:rsidP="00174C6F">
            <w:pPr>
              <w:contextualSpacing/>
              <w:rPr>
                <w:b/>
                <w:bCs/>
              </w:rPr>
            </w:pPr>
          </w:p>
          <w:p w14:paraId="2EF3DFB6" w14:textId="77777777" w:rsidR="009A3DDA" w:rsidRDefault="009A3DDA" w:rsidP="00174C6F">
            <w:pPr>
              <w:contextualSpacing/>
              <w:rPr>
                <w:b/>
                <w:bCs/>
              </w:rPr>
            </w:pPr>
          </w:p>
          <w:p w14:paraId="5CDA2008" w14:textId="77777777" w:rsidR="009A3DDA" w:rsidRDefault="009A3DDA" w:rsidP="00174C6F">
            <w:pPr>
              <w:contextualSpacing/>
              <w:rPr>
                <w:b/>
                <w:bCs/>
              </w:rPr>
            </w:pPr>
          </w:p>
          <w:p w14:paraId="370BC7B8" w14:textId="77777777" w:rsidR="009A3DDA" w:rsidRDefault="009A3DDA" w:rsidP="00174C6F">
            <w:pPr>
              <w:contextualSpacing/>
              <w:rPr>
                <w:b/>
                <w:bCs/>
              </w:rPr>
            </w:pPr>
          </w:p>
          <w:p w14:paraId="59F9BE80" w14:textId="77777777" w:rsidR="009A3DDA" w:rsidRDefault="009A3DDA" w:rsidP="00174C6F">
            <w:pPr>
              <w:contextualSpacing/>
              <w:rPr>
                <w:b/>
                <w:bCs/>
              </w:rPr>
            </w:pPr>
          </w:p>
          <w:p w14:paraId="57FA8A0F" w14:textId="77777777" w:rsidR="00232750" w:rsidRPr="00232750" w:rsidRDefault="00232750" w:rsidP="00174C6F">
            <w:pPr>
              <w:contextualSpacing/>
              <w:rPr>
                <w:b/>
                <w:bCs/>
              </w:rPr>
            </w:pPr>
            <w:r w:rsidRPr="00232750">
              <w:rPr>
                <w:b/>
                <w:bCs/>
              </w:rPr>
              <w:t>ÁREA VERDE</w:t>
            </w:r>
          </w:p>
        </w:tc>
        <w:tc>
          <w:tcPr>
            <w:tcW w:w="1133" w:type="dxa"/>
            <w:shd w:val="clear" w:color="auto" w:fill="auto"/>
            <w:noWrap/>
            <w:hideMark/>
          </w:tcPr>
          <w:p w14:paraId="418F525E" w14:textId="77777777" w:rsidR="00232750" w:rsidRPr="00232750" w:rsidRDefault="00232750" w:rsidP="00174C6F">
            <w:pPr>
              <w:contextualSpacing/>
              <w:rPr>
                <w:b/>
                <w:bCs/>
              </w:rPr>
            </w:pPr>
            <w:r w:rsidRPr="00232750">
              <w:rPr>
                <w:b/>
                <w:bCs/>
              </w:rPr>
              <w:t> </w:t>
            </w:r>
          </w:p>
        </w:tc>
        <w:tc>
          <w:tcPr>
            <w:tcW w:w="1914" w:type="dxa"/>
            <w:shd w:val="clear" w:color="auto" w:fill="auto"/>
            <w:hideMark/>
          </w:tcPr>
          <w:p w14:paraId="3257AFB9" w14:textId="77777777" w:rsidR="00232750" w:rsidRPr="00232750" w:rsidRDefault="00232750" w:rsidP="00174C6F">
            <w:pPr>
              <w:contextualSpacing/>
              <w:rPr>
                <w:b/>
                <w:bCs/>
              </w:rPr>
            </w:pPr>
            <w:r w:rsidRPr="00232750">
              <w:rPr>
                <w:b/>
                <w:bCs/>
              </w:rPr>
              <w:t>LINDERO</w:t>
            </w:r>
          </w:p>
        </w:tc>
        <w:tc>
          <w:tcPr>
            <w:tcW w:w="1841" w:type="dxa"/>
            <w:shd w:val="clear" w:color="auto" w:fill="auto"/>
            <w:noWrap/>
            <w:hideMark/>
          </w:tcPr>
          <w:p w14:paraId="68FD224C" w14:textId="77777777" w:rsidR="00232750" w:rsidRPr="00232750" w:rsidRDefault="00232750" w:rsidP="00174C6F">
            <w:pPr>
              <w:contextualSpacing/>
              <w:rPr>
                <w:b/>
                <w:bCs/>
              </w:rPr>
            </w:pPr>
            <w:r w:rsidRPr="00232750">
              <w:rPr>
                <w:b/>
                <w:bCs/>
              </w:rPr>
              <w:t>EN PARTE</w:t>
            </w:r>
          </w:p>
        </w:tc>
        <w:tc>
          <w:tcPr>
            <w:tcW w:w="1410" w:type="dxa"/>
            <w:shd w:val="clear" w:color="auto" w:fill="auto"/>
            <w:hideMark/>
          </w:tcPr>
          <w:p w14:paraId="5219B27F" w14:textId="77777777" w:rsidR="00232750" w:rsidRPr="00232750" w:rsidRDefault="00232750" w:rsidP="00174C6F">
            <w:pPr>
              <w:contextualSpacing/>
              <w:rPr>
                <w:b/>
                <w:bCs/>
              </w:rPr>
            </w:pPr>
            <w:r w:rsidRPr="00232750">
              <w:rPr>
                <w:b/>
                <w:bCs/>
              </w:rPr>
              <w:t>TOTAL</w:t>
            </w:r>
          </w:p>
        </w:tc>
        <w:tc>
          <w:tcPr>
            <w:tcW w:w="1428" w:type="dxa"/>
            <w:shd w:val="clear" w:color="auto" w:fill="auto"/>
            <w:noWrap/>
            <w:hideMark/>
          </w:tcPr>
          <w:p w14:paraId="3EE199C3" w14:textId="77777777" w:rsidR="00232750" w:rsidRPr="00232750" w:rsidRDefault="00232750" w:rsidP="00174C6F">
            <w:pPr>
              <w:contextualSpacing/>
              <w:rPr>
                <w:b/>
                <w:bCs/>
              </w:rPr>
            </w:pPr>
            <w:r w:rsidRPr="00232750">
              <w:rPr>
                <w:b/>
                <w:bCs/>
              </w:rPr>
              <w:t>SUPERFICIE (m2)</w:t>
            </w:r>
          </w:p>
        </w:tc>
      </w:tr>
      <w:tr w:rsidR="00232750" w:rsidRPr="00232750" w14:paraId="666AF661" w14:textId="77777777" w:rsidTr="00232750">
        <w:trPr>
          <w:trHeight w:val="439"/>
        </w:trPr>
        <w:tc>
          <w:tcPr>
            <w:tcW w:w="917" w:type="dxa"/>
            <w:vMerge/>
            <w:shd w:val="clear" w:color="auto" w:fill="auto"/>
            <w:hideMark/>
          </w:tcPr>
          <w:p w14:paraId="4D65220B" w14:textId="77777777" w:rsidR="00232750" w:rsidRPr="00232750" w:rsidRDefault="00232750" w:rsidP="00174C6F">
            <w:pPr>
              <w:contextualSpacing/>
              <w:rPr>
                <w:b/>
                <w:bCs/>
              </w:rPr>
            </w:pPr>
          </w:p>
        </w:tc>
        <w:tc>
          <w:tcPr>
            <w:tcW w:w="1133" w:type="dxa"/>
            <w:shd w:val="clear" w:color="auto" w:fill="auto"/>
            <w:hideMark/>
          </w:tcPr>
          <w:p w14:paraId="5D0E1A7A" w14:textId="77777777" w:rsidR="009A3DDA" w:rsidRDefault="009A3DDA" w:rsidP="00174C6F">
            <w:pPr>
              <w:contextualSpacing/>
            </w:pPr>
          </w:p>
          <w:p w14:paraId="011A9C55" w14:textId="77777777" w:rsidR="009A3DDA" w:rsidRDefault="009A3DDA" w:rsidP="00174C6F">
            <w:pPr>
              <w:contextualSpacing/>
            </w:pPr>
          </w:p>
          <w:p w14:paraId="74EC0C78" w14:textId="77777777" w:rsidR="009A3DDA" w:rsidRDefault="009A3DDA" w:rsidP="00174C6F">
            <w:pPr>
              <w:contextualSpacing/>
            </w:pPr>
          </w:p>
          <w:p w14:paraId="3BD7ECDE" w14:textId="77777777" w:rsidR="00232750" w:rsidRPr="00232750" w:rsidRDefault="00232750" w:rsidP="00174C6F">
            <w:pPr>
              <w:contextualSpacing/>
            </w:pPr>
            <w:r w:rsidRPr="00232750">
              <w:t>NORTE</w:t>
            </w:r>
          </w:p>
        </w:tc>
        <w:tc>
          <w:tcPr>
            <w:tcW w:w="1914" w:type="dxa"/>
            <w:shd w:val="clear" w:color="auto" w:fill="auto"/>
            <w:hideMark/>
          </w:tcPr>
          <w:p w14:paraId="65A6D790" w14:textId="77777777" w:rsidR="00232750" w:rsidRPr="00232750" w:rsidRDefault="00232750" w:rsidP="00174C6F">
            <w:pPr>
              <w:contextualSpacing/>
            </w:pPr>
            <w:r w:rsidRPr="00232750">
              <w:t>Lote 4</w:t>
            </w:r>
          </w:p>
          <w:p w14:paraId="4CA8A420" w14:textId="77777777" w:rsidR="00232750" w:rsidRPr="00232750" w:rsidRDefault="00232750" w:rsidP="00174C6F">
            <w:pPr>
              <w:contextualSpacing/>
            </w:pPr>
            <w:r w:rsidRPr="00232750">
              <w:t>Lote 5</w:t>
            </w:r>
          </w:p>
          <w:p w14:paraId="7CAD4047" w14:textId="77777777" w:rsidR="00232750" w:rsidRPr="00232750" w:rsidRDefault="00232750" w:rsidP="00174C6F">
            <w:pPr>
              <w:contextualSpacing/>
            </w:pPr>
            <w:r w:rsidRPr="00232750">
              <w:t>Calle E12M</w:t>
            </w:r>
          </w:p>
          <w:p w14:paraId="1D87F023" w14:textId="77777777" w:rsidR="00232750" w:rsidRPr="00232750" w:rsidRDefault="00232750" w:rsidP="00174C6F">
            <w:pPr>
              <w:contextualSpacing/>
            </w:pPr>
            <w:r w:rsidRPr="00232750">
              <w:t>Lote 6</w:t>
            </w:r>
          </w:p>
          <w:p w14:paraId="03142A70" w14:textId="77777777" w:rsidR="00232750" w:rsidRPr="00232750" w:rsidRDefault="00232750" w:rsidP="00174C6F">
            <w:pPr>
              <w:contextualSpacing/>
            </w:pPr>
            <w:r w:rsidRPr="00232750">
              <w:t>Lote 7</w:t>
            </w:r>
          </w:p>
          <w:p w14:paraId="37ACB53F" w14:textId="77777777" w:rsidR="00232750" w:rsidRPr="00232750" w:rsidRDefault="00232750" w:rsidP="00174C6F">
            <w:pPr>
              <w:contextualSpacing/>
            </w:pPr>
            <w:r w:rsidRPr="00232750">
              <w:t>Lote 8</w:t>
            </w:r>
          </w:p>
          <w:p w14:paraId="77B21252" w14:textId="77777777" w:rsidR="00232750" w:rsidRPr="00232750" w:rsidRDefault="00232750" w:rsidP="00174C6F">
            <w:pPr>
              <w:contextualSpacing/>
            </w:pPr>
            <w:r w:rsidRPr="00232750">
              <w:t>Lote 9</w:t>
            </w:r>
          </w:p>
        </w:tc>
        <w:tc>
          <w:tcPr>
            <w:tcW w:w="1841" w:type="dxa"/>
            <w:shd w:val="clear" w:color="auto" w:fill="auto"/>
            <w:noWrap/>
            <w:hideMark/>
          </w:tcPr>
          <w:p w14:paraId="0575BBDE" w14:textId="77777777" w:rsidR="00232750" w:rsidRPr="00232750" w:rsidRDefault="00232750" w:rsidP="00174C6F">
            <w:pPr>
              <w:contextualSpacing/>
            </w:pPr>
            <w:r w:rsidRPr="00232750">
              <w:t> 9.99 m</w:t>
            </w:r>
          </w:p>
          <w:p w14:paraId="10B4F2AB" w14:textId="77777777" w:rsidR="00232750" w:rsidRPr="00232750" w:rsidRDefault="00232750" w:rsidP="00174C6F">
            <w:pPr>
              <w:contextualSpacing/>
            </w:pPr>
            <w:r w:rsidRPr="00232750">
              <w:t>9.99 m + 20.45 m</w:t>
            </w:r>
          </w:p>
          <w:p w14:paraId="08CE3462" w14:textId="77777777" w:rsidR="00232750" w:rsidRPr="00232750" w:rsidRDefault="00232750" w:rsidP="00174C6F">
            <w:pPr>
              <w:contextualSpacing/>
            </w:pPr>
            <w:r w:rsidRPr="00232750">
              <w:t>23.20 m</w:t>
            </w:r>
          </w:p>
          <w:p w14:paraId="69BC5829" w14:textId="77777777" w:rsidR="00232750" w:rsidRPr="00232750" w:rsidRDefault="00232750" w:rsidP="00174C6F">
            <w:pPr>
              <w:contextualSpacing/>
            </w:pPr>
            <w:r w:rsidRPr="00232750">
              <w:t>20.49 m + 10.00 m</w:t>
            </w:r>
          </w:p>
          <w:p w14:paraId="798EFE73" w14:textId="77777777" w:rsidR="00232750" w:rsidRPr="00232750" w:rsidRDefault="00232750" w:rsidP="00174C6F">
            <w:pPr>
              <w:contextualSpacing/>
            </w:pPr>
            <w:r w:rsidRPr="00232750">
              <w:t>10.00 m</w:t>
            </w:r>
          </w:p>
          <w:p w14:paraId="7DC46EA5" w14:textId="77777777" w:rsidR="00232750" w:rsidRPr="00232750" w:rsidRDefault="00232750" w:rsidP="00174C6F">
            <w:pPr>
              <w:contextualSpacing/>
            </w:pPr>
            <w:r w:rsidRPr="00232750">
              <w:t>10.00 m</w:t>
            </w:r>
          </w:p>
          <w:p w14:paraId="73D5AD4B" w14:textId="77777777" w:rsidR="00232750" w:rsidRPr="00232750" w:rsidRDefault="00232750" w:rsidP="00174C6F">
            <w:pPr>
              <w:contextualSpacing/>
            </w:pPr>
            <w:r w:rsidRPr="00232750">
              <w:t>10.00 m</w:t>
            </w:r>
          </w:p>
        </w:tc>
        <w:tc>
          <w:tcPr>
            <w:tcW w:w="1410" w:type="dxa"/>
            <w:shd w:val="clear" w:color="auto" w:fill="auto"/>
            <w:noWrap/>
            <w:hideMark/>
          </w:tcPr>
          <w:p w14:paraId="6766121A" w14:textId="77777777" w:rsidR="00232750" w:rsidRPr="00232750" w:rsidRDefault="00232750" w:rsidP="00174C6F">
            <w:pPr>
              <w:contextualSpacing/>
            </w:pPr>
            <w:r w:rsidRPr="00232750">
              <w:t xml:space="preserve">124.12 m </w:t>
            </w:r>
          </w:p>
        </w:tc>
        <w:tc>
          <w:tcPr>
            <w:tcW w:w="1428" w:type="dxa"/>
            <w:vMerge w:val="restart"/>
            <w:shd w:val="clear" w:color="auto" w:fill="auto"/>
            <w:hideMark/>
          </w:tcPr>
          <w:p w14:paraId="51D15306" w14:textId="77777777" w:rsidR="00232750" w:rsidRPr="00232750" w:rsidRDefault="00232750" w:rsidP="00174C6F">
            <w:pPr>
              <w:contextualSpacing/>
            </w:pPr>
            <w:r w:rsidRPr="00232750">
              <w:t>1.272,00 m</w:t>
            </w:r>
            <w:r w:rsidRPr="00232750">
              <w:rPr>
                <w:vertAlign w:val="superscript"/>
              </w:rPr>
              <w:t>2</w:t>
            </w:r>
          </w:p>
        </w:tc>
      </w:tr>
      <w:tr w:rsidR="00232750" w:rsidRPr="00232750" w14:paraId="2C597555" w14:textId="77777777" w:rsidTr="00232750">
        <w:trPr>
          <w:trHeight w:val="439"/>
        </w:trPr>
        <w:tc>
          <w:tcPr>
            <w:tcW w:w="917" w:type="dxa"/>
            <w:vMerge/>
            <w:shd w:val="clear" w:color="auto" w:fill="auto"/>
            <w:hideMark/>
          </w:tcPr>
          <w:p w14:paraId="307AC1FA" w14:textId="77777777" w:rsidR="00232750" w:rsidRPr="00232750" w:rsidRDefault="00232750" w:rsidP="00174C6F">
            <w:pPr>
              <w:contextualSpacing/>
              <w:rPr>
                <w:b/>
                <w:bCs/>
              </w:rPr>
            </w:pPr>
          </w:p>
        </w:tc>
        <w:tc>
          <w:tcPr>
            <w:tcW w:w="1133" w:type="dxa"/>
            <w:shd w:val="clear" w:color="auto" w:fill="auto"/>
            <w:noWrap/>
            <w:hideMark/>
          </w:tcPr>
          <w:p w14:paraId="70706C62" w14:textId="77777777" w:rsidR="00232750" w:rsidRPr="00232750" w:rsidRDefault="00232750" w:rsidP="00174C6F">
            <w:pPr>
              <w:contextualSpacing/>
            </w:pPr>
            <w:r w:rsidRPr="00232750">
              <w:t>ESTE</w:t>
            </w:r>
          </w:p>
        </w:tc>
        <w:tc>
          <w:tcPr>
            <w:tcW w:w="1914" w:type="dxa"/>
            <w:shd w:val="clear" w:color="auto" w:fill="auto"/>
            <w:noWrap/>
            <w:hideMark/>
          </w:tcPr>
          <w:p w14:paraId="23FAE044" w14:textId="77777777" w:rsidR="00232750" w:rsidRPr="00232750" w:rsidRDefault="00232750" w:rsidP="00174C6F">
            <w:pPr>
              <w:contextualSpacing/>
            </w:pPr>
            <w:r w:rsidRPr="00232750">
              <w:t>Lote 9</w:t>
            </w:r>
          </w:p>
        </w:tc>
        <w:tc>
          <w:tcPr>
            <w:tcW w:w="1841" w:type="dxa"/>
            <w:shd w:val="clear" w:color="auto" w:fill="auto"/>
            <w:noWrap/>
            <w:hideMark/>
          </w:tcPr>
          <w:p w14:paraId="6A7A637F" w14:textId="77777777" w:rsidR="00232750" w:rsidRPr="00232750" w:rsidRDefault="00232750" w:rsidP="00174C6F">
            <w:pPr>
              <w:contextualSpacing/>
            </w:pPr>
            <w:r w:rsidRPr="00232750">
              <w:t> </w:t>
            </w:r>
          </w:p>
        </w:tc>
        <w:tc>
          <w:tcPr>
            <w:tcW w:w="1410" w:type="dxa"/>
            <w:shd w:val="clear" w:color="auto" w:fill="auto"/>
            <w:noWrap/>
            <w:hideMark/>
          </w:tcPr>
          <w:p w14:paraId="7447F452" w14:textId="77777777" w:rsidR="00232750" w:rsidRPr="00232750" w:rsidRDefault="00232750" w:rsidP="00174C6F">
            <w:pPr>
              <w:contextualSpacing/>
            </w:pPr>
            <w:r w:rsidRPr="00232750">
              <w:t>4.26 m</w:t>
            </w:r>
          </w:p>
        </w:tc>
        <w:tc>
          <w:tcPr>
            <w:tcW w:w="1428" w:type="dxa"/>
            <w:vMerge/>
            <w:shd w:val="clear" w:color="auto" w:fill="auto"/>
            <w:hideMark/>
          </w:tcPr>
          <w:p w14:paraId="0774F14B" w14:textId="77777777" w:rsidR="00232750" w:rsidRPr="00232750" w:rsidRDefault="00232750" w:rsidP="00174C6F">
            <w:pPr>
              <w:contextualSpacing/>
            </w:pPr>
          </w:p>
        </w:tc>
      </w:tr>
      <w:tr w:rsidR="00232750" w:rsidRPr="00232750" w14:paraId="4858C490" w14:textId="77777777" w:rsidTr="00232750">
        <w:trPr>
          <w:trHeight w:val="439"/>
        </w:trPr>
        <w:tc>
          <w:tcPr>
            <w:tcW w:w="917" w:type="dxa"/>
            <w:vMerge/>
            <w:shd w:val="clear" w:color="auto" w:fill="auto"/>
            <w:hideMark/>
          </w:tcPr>
          <w:p w14:paraId="7EF7025C" w14:textId="77777777" w:rsidR="00232750" w:rsidRPr="00232750" w:rsidRDefault="00232750" w:rsidP="00174C6F">
            <w:pPr>
              <w:contextualSpacing/>
              <w:rPr>
                <w:b/>
                <w:bCs/>
              </w:rPr>
            </w:pPr>
          </w:p>
        </w:tc>
        <w:tc>
          <w:tcPr>
            <w:tcW w:w="1133" w:type="dxa"/>
            <w:shd w:val="clear" w:color="auto" w:fill="auto"/>
            <w:hideMark/>
          </w:tcPr>
          <w:p w14:paraId="6522845F" w14:textId="77777777" w:rsidR="00232750" w:rsidRPr="00232750" w:rsidRDefault="00232750" w:rsidP="00174C6F">
            <w:pPr>
              <w:contextualSpacing/>
            </w:pPr>
            <w:r w:rsidRPr="00232750">
              <w:t>SUR</w:t>
            </w:r>
          </w:p>
        </w:tc>
        <w:tc>
          <w:tcPr>
            <w:tcW w:w="1914" w:type="dxa"/>
            <w:shd w:val="clear" w:color="auto" w:fill="auto"/>
            <w:noWrap/>
            <w:hideMark/>
          </w:tcPr>
          <w:p w14:paraId="783D2193" w14:textId="77777777" w:rsidR="00232750" w:rsidRPr="00232750" w:rsidRDefault="00232750" w:rsidP="00174C6F">
            <w:pPr>
              <w:contextualSpacing/>
            </w:pPr>
            <w:r w:rsidRPr="00232750">
              <w:t>Propiedad Particular</w:t>
            </w:r>
          </w:p>
        </w:tc>
        <w:tc>
          <w:tcPr>
            <w:tcW w:w="1841" w:type="dxa"/>
            <w:shd w:val="clear" w:color="auto" w:fill="auto"/>
            <w:noWrap/>
            <w:hideMark/>
          </w:tcPr>
          <w:p w14:paraId="5C3E0846" w14:textId="77777777" w:rsidR="00232750" w:rsidRPr="00232750" w:rsidRDefault="00232750" w:rsidP="00174C6F">
            <w:pPr>
              <w:contextualSpacing/>
            </w:pPr>
            <w:r w:rsidRPr="00232750">
              <w:t> </w:t>
            </w:r>
          </w:p>
        </w:tc>
        <w:tc>
          <w:tcPr>
            <w:tcW w:w="1410" w:type="dxa"/>
            <w:shd w:val="clear" w:color="auto" w:fill="auto"/>
            <w:noWrap/>
            <w:hideMark/>
          </w:tcPr>
          <w:p w14:paraId="52D059A5" w14:textId="77777777" w:rsidR="00232750" w:rsidRPr="00232750" w:rsidRDefault="00232750" w:rsidP="00174C6F">
            <w:pPr>
              <w:contextualSpacing/>
            </w:pPr>
            <w:r w:rsidRPr="00232750">
              <w:t>83.13 m</w:t>
            </w:r>
          </w:p>
        </w:tc>
        <w:tc>
          <w:tcPr>
            <w:tcW w:w="1428" w:type="dxa"/>
            <w:vMerge/>
            <w:shd w:val="clear" w:color="auto" w:fill="auto"/>
            <w:hideMark/>
          </w:tcPr>
          <w:p w14:paraId="1E0BDE38" w14:textId="77777777" w:rsidR="00232750" w:rsidRPr="00232750" w:rsidRDefault="00232750" w:rsidP="00174C6F">
            <w:pPr>
              <w:contextualSpacing/>
            </w:pPr>
          </w:p>
        </w:tc>
      </w:tr>
      <w:tr w:rsidR="00232750" w:rsidRPr="00232750" w14:paraId="14F39701" w14:textId="77777777" w:rsidTr="00232750">
        <w:trPr>
          <w:trHeight w:val="461"/>
        </w:trPr>
        <w:tc>
          <w:tcPr>
            <w:tcW w:w="917" w:type="dxa"/>
            <w:vMerge/>
            <w:shd w:val="clear" w:color="auto" w:fill="auto"/>
            <w:hideMark/>
          </w:tcPr>
          <w:p w14:paraId="1079A753" w14:textId="77777777" w:rsidR="00232750" w:rsidRPr="00232750" w:rsidRDefault="00232750" w:rsidP="00174C6F">
            <w:pPr>
              <w:contextualSpacing/>
              <w:rPr>
                <w:b/>
                <w:bCs/>
              </w:rPr>
            </w:pPr>
          </w:p>
        </w:tc>
        <w:tc>
          <w:tcPr>
            <w:tcW w:w="1133" w:type="dxa"/>
            <w:shd w:val="clear" w:color="auto" w:fill="auto"/>
            <w:noWrap/>
            <w:hideMark/>
          </w:tcPr>
          <w:p w14:paraId="2614DAEB" w14:textId="77777777" w:rsidR="00232750" w:rsidRPr="00232750" w:rsidRDefault="00232750" w:rsidP="00174C6F">
            <w:pPr>
              <w:contextualSpacing/>
            </w:pPr>
            <w:r w:rsidRPr="00232750">
              <w:t>OESTE</w:t>
            </w:r>
          </w:p>
        </w:tc>
        <w:tc>
          <w:tcPr>
            <w:tcW w:w="1914" w:type="dxa"/>
            <w:shd w:val="clear" w:color="auto" w:fill="auto"/>
            <w:noWrap/>
            <w:hideMark/>
          </w:tcPr>
          <w:p w14:paraId="091F32F4" w14:textId="77777777" w:rsidR="00232750" w:rsidRPr="00232750" w:rsidRDefault="00232750" w:rsidP="00174C6F">
            <w:pPr>
              <w:contextualSpacing/>
            </w:pPr>
            <w:r w:rsidRPr="00232750">
              <w:t>Lote 1</w:t>
            </w:r>
          </w:p>
          <w:p w14:paraId="0CF27C5B" w14:textId="77777777" w:rsidR="00232750" w:rsidRPr="00232750" w:rsidRDefault="00232750" w:rsidP="00174C6F">
            <w:pPr>
              <w:contextualSpacing/>
            </w:pPr>
            <w:r w:rsidRPr="00232750">
              <w:t>Lote 2</w:t>
            </w:r>
          </w:p>
        </w:tc>
        <w:tc>
          <w:tcPr>
            <w:tcW w:w="1841" w:type="dxa"/>
            <w:shd w:val="clear" w:color="auto" w:fill="auto"/>
            <w:noWrap/>
            <w:hideMark/>
          </w:tcPr>
          <w:p w14:paraId="4D996DFF" w14:textId="4B1C77FB" w:rsidR="00232750" w:rsidRPr="00232750" w:rsidRDefault="00232750" w:rsidP="00174C6F">
            <w:pPr>
              <w:contextualSpacing/>
            </w:pPr>
            <w:r w:rsidRPr="00232750">
              <w:t>12.</w:t>
            </w:r>
            <w:r w:rsidR="00177836">
              <w:t>3</w:t>
            </w:r>
            <w:r w:rsidRPr="00232750">
              <w:t>5 m</w:t>
            </w:r>
          </w:p>
          <w:p w14:paraId="121DBFA8" w14:textId="77777777" w:rsidR="00232750" w:rsidRPr="00232750" w:rsidRDefault="00232750" w:rsidP="00174C6F">
            <w:pPr>
              <w:contextualSpacing/>
            </w:pPr>
            <w:r w:rsidRPr="00232750">
              <w:t>3.30 m</w:t>
            </w:r>
          </w:p>
        </w:tc>
        <w:tc>
          <w:tcPr>
            <w:tcW w:w="1410" w:type="dxa"/>
            <w:shd w:val="clear" w:color="auto" w:fill="auto"/>
            <w:noWrap/>
            <w:hideMark/>
          </w:tcPr>
          <w:p w14:paraId="1A4E58B7" w14:textId="77777777" w:rsidR="00232750" w:rsidRPr="00232750" w:rsidRDefault="00232750" w:rsidP="00174C6F">
            <w:pPr>
              <w:contextualSpacing/>
            </w:pPr>
            <w:r w:rsidRPr="00232750">
              <w:t>15.65 m</w:t>
            </w:r>
          </w:p>
        </w:tc>
        <w:tc>
          <w:tcPr>
            <w:tcW w:w="1428" w:type="dxa"/>
            <w:vMerge/>
            <w:shd w:val="clear" w:color="auto" w:fill="auto"/>
            <w:hideMark/>
          </w:tcPr>
          <w:p w14:paraId="4AAE1F4D" w14:textId="77777777" w:rsidR="00232750" w:rsidRPr="00232750" w:rsidRDefault="00232750" w:rsidP="00174C6F">
            <w:pPr>
              <w:contextualSpacing/>
            </w:pPr>
          </w:p>
        </w:tc>
      </w:tr>
    </w:tbl>
    <w:p w14:paraId="5FF4C685" w14:textId="77777777" w:rsidR="00232750" w:rsidRPr="00232750" w:rsidRDefault="00232750" w:rsidP="00232750">
      <w:pPr>
        <w:contextualSpacing/>
        <w:rPr>
          <w:color w:val="FF0000"/>
          <w:highlight w:val="yellow"/>
        </w:rPr>
      </w:pPr>
    </w:p>
    <w:p w14:paraId="63B657F8" w14:textId="77777777" w:rsidR="00C851A9" w:rsidRDefault="00C851A9" w:rsidP="00C851A9">
      <w:pPr>
        <w:contextualSpacing/>
        <w:rPr>
          <w:sz w:val="12"/>
          <w:szCs w:val="12"/>
          <w:highlight w:val="yellow"/>
        </w:rPr>
      </w:pPr>
    </w:p>
    <w:p w14:paraId="6C324D02" w14:textId="70D8EDCA" w:rsidR="0079398E" w:rsidRPr="0079398E" w:rsidRDefault="0079398E" w:rsidP="00FB0932">
      <w:pPr>
        <w:spacing w:after="240" w:line="276" w:lineRule="auto"/>
        <w:jc w:val="both"/>
        <w:rPr>
          <w:sz w:val="24"/>
          <w:szCs w:val="24"/>
        </w:rPr>
      </w:pPr>
      <w:r w:rsidRPr="0079398E">
        <w:rPr>
          <w:b/>
          <w:sz w:val="24"/>
          <w:szCs w:val="24"/>
        </w:rPr>
        <w:t xml:space="preserve">Artículo 8.- Lotes por excepción.- </w:t>
      </w:r>
      <w:r w:rsidRPr="0079398E">
        <w:rPr>
          <w:sz w:val="24"/>
          <w:szCs w:val="24"/>
        </w:rPr>
        <w:t xml:space="preserve">Por tratarse de un asentamiento de hecho y consolidado de interés social, se aprueban por excepción esto es, con áreas inferiores a las mínimas establecidas en la zonificación vigente, los lotes: </w:t>
      </w:r>
      <w:r w:rsidRPr="0079398E">
        <w:rPr>
          <w:color w:val="000000"/>
          <w:sz w:val="24"/>
          <w:szCs w:val="24"/>
        </w:rPr>
        <w:t>2 y 3.</w:t>
      </w:r>
      <w:r w:rsidRPr="0079398E">
        <w:rPr>
          <w:sz w:val="24"/>
          <w:szCs w:val="24"/>
        </w:rPr>
        <w:t xml:space="preserve"> </w:t>
      </w:r>
    </w:p>
    <w:p w14:paraId="777DA5F0" w14:textId="74E68DD8" w:rsidR="006F63AF" w:rsidRPr="00AA65F3" w:rsidRDefault="00A33749" w:rsidP="006F63AF">
      <w:pPr>
        <w:spacing w:after="240" w:line="276" w:lineRule="auto"/>
        <w:jc w:val="both"/>
        <w:rPr>
          <w:i/>
          <w:sz w:val="24"/>
          <w:szCs w:val="24"/>
        </w:rPr>
      </w:pPr>
      <w:r w:rsidRPr="00FB0932">
        <w:rPr>
          <w:b/>
          <w:sz w:val="24"/>
          <w:szCs w:val="24"/>
        </w:rPr>
        <w:t xml:space="preserve">Artículo </w:t>
      </w:r>
      <w:r w:rsidR="0079398E">
        <w:rPr>
          <w:b/>
          <w:sz w:val="24"/>
          <w:szCs w:val="24"/>
        </w:rPr>
        <w:t>9</w:t>
      </w:r>
      <w:r w:rsidRPr="00FB0932">
        <w:rPr>
          <w:b/>
          <w:sz w:val="24"/>
          <w:szCs w:val="24"/>
        </w:rPr>
        <w:t xml:space="preserve">.-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2422A8" w:rsidRPr="002422A8">
        <w:rPr>
          <w:bCs/>
          <w:sz w:val="24"/>
          <w:szCs w:val="24"/>
        </w:rPr>
        <w:t>Ruta Viva de San Juan de Calderón</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6F63AF" w:rsidRPr="00AA65F3">
        <w:rPr>
          <w:bCs/>
          <w:sz w:val="24"/>
          <w:szCs w:val="24"/>
        </w:rPr>
        <w:t xml:space="preserve">No. </w:t>
      </w:r>
      <w:r w:rsidR="006F63AF" w:rsidRPr="00AA65F3">
        <w:rPr>
          <w:rFonts w:eastAsiaTheme="minorHAnsi"/>
          <w:sz w:val="24"/>
          <w:szCs w:val="24"/>
          <w:lang w:val="es-EC" w:eastAsia="en-US"/>
        </w:rPr>
        <w:t>I</w:t>
      </w:r>
      <w:r w:rsidR="006F63AF" w:rsidRPr="00AA65F3">
        <w:rPr>
          <w:sz w:val="24"/>
          <w:szCs w:val="24"/>
        </w:rPr>
        <w:t>-</w:t>
      </w:r>
      <w:r w:rsidR="006F63AF" w:rsidRPr="00AA65F3">
        <w:rPr>
          <w:color w:val="000000"/>
          <w:sz w:val="24"/>
          <w:szCs w:val="24"/>
          <w:shd w:val="clear" w:color="auto" w:fill="FFFFFF"/>
        </w:rPr>
        <w:t>0005-EAH-AT</w:t>
      </w:r>
      <w:r w:rsidR="006F63AF" w:rsidRPr="00AA65F3">
        <w:rPr>
          <w:sz w:val="24"/>
          <w:szCs w:val="24"/>
        </w:rPr>
        <w:t xml:space="preserve">-DMGR-2021, de 02 de febrero de 2021, en el cual, califica en el numeral </w:t>
      </w:r>
      <w:r w:rsidR="006F63AF" w:rsidRPr="00AA65F3">
        <w:rPr>
          <w:bCs/>
          <w:sz w:val="24"/>
          <w:szCs w:val="24"/>
        </w:rPr>
        <w:t>6.1 referente al nivel de riesgo para la regularización de tierras indicando: “</w:t>
      </w:r>
      <w:r w:rsidR="006F63AF"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A53E0D3" w14:textId="77777777" w:rsidR="006F63AF" w:rsidRPr="006F63AF" w:rsidRDefault="006F63AF" w:rsidP="006F63AF">
      <w:pPr>
        <w:spacing w:after="240" w:line="276" w:lineRule="auto"/>
        <w:jc w:val="both"/>
        <w:rPr>
          <w:b/>
          <w:bCs/>
          <w:sz w:val="24"/>
          <w:szCs w:val="24"/>
        </w:rPr>
      </w:pPr>
      <w:r w:rsidRPr="006F63AF">
        <w:rPr>
          <w:rFonts w:eastAsiaTheme="minorHAnsi"/>
          <w:b/>
          <w:bCs/>
          <w:i/>
          <w:color w:val="000000"/>
          <w:sz w:val="24"/>
          <w:szCs w:val="24"/>
          <w:lang w:val="es-EC" w:eastAsia="en-US"/>
        </w:rPr>
        <w:t xml:space="preserve">Movimientos en masa: </w:t>
      </w:r>
      <w:r w:rsidRPr="006F63AF">
        <w:rPr>
          <w:rFonts w:eastAsiaTheme="minorHAnsi"/>
          <w:i/>
          <w:color w:val="000000"/>
          <w:sz w:val="24"/>
          <w:szCs w:val="24"/>
          <w:lang w:val="es-EC" w:eastAsia="en-US"/>
        </w:rPr>
        <w:t xml:space="preserve">el AHHYC “Ruta Viva de San Juan de Calderón” en general presenta un </w:t>
      </w:r>
      <w:r w:rsidRPr="006F63AF">
        <w:rPr>
          <w:rFonts w:eastAsiaTheme="minorHAnsi"/>
          <w:i/>
          <w:iCs/>
          <w:color w:val="000000"/>
          <w:sz w:val="24"/>
          <w:szCs w:val="24"/>
          <w:u w:val="single"/>
          <w:lang w:val="es-EC" w:eastAsia="en-US"/>
        </w:rPr>
        <w:t>Riesgo Bajo Mitigabl</w:t>
      </w:r>
      <w:r w:rsidRPr="006F63AF">
        <w:rPr>
          <w:rFonts w:eastAsiaTheme="minorHAnsi"/>
          <w:i/>
          <w:iCs/>
          <w:color w:val="000000"/>
          <w:sz w:val="24"/>
          <w:szCs w:val="24"/>
          <w:lang w:val="es-EC" w:eastAsia="en-US"/>
        </w:rPr>
        <w:t xml:space="preserve">e para todos lotes </w:t>
      </w:r>
      <w:r w:rsidRPr="006F63AF">
        <w:rPr>
          <w:rFonts w:eastAsiaTheme="minorHAnsi"/>
          <w:i/>
          <w:color w:val="000000"/>
          <w:sz w:val="24"/>
          <w:szCs w:val="24"/>
          <w:lang w:val="es-EC" w:eastAsia="en-US"/>
        </w:rPr>
        <w:t>frente a deslizamientos.”</w:t>
      </w:r>
      <w:r w:rsidRPr="006F63AF">
        <w:rPr>
          <w:rFonts w:eastAsiaTheme="minorHAnsi"/>
          <w:color w:val="000000"/>
          <w:sz w:val="24"/>
          <w:szCs w:val="24"/>
          <w:lang w:val="es-EC" w:eastAsia="en-US"/>
        </w:rPr>
        <w:t>;</w:t>
      </w:r>
    </w:p>
    <w:p w14:paraId="429E08F4" w14:textId="05B4FEE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w:t>
      </w:r>
      <w:r w:rsidR="00E66E89">
        <w:rPr>
          <w:sz w:val="24"/>
          <w:szCs w:val="24"/>
        </w:rPr>
        <w:t xml:space="preserve">esgo la vida o la </w:t>
      </w:r>
      <w:r w:rsidRPr="00FB0932">
        <w:rPr>
          <w:sz w:val="24"/>
          <w:szCs w:val="24"/>
        </w:rPr>
        <w:t>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lastRenderedPageBreak/>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184BDD0A" w:rsidR="0077086F" w:rsidRPr="00FB0932" w:rsidRDefault="0077086F" w:rsidP="00FB0932">
      <w:pPr>
        <w:spacing w:after="240" w:line="276" w:lineRule="auto"/>
        <w:jc w:val="both"/>
        <w:rPr>
          <w:sz w:val="24"/>
          <w:szCs w:val="24"/>
        </w:rPr>
      </w:pPr>
      <w:r w:rsidRPr="00FB0932">
        <w:rPr>
          <w:b/>
          <w:sz w:val="24"/>
          <w:szCs w:val="24"/>
        </w:rPr>
        <w:t xml:space="preserve">Articulo </w:t>
      </w:r>
      <w:r w:rsidR="0079398E">
        <w:rPr>
          <w:b/>
          <w:sz w:val="24"/>
          <w:szCs w:val="24"/>
        </w:rPr>
        <w:t>10</w:t>
      </w:r>
      <w:r w:rsidRPr="00FB0932">
        <w:rPr>
          <w:b/>
          <w:sz w:val="24"/>
          <w:szCs w:val="24"/>
        </w:rPr>
        <w:t xml:space="preserve">.- De las vías.- </w:t>
      </w:r>
      <w:r w:rsidRPr="00FB0932">
        <w:rPr>
          <w:sz w:val="24"/>
          <w:szCs w:val="24"/>
        </w:rPr>
        <w:t xml:space="preserve">El asentamiento humano de hecho y consolidado de interés social denominado </w:t>
      </w:r>
      <w:r w:rsidR="002422A8" w:rsidRPr="002422A8">
        <w:rPr>
          <w:bCs/>
          <w:sz w:val="24"/>
          <w:szCs w:val="24"/>
        </w:rPr>
        <w:t>Ruta Viva de San Juan de Calderón</w:t>
      </w:r>
      <w:r w:rsidRPr="00FB0932">
        <w:rPr>
          <w:sz w:val="24"/>
          <w:szCs w:val="24"/>
        </w:rPr>
        <w:t xml:space="preserve">, contempla un sistema vial de uso público, debido a que éste es un asentamiento humano de hecho y consolidado de interés social de </w:t>
      </w:r>
      <w:r w:rsidR="006F63AF">
        <w:rPr>
          <w:sz w:val="24"/>
          <w:szCs w:val="24"/>
        </w:rPr>
        <w:t>10</w:t>
      </w:r>
      <w:r w:rsidRPr="00FB0932">
        <w:rPr>
          <w:sz w:val="24"/>
          <w:szCs w:val="24"/>
        </w:rPr>
        <w:t xml:space="preserve"> años de existencia, con </w:t>
      </w:r>
      <w:r w:rsidR="00E53A57" w:rsidRPr="00FB0932">
        <w:rPr>
          <w:bCs/>
          <w:sz w:val="24"/>
          <w:szCs w:val="24"/>
        </w:rPr>
        <w:t>4</w:t>
      </w:r>
      <w:r w:rsidR="006F63AF">
        <w:rPr>
          <w:bCs/>
          <w:sz w:val="24"/>
          <w:szCs w:val="24"/>
        </w:rPr>
        <w:t>3,33</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28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560"/>
      </w:tblGrid>
      <w:tr w:rsidR="006F63AF" w:rsidRPr="00BB53CD" w14:paraId="5785A9D9" w14:textId="77777777" w:rsidTr="006F63AF">
        <w:trPr>
          <w:trHeight w:val="416"/>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1DD9843F" w:rsidR="006F63AF" w:rsidRPr="006F63AF" w:rsidRDefault="006F63AF" w:rsidP="006F63AF">
            <w:pPr>
              <w:contextualSpacing/>
              <w:rPr>
                <w:sz w:val="24"/>
                <w:szCs w:val="24"/>
                <w:lang w:val="es-EC"/>
              </w:rPr>
            </w:pPr>
            <w:r w:rsidRPr="006F63AF">
              <w:rPr>
                <w:sz w:val="24"/>
                <w:szCs w:val="24"/>
                <w:lang w:val="es-EC"/>
              </w:rPr>
              <w:t xml:space="preserve">Calle E13 Antonio José de Sucre </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74E14D6A" w:rsidR="006F63AF" w:rsidRPr="006F63AF" w:rsidRDefault="006F63AF" w:rsidP="006F63AF">
            <w:pPr>
              <w:rPr>
                <w:sz w:val="24"/>
                <w:szCs w:val="24"/>
              </w:rPr>
            </w:pPr>
            <w:r w:rsidRPr="006F63AF">
              <w:rPr>
                <w:sz w:val="24"/>
                <w:szCs w:val="24"/>
              </w:rPr>
              <w:t>16.00 m</w:t>
            </w:r>
          </w:p>
        </w:tc>
      </w:tr>
      <w:tr w:rsidR="00920F37" w:rsidRPr="00BB53CD" w14:paraId="24FE2B85" w14:textId="77777777" w:rsidTr="006F63AF">
        <w:trPr>
          <w:trHeight w:val="207"/>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3B8CC1C2" w:rsidR="00920F37" w:rsidRPr="006F63AF" w:rsidRDefault="006F63AF" w:rsidP="00920F37">
            <w:pPr>
              <w:contextualSpacing/>
              <w:rPr>
                <w:sz w:val="24"/>
                <w:szCs w:val="24"/>
                <w:lang w:val="es-EC"/>
              </w:rPr>
            </w:pPr>
            <w:r w:rsidRPr="006F63AF">
              <w:rPr>
                <w:sz w:val="24"/>
                <w:szCs w:val="24"/>
                <w:lang w:val="es-EC"/>
              </w:rPr>
              <w:t>Calle E12M</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F199F39" w14:textId="0263BFD7" w:rsidR="00920F37" w:rsidRPr="006F63AF" w:rsidRDefault="006F63AF" w:rsidP="006F63AF">
            <w:pPr>
              <w:rPr>
                <w:sz w:val="24"/>
                <w:szCs w:val="24"/>
              </w:rPr>
            </w:pPr>
            <w:r w:rsidRPr="006F63AF">
              <w:rPr>
                <w:sz w:val="24"/>
                <w:szCs w:val="24"/>
              </w:rPr>
              <w:t xml:space="preserve">  9.00</w:t>
            </w:r>
            <w:r w:rsidR="00920F37" w:rsidRPr="006F63AF">
              <w:rPr>
                <w:sz w:val="24"/>
                <w:szCs w:val="24"/>
              </w:rPr>
              <w:t xml:space="preserve"> m </w:t>
            </w:r>
          </w:p>
        </w:tc>
      </w:tr>
      <w:tr w:rsidR="00920F37" w:rsidRPr="00BB53CD" w14:paraId="2C053BA8" w14:textId="77777777" w:rsidTr="006F63AF">
        <w:trPr>
          <w:trHeight w:val="354"/>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7539FC14" w14:textId="21F211EF" w:rsidR="00920F37" w:rsidRPr="006F63AF" w:rsidRDefault="006F63AF" w:rsidP="00920F37">
            <w:pPr>
              <w:contextualSpacing/>
              <w:rPr>
                <w:sz w:val="24"/>
                <w:szCs w:val="24"/>
                <w:lang w:val="es-EC"/>
              </w:rPr>
            </w:pPr>
            <w:r w:rsidRPr="006F63AF">
              <w:rPr>
                <w:sz w:val="24"/>
                <w:szCs w:val="24"/>
                <w:lang w:val="es-EC"/>
              </w:rPr>
              <w:t>Calle N12P</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C88828D" w14:textId="5116DB20" w:rsidR="00920F37" w:rsidRPr="006F63AF" w:rsidRDefault="006F63AF" w:rsidP="006F63AF">
            <w:pPr>
              <w:rPr>
                <w:sz w:val="24"/>
                <w:szCs w:val="24"/>
              </w:rPr>
            </w:pPr>
            <w:r w:rsidRPr="006F63AF">
              <w:rPr>
                <w:sz w:val="24"/>
                <w:szCs w:val="24"/>
              </w:rPr>
              <w:t>10.00 m</w:t>
            </w:r>
          </w:p>
        </w:tc>
      </w:tr>
      <w:tr w:rsidR="00920F37" w:rsidRPr="00BB53CD" w14:paraId="752CD495" w14:textId="77777777" w:rsidTr="006F63AF">
        <w:trPr>
          <w:trHeight w:val="360"/>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622756C1" w14:textId="567858C5" w:rsidR="00920F37" w:rsidRPr="006F63AF" w:rsidRDefault="006F63AF" w:rsidP="00920F37">
            <w:pPr>
              <w:rPr>
                <w:sz w:val="24"/>
                <w:szCs w:val="24"/>
              </w:rPr>
            </w:pPr>
            <w:r w:rsidRPr="006F63AF">
              <w:rPr>
                <w:sz w:val="24"/>
                <w:szCs w:val="24"/>
                <w:lang w:val="es-EC"/>
              </w:rPr>
              <w:t>Calle N12L</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38193C" w14:textId="7D548D2C" w:rsidR="00920F37" w:rsidRPr="006F63AF" w:rsidRDefault="006F63AF" w:rsidP="006F63AF">
            <w:pPr>
              <w:rPr>
                <w:sz w:val="24"/>
                <w:szCs w:val="24"/>
              </w:rPr>
            </w:pPr>
            <w:r w:rsidRPr="006F63AF">
              <w:rPr>
                <w:sz w:val="24"/>
                <w:szCs w:val="24"/>
              </w:rPr>
              <w:t>10.00 m</w:t>
            </w:r>
          </w:p>
        </w:tc>
      </w:tr>
    </w:tbl>
    <w:p w14:paraId="55A0B632" w14:textId="77777777" w:rsidR="0079398E" w:rsidRDefault="0079398E" w:rsidP="00FB0932">
      <w:pPr>
        <w:spacing w:after="240" w:line="276" w:lineRule="auto"/>
        <w:jc w:val="both"/>
        <w:rPr>
          <w:b/>
          <w:bCs/>
          <w:sz w:val="24"/>
          <w:szCs w:val="24"/>
        </w:rPr>
      </w:pPr>
    </w:p>
    <w:p w14:paraId="3DA19438" w14:textId="05B3D263" w:rsidR="00A81320" w:rsidRPr="00FB0932" w:rsidRDefault="00A81320" w:rsidP="00FB0932">
      <w:pPr>
        <w:spacing w:after="240" w:line="276" w:lineRule="auto"/>
        <w:jc w:val="both"/>
        <w:rPr>
          <w:sz w:val="24"/>
          <w:szCs w:val="24"/>
        </w:rPr>
      </w:pPr>
      <w:r w:rsidRPr="00FB0932">
        <w:rPr>
          <w:b/>
          <w:bCs/>
          <w:sz w:val="24"/>
          <w:szCs w:val="24"/>
        </w:rPr>
        <w:t xml:space="preserve">Artículo </w:t>
      </w:r>
      <w:r w:rsidR="0079398E">
        <w:rPr>
          <w:b/>
          <w:bCs/>
          <w:sz w:val="24"/>
          <w:szCs w:val="24"/>
        </w:rPr>
        <w:t>11</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8D13D0">
        <w:tc>
          <w:tcPr>
            <w:tcW w:w="2127"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3"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8D13D0">
        <w:tc>
          <w:tcPr>
            <w:tcW w:w="2127"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3" w:type="dxa"/>
          </w:tcPr>
          <w:p w14:paraId="57CFF98E" w14:textId="6E5BA36F" w:rsidR="006F63AF" w:rsidRDefault="006F63AF" w:rsidP="00FB0932">
            <w:pPr>
              <w:spacing w:line="276" w:lineRule="auto"/>
              <w:contextualSpacing/>
              <w:rPr>
                <w:bCs/>
                <w:sz w:val="24"/>
                <w:szCs w:val="24"/>
              </w:rPr>
            </w:pPr>
            <w:r>
              <w:rPr>
                <w:bCs/>
                <w:sz w:val="24"/>
                <w:szCs w:val="24"/>
              </w:rPr>
              <w:t>100%</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418C0C35" w:rsidR="00A81320" w:rsidRPr="00FB0932" w:rsidRDefault="006F63AF" w:rsidP="00FB0932">
            <w:pPr>
              <w:spacing w:line="276" w:lineRule="auto"/>
              <w:contextualSpacing/>
              <w:rPr>
                <w:sz w:val="24"/>
                <w:szCs w:val="24"/>
              </w:rPr>
            </w:pPr>
            <w:r>
              <w:rPr>
                <w:bCs/>
                <w:sz w:val="24"/>
                <w:szCs w:val="24"/>
              </w:rPr>
              <w:t xml:space="preserve">  7</w:t>
            </w:r>
            <w:r w:rsidR="00920F37">
              <w:rPr>
                <w:bCs/>
                <w:sz w:val="24"/>
                <w:szCs w:val="24"/>
              </w:rPr>
              <w:t>0</w:t>
            </w:r>
            <w:r w:rsidR="00581ADB">
              <w:rPr>
                <w:bCs/>
                <w:sz w:val="24"/>
                <w:szCs w:val="24"/>
              </w:rPr>
              <w:t>%</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27E6990B" w:rsidR="00A81320" w:rsidRPr="00FB0932" w:rsidRDefault="006F63AF" w:rsidP="006F63AF">
            <w:pPr>
              <w:spacing w:line="276" w:lineRule="auto"/>
              <w:contextualSpacing/>
              <w:rPr>
                <w:sz w:val="24"/>
                <w:szCs w:val="24"/>
              </w:rPr>
            </w:pPr>
            <w:r>
              <w:rPr>
                <w:bCs/>
                <w:sz w:val="24"/>
                <w:szCs w:val="24"/>
              </w:rPr>
              <w:t xml:space="preserve">  9</w:t>
            </w:r>
            <w:r w:rsidR="00920F37">
              <w:rPr>
                <w:bCs/>
                <w:sz w:val="24"/>
                <w:szCs w:val="24"/>
              </w:rPr>
              <w:t>0</w:t>
            </w:r>
            <w:r w:rsidR="00581ADB">
              <w:rPr>
                <w:bCs/>
                <w:sz w:val="24"/>
                <w:szCs w:val="24"/>
              </w:rPr>
              <w:t>%</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22319D76" w:rsidR="00592D76" w:rsidRPr="00FB0932" w:rsidRDefault="006F63AF" w:rsidP="006F63AF">
            <w:pPr>
              <w:spacing w:line="276" w:lineRule="auto"/>
              <w:contextualSpacing/>
              <w:rPr>
                <w:bCs/>
                <w:sz w:val="24"/>
                <w:szCs w:val="24"/>
              </w:rPr>
            </w:pPr>
            <w:r>
              <w:rPr>
                <w:bCs/>
                <w:sz w:val="24"/>
                <w:szCs w:val="24"/>
              </w:rPr>
              <w:t>100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059E8124"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12</w:t>
      </w:r>
      <w:r w:rsidRPr="00FB0932">
        <w:rPr>
          <w:b/>
          <w:bCs/>
          <w:sz w:val="24"/>
          <w:szCs w:val="24"/>
        </w:rPr>
        <w:t xml:space="preserve">.- Del plazo de ejecución de las obras.- </w:t>
      </w:r>
      <w:r w:rsidRPr="00FB0932">
        <w:rPr>
          <w:bCs/>
          <w:sz w:val="24"/>
          <w:szCs w:val="24"/>
        </w:rPr>
        <w:t xml:space="preserve">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w:t>
      </w:r>
      <w:r w:rsidRPr="00FB0932">
        <w:rPr>
          <w:bCs/>
          <w:sz w:val="24"/>
          <w:szCs w:val="24"/>
        </w:rPr>
        <w:lastRenderedPageBreak/>
        <w:t>institucional, plazo que se contará a partir de la fecha de inscripción de la presente Ordenanza en el Registro de la Propiedad del Distrito Metropolitano de Quito.</w:t>
      </w:r>
    </w:p>
    <w:p w14:paraId="0C9103DC" w14:textId="33C8F53A"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 El valor por contribución especial a mejoras se aplicará conforme la modalidad ejecutada.</w:t>
      </w:r>
    </w:p>
    <w:p w14:paraId="16F4BA7E" w14:textId="5715340C"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13</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4E2C6C3C"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79398E">
        <w:rPr>
          <w:b/>
          <w:bCs/>
          <w:sz w:val="24"/>
          <w:szCs w:val="24"/>
        </w:rPr>
        <w:t>14</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2422A8" w:rsidRPr="002422A8">
        <w:rPr>
          <w:bCs/>
          <w:sz w:val="24"/>
          <w:szCs w:val="24"/>
        </w:rPr>
        <w:t>Ruta Viva de San Juan de Calderón</w:t>
      </w:r>
      <w:r w:rsidRPr="00FB0932">
        <w:rPr>
          <w:bCs/>
          <w:sz w:val="24"/>
          <w:szCs w:val="24"/>
        </w:rPr>
        <w:t xml:space="preserve">, 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0AB58450"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15</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2422A8" w:rsidRPr="002422A8">
        <w:rPr>
          <w:bCs/>
          <w:sz w:val="24"/>
          <w:szCs w:val="24"/>
        </w:rPr>
        <w:t>Ruta Viva de San Juan de Calderón</w:t>
      </w:r>
      <w:r w:rsidRPr="00FB0932">
        <w:rPr>
          <w:bCs/>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487D4AD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16</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2422A8" w:rsidRPr="002422A8">
        <w:rPr>
          <w:bCs/>
          <w:sz w:val="24"/>
          <w:szCs w:val="24"/>
        </w:rPr>
        <w:t>Ruta Viva de San Juan de Calderón</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41E98170" w14:textId="1E33C19C"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w:t>
      </w:r>
      <w:r w:rsidR="00177836" w:rsidRPr="00FB0932">
        <w:rPr>
          <w:bCs/>
          <w:sz w:val="24"/>
          <w:szCs w:val="24"/>
        </w:rPr>
        <w:t xml:space="preserve">del Código Municipal para el Distrito de </w:t>
      </w:r>
      <w:proofErr w:type="gramStart"/>
      <w:r w:rsidR="00177836" w:rsidRPr="00FB0932">
        <w:rPr>
          <w:bCs/>
          <w:sz w:val="24"/>
          <w:szCs w:val="24"/>
        </w:rPr>
        <w:t>Quito</w:t>
      </w:r>
      <w:r w:rsidR="00177836" w:rsidRPr="00FF644A" w:rsidDel="00177836">
        <w:rPr>
          <w:bCs/>
          <w:sz w:val="24"/>
          <w:szCs w:val="24"/>
        </w:rPr>
        <w:t xml:space="preserve"> </w:t>
      </w:r>
      <w:r w:rsidR="00DF7E35" w:rsidRPr="00FF644A">
        <w:rPr>
          <w:bCs/>
          <w:sz w:val="24"/>
          <w:szCs w:val="24"/>
        </w:rPr>
        <w:t>.</w:t>
      </w:r>
      <w:proofErr w:type="gramEnd"/>
      <w:r w:rsidR="00DF7E35" w:rsidRPr="00FF644A">
        <w:rPr>
          <w:bCs/>
          <w:sz w:val="24"/>
          <w:szCs w:val="24"/>
        </w:rPr>
        <w:t xml:space="preserve">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lastRenderedPageBreak/>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32FDD352"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17</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5442812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18</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5327DCED"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19</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6B2CBE7A" w:rsidR="002C5B50" w:rsidRPr="00566301"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0005-EAH-AT</w:t>
      </w:r>
      <w:r w:rsidRPr="00AA65F3">
        <w:rPr>
          <w:sz w:val="24"/>
          <w:szCs w:val="24"/>
        </w:rPr>
        <w:t>-DMGR-2021, de 02 de febrero de 2021</w:t>
      </w:r>
      <w:r w:rsidR="00EC2EE0" w:rsidRPr="00566301">
        <w:rPr>
          <w:sz w:val="24"/>
          <w:szCs w:val="24"/>
        </w:rPr>
        <w:t>,</w:t>
      </w:r>
      <w:r w:rsidR="002C5B50"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79F6FDA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lastRenderedPageBreak/>
        <w:t xml:space="preserve">Se dispone que los propietarios/posesionarios de los lotes </w:t>
      </w:r>
      <w:r w:rsidR="00975C2E" w:rsidRPr="00FB0932">
        <w:rPr>
          <w:bCs/>
          <w:sz w:val="24"/>
          <w:szCs w:val="24"/>
        </w:rPr>
        <w:t xml:space="preserve">del asentamiento humano de hecho y consolidado de interés social denominado </w:t>
      </w:r>
      <w:r w:rsidR="000C4E24" w:rsidRPr="002422A8">
        <w:rPr>
          <w:bCs/>
          <w:sz w:val="24"/>
          <w:szCs w:val="24"/>
        </w:rPr>
        <w:t>Ruta Viva de San Juan de Calderón</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030B144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w:t>
      </w:r>
      <w:r w:rsidR="00B93658" w:rsidRPr="00FB0932">
        <w:rPr>
          <w:bCs/>
          <w:sz w:val="24"/>
          <w:szCs w:val="24"/>
        </w:rPr>
        <w:t xml:space="preserve">asentamiento humano de hecho y consolidado de interés social denominado </w:t>
      </w:r>
      <w:r w:rsidR="000C4E24" w:rsidRPr="002422A8">
        <w:rPr>
          <w:bCs/>
          <w:sz w:val="24"/>
          <w:szCs w:val="24"/>
        </w:rPr>
        <w:t>Ruta Viva de San Juan de Calderón</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0107EB52"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 xml:space="preserve">que los propietarios y/o posesionarios del </w:t>
      </w:r>
      <w:r w:rsidR="00B93658" w:rsidRPr="00FB0932">
        <w:rPr>
          <w:bCs/>
          <w:sz w:val="24"/>
          <w:szCs w:val="24"/>
        </w:rPr>
        <w:t>asentamiento humano de hecho y consolidado de interés social denominado</w:t>
      </w:r>
      <w:r w:rsidR="00975C2E" w:rsidRPr="00FB0932">
        <w:rPr>
          <w:bCs/>
          <w:sz w:val="24"/>
          <w:szCs w:val="24"/>
        </w:rPr>
        <w:t xml:space="preserve"> </w:t>
      </w:r>
      <w:r w:rsidR="000C4E24" w:rsidRPr="002422A8">
        <w:rPr>
          <w:bCs/>
          <w:sz w:val="24"/>
          <w:szCs w:val="24"/>
        </w:rPr>
        <w:t>Ruta Viva de San Juan de Calderón</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25B46B46" w:rsidR="00815818" w:rsidRDefault="002C5B50" w:rsidP="00815818">
      <w:pPr>
        <w:pStyle w:val="Default"/>
        <w:spacing w:line="276" w:lineRule="auto"/>
        <w:jc w:val="both"/>
        <w:rPr>
          <w:lang w:val="es-ES_tradnl"/>
        </w:rPr>
      </w:pPr>
      <w:r w:rsidRPr="00566301">
        <w:rPr>
          <w:lang w:val="es-ES_tradnl"/>
        </w:rPr>
        <w:t xml:space="preserve">La Unidad Especial Regula Tu Barrio deberá comunicar a la comunidad del </w:t>
      </w:r>
      <w:r w:rsidR="00B93658" w:rsidRPr="00FB0932">
        <w:rPr>
          <w:bCs/>
        </w:rPr>
        <w:t>asentamiento humano de hecho y consolidado de interés social denominado</w:t>
      </w:r>
      <w:r w:rsidR="00975C2E" w:rsidRPr="00FB0932">
        <w:rPr>
          <w:bCs/>
        </w:rPr>
        <w:t xml:space="preserve"> </w:t>
      </w:r>
      <w:r w:rsidR="000C4E24" w:rsidRPr="002422A8">
        <w:rPr>
          <w:bCs/>
        </w:rPr>
        <w:t>Ruta Viva de San Juan de Calderón</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2F10B738" w14:textId="77777777" w:rsidR="00B93658" w:rsidRDefault="00B93658" w:rsidP="00B93658">
      <w:pPr>
        <w:pStyle w:val="Default"/>
        <w:spacing w:line="276" w:lineRule="auto"/>
        <w:jc w:val="both"/>
        <w:rPr>
          <w:rStyle w:val="markedcontent"/>
        </w:rPr>
      </w:pPr>
      <w:r w:rsidRPr="00815818">
        <w:rPr>
          <w:rStyle w:val="markedcontent"/>
          <w:b/>
        </w:rPr>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2F51B2D1" w14:textId="77777777" w:rsidR="00B93658" w:rsidRPr="00815818" w:rsidRDefault="00B93658" w:rsidP="00B93658">
      <w:pPr>
        <w:pStyle w:val="Default"/>
        <w:spacing w:line="276" w:lineRule="auto"/>
        <w:jc w:val="both"/>
        <w:rPr>
          <w:rStyle w:val="markedcontent"/>
        </w:rPr>
      </w:pPr>
    </w:p>
    <w:p w14:paraId="6C45BCBD" w14:textId="11F0397C" w:rsidR="00B93658" w:rsidRPr="007A48C4" w:rsidRDefault="00B93658" w:rsidP="00B93658">
      <w:pPr>
        <w:pStyle w:val="Prrafodelista"/>
        <w:numPr>
          <w:ilvl w:val="0"/>
          <w:numId w:val="25"/>
        </w:numPr>
        <w:shd w:val="clear" w:color="auto" w:fill="FFFFFF"/>
        <w:autoSpaceDE w:val="0"/>
        <w:autoSpaceDN w:val="0"/>
        <w:adjustRightInd w:val="0"/>
        <w:spacing w:after="240" w:line="276" w:lineRule="auto"/>
        <w:jc w:val="both"/>
        <w:rPr>
          <w:rStyle w:val="markedcontent"/>
          <w:rFonts w:eastAsiaTheme="minorHAnsi"/>
          <w:b/>
          <w:color w:val="000000"/>
          <w:sz w:val="24"/>
          <w:szCs w:val="24"/>
          <w:lang w:val="es-EC" w:eastAsia="en-US"/>
        </w:rPr>
      </w:pPr>
      <w:r w:rsidRPr="007A48C4">
        <w:rPr>
          <w:rStyle w:val="markedcontent"/>
          <w:sz w:val="24"/>
          <w:szCs w:val="24"/>
        </w:rPr>
        <w:t xml:space="preserve">Una vez inscrita la Ordenanza, la Empresa Pública Metropolitana de Agua Potable y Saneamiento EPMAPS, deberá realizar los estudios y diseños para la dotación de agua potable en el asentamiento humano de hecho y consolidado de interés social denominado </w:t>
      </w:r>
      <w:r w:rsidRPr="00B93658">
        <w:rPr>
          <w:rStyle w:val="markedcontent"/>
          <w:sz w:val="24"/>
          <w:szCs w:val="24"/>
        </w:rPr>
        <w:t>Ruta Viva de San Juan de Calderón</w:t>
      </w:r>
      <w:r w:rsidRPr="007A48C4">
        <w:rPr>
          <w:rStyle w:val="markedcontent"/>
          <w:sz w:val="24"/>
          <w:szCs w:val="24"/>
        </w:rPr>
        <w:t>, incluyendo la instalación de hidrantes, en el menor tiempo posible y de acuerdo a la planificación de la EPMAPS.</w:t>
      </w:r>
    </w:p>
    <w:p w14:paraId="4A667D12" w14:textId="77777777" w:rsidR="00B93658" w:rsidRPr="007A48C4" w:rsidRDefault="00B93658" w:rsidP="00B93658">
      <w:pPr>
        <w:shd w:val="clear" w:color="auto" w:fill="FFFFFF"/>
        <w:autoSpaceDE w:val="0"/>
        <w:autoSpaceDN w:val="0"/>
        <w:adjustRightInd w:val="0"/>
        <w:spacing w:after="240" w:line="276" w:lineRule="auto"/>
        <w:jc w:val="both"/>
        <w:rPr>
          <w:rStyle w:val="markedcontent"/>
          <w:rFonts w:eastAsiaTheme="minorHAnsi"/>
          <w:b/>
          <w:color w:val="000000"/>
          <w:sz w:val="24"/>
          <w:szCs w:val="24"/>
          <w:lang w:val="es-EC" w:eastAsia="en-US"/>
        </w:rPr>
      </w:pPr>
      <w:r w:rsidRPr="007A48C4">
        <w:rPr>
          <w:rStyle w:val="markedcontent"/>
          <w:rFonts w:eastAsiaTheme="minorHAnsi"/>
          <w:b/>
          <w:color w:val="000000"/>
          <w:sz w:val="24"/>
          <w:szCs w:val="24"/>
          <w:lang w:val="es-EC" w:eastAsia="en-US"/>
        </w:rPr>
        <w:t xml:space="preserve">Cuarta. - </w:t>
      </w:r>
      <w:r w:rsidRPr="007A48C4">
        <w:rPr>
          <w:rStyle w:val="markedcontent"/>
          <w:rFonts w:eastAsiaTheme="minorHAnsi"/>
          <w:color w:val="000000"/>
          <w:sz w:val="24"/>
          <w:szCs w:val="24"/>
          <w:lang w:val="es-EC" w:eastAsia="en-US"/>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p>
    <w:p w14:paraId="5E5819F8" w14:textId="05016B4B" w:rsidR="002C5B50" w:rsidRPr="00566301" w:rsidRDefault="002C5B50" w:rsidP="00566301">
      <w:pPr>
        <w:pStyle w:val="Default"/>
        <w:spacing w:line="276" w:lineRule="auto"/>
        <w:jc w:val="both"/>
      </w:pPr>
      <w:r w:rsidRPr="00566301">
        <w:rPr>
          <w:b/>
          <w:lang w:val="es-ES_tradnl"/>
        </w:rPr>
        <w:lastRenderedPageBreak/>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0F813623"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w:t>
      </w:r>
      <w:r w:rsidR="00B93658">
        <w:rPr>
          <w:sz w:val="24"/>
          <w:szCs w:val="24"/>
        </w:rPr>
        <w:t>2</w:t>
      </w:r>
      <w:r w:rsidRPr="00566301">
        <w:rPr>
          <w:sz w:val="24"/>
          <w:szCs w:val="24"/>
        </w:rPr>
        <w:t>.</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5FB85589"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sidR="006550A8">
        <w:rPr>
          <w:rFonts w:eastAsia="MS Mincho"/>
          <w:szCs w:val="24"/>
        </w:rPr>
        <w:t>Pablo Antonio Santillá</w:t>
      </w:r>
      <w:r>
        <w:rPr>
          <w:rFonts w:eastAsia="MS Mincho"/>
          <w:szCs w:val="24"/>
        </w:rPr>
        <w:t>n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504A2E9"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w:t>
      </w:r>
      <w:proofErr w:type="gramStart"/>
      <w:r w:rsidRPr="00566301">
        <w:rPr>
          <w:rFonts w:ascii="Times New Roman" w:eastAsia="MS Mincho" w:hAnsi="Times New Roman"/>
          <w:sz w:val="24"/>
          <w:szCs w:val="24"/>
        </w:rPr>
        <w:t>..</w:t>
      </w:r>
      <w:proofErr w:type="gramEnd"/>
      <w:r w:rsidRPr="00566301">
        <w:rPr>
          <w:rFonts w:ascii="Times New Roman" w:eastAsia="MS Mincho" w:hAnsi="Times New Roman"/>
          <w:sz w:val="24"/>
          <w:szCs w:val="24"/>
        </w:rPr>
        <w:t xml:space="preserve">de ……..  </w:t>
      </w:r>
      <w:proofErr w:type="gramStart"/>
      <w:r w:rsidRPr="00566301">
        <w:rPr>
          <w:rFonts w:ascii="Times New Roman" w:eastAsia="MS Mincho" w:hAnsi="Times New Roman"/>
          <w:sz w:val="24"/>
          <w:szCs w:val="24"/>
        </w:rPr>
        <w:t>y</w:t>
      </w:r>
      <w:proofErr w:type="gramEnd"/>
      <w:r w:rsidRPr="00566301">
        <w:rPr>
          <w:rFonts w:ascii="Times New Roman" w:eastAsia="MS Mincho" w:hAnsi="Times New Roman"/>
          <w:sz w:val="24"/>
          <w:szCs w:val="24"/>
        </w:rPr>
        <w:t xml:space="preserve"> ….. de …………. de 202</w:t>
      </w:r>
      <w:r w:rsidR="00B93658">
        <w:rPr>
          <w:rFonts w:ascii="Times New Roman" w:eastAsia="MS Mincho" w:hAnsi="Times New Roman"/>
          <w:sz w:val="24"/>
          <w:szCs w:val="24"/>
        </w:rPr>
        <w:t>2</w:t>
      </w:r>
      <w:r w:rsidRPr="00566301">
        <w:rPr>
          <w:rFonts w:ascii="Times New Roman" w:eastAsia="MS Mincho" w:hAnsi="Times New Roman"/>
          <w:sz w:val="24"/>
          <w:szCs w:val="24"/>
        </w:rPr>
        <w:t>.-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2BC7D064" w:rsidR="00DF7E35" w:rsidRPr="00566301" w:rsidRDefault="006550A8" w:rsidP="006550A8">
      <w:pPr>
        <w:pStyle w:val="Textosinformato"/>
        <w:tabs>
          <w:tab w:val="left" w:pos="5370"/>
        </w:tabs>
        <w:spacing w:line="276" w:lineRule="auto"/>
        <w:rPr>
          <w:rFonts w:ascii="Times New Roman" w:eastAsia="MS Mincho" w:hAnsi="Times New Roman"/>
          <w:sz w:val="24"/>
          <w:szCs w:val="24"/>
        </w:rPr>
      </w:pPr>
      <w:r>
        <w:rPr>
          <w:rFonts w:ascii="Times New Roman" w:eastAsia="MS Mincho" w:hAnsi="Times New Roman"/>
          <w:sz w:val="24"/>
          <w:szCs w:val="24"/>
        </w:rPr>
        <w:tab/>
      </w:r>
    </w:p>
    <w:p w14:paraId="60519F26" w14:textId="056917EF"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sidR="006550A8">
        <w:rPr>
          <w:rFonts w:ascii="Times New Roman" w:eastAsia="MS Mincho" w:hAnsi="Times New Roman"/>
          <w:sz w:val="24"/>
          <w:szCs w:val="24"/>
        </w:rPr>
        <w:t>Pablo Antonio Santillá</w:t>
      </w:r>
      <w:r>
        <w:rPr>
          <w:rFonts w:ascii="Times New Roman" w:eastAsia="MS Mincho" w:hAnsi="Times New Roman"/>
          <w:sz w:val="24"/>
          <w:szCs w:val="24"/>
        </w:rPr>
        <w:t>n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55F0FF86"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r w:rsidRPr="00566301">
        <w:rPr>
          <w:rFonts w:ascii="Times New Roman" w:eastAsia="MS Mincho" w:hAnsi="Times New Roman"/>
          <w:sz w:val="24"/>
          <w:szCs w:val="24"/>
        </w:rPr>
        <w:t>, Alcalde  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5901C" w14:textId="77777777" w:rsidR="00C00977" w:rsidRDefault="00C00977">
      <w:r>
        <w:separator/>
      </w:r>
    </w:p>
  </w:endnote>
  <w:endnote w:type="continuationSeparator" w:id="0">
    <w:p w14:paraId="18492D08" w14:textId="77777777" w:rsidR="00C00977" w:rsidRDefault="00C0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2C5D635A"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E70C2">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E70C2">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5C7E657B"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E70C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E70C2">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BEA61" w14:textId="77777777" w:rsidR="00C00977" w:rsidRDefault="00C00977">
      <w:r>
        <w:separator/>
      </w:r>
    </w:p>
  </w:footnote>
  <w:footnote w:type="continuationSeparator" w:id="0">
    <w:p w14:paraId="5BB96F42" w14:textId="77777777" w:rsidR="00C00977" w:rsidRDefault="00C00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33794B" w:rsidRDefault="00C00977">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3016" o:spid="_x0000_s2053" type="#_x0000_t136" style="position:absolute;margin-left:0;margin-top:0;width:597.35pt;height:22.1pt;rotation:315;z-index:-251655168;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0D320A" w:rsidR="008D13D0" w:rsidRDefault="00C00977"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3017" o:spid="_x0000_s2054" type="#_x0000_t136" style="position:absolute;left:0;text-align:left;margin-left:0;margin-top:0;width:597.35pt;height:22.1pt;rotation:315;z-index:-251653120;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03BE1FFC" w:rsidR="0033794B" w:rsidRDefault="00C00977">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3015" o:spid="_x0000_s2052" type="#_x0000_t136" style="position:absolute;margin-left:0;margin-top:0;width:597.35pt;height:22.1pt;rotation:315;z-index:-251657216;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21D1"/>
    <w:rsid w:val="000C3741"/>
    <w:rsid w:val="000C4E24"/>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77836"/>
    <w:rsid w:val="00182B3E"/>
    <w:rsid w:val="00182ED3"/>
    <w:rsid w:val="00183D58"/>
    <w:rsid w:val="00186187"/>
    <w:rsid w:val="00191D21"/>
    <w:rsid w:val="001A0072"/>
    <w:rsid w:val="001A4DE3"/>
    <w:rsid w:val="001A5E4F"/>
    <w:rsid w:val="001A60FB"/>
    <w:rsid w:val="001C3338"/>
    <w:rsid w:val="001C4F66"/>
    <w:rsid w:val="001C6EAB"/>
    <w:rsid w:val="001D3BFC"/>
    <w:rsid w:val="001D7068"/>
    <w:rsid w:val="001E2C15"/>
    <w:rsid w:val="001E4634"/>
    <w:rsid w:val="001E6E8D"/>
    <w:rsid w:val="001F46BD"/>
    <w:rsid w:val="001F66B8"/>
    <w:rsid w:val="00206161"/>
    <w:rsid w:val="002100B5"/>
    <w:rsid w:val="0022546A"/>
    <w:rsid w:val="00226908"/>
    <w:rsid w:val="0022787B"/>
    <w:rsid w:val="00232750"/>
    <w:rsid w:val="00237E21"/>
    <w:rsid w:val="00241E74"/>
    <w:rsid w:val="002422A8"/>
    <w:rsid w:val="00245302"/>
    <w:rsid w:val="00245547"/>
    <w:rsid w:val="00247A80"/>
    <w:rsid w:val="002556D6"/>
    <w:rsid w:val="00257DE1"/>
    <w:rsid w:val="00260748"/>
    <w:rsid w:val="00260770"/>
    <w:rsid w:val="00261D47"/>
    <w:rsid w:val="0026636B"/>
    <w:rsid w:val="00266E52"/>
    <w:rsid w:val="002709BC"/>
    <w:rsid w:val="00272710"/>
    <w:rsid w:val="002776A8"/>
    <w:rsid w:val="00280C8E"/>
    <w:rsid w:val="00293AE0"/>
    <w:rsid w:val="00294C22"/>
    <w:rsid w:val="002953BE"/>
    <w:rsid w:val="002A778C"/>
    <w:rsid w:val="002B008B"/>
    <w:rsid w:val="002B0C97"/>
    <w:rsid w:val="002B1595"/>
    <w:rsid w:val="002C26EC"/>
    <w:rsid w:val="002C5B50"/>
    <w:rsid w:val="002C61E0"/>
    <w:rsid w:val="002D2F0A"/>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1E12"/>
    <w:rsid w:val="003E2E75"/>
    <w:rsid w:val="003E35F0"/>
    <w:rsid w:val="003E70C2"/>
    <w:rsid w:val="003E769A"/>
    <w:rsid w:val="003F06F0"/>
    <w:rsid w:val="003F6467"/>
    <w:rsid w:val="003F6F2B"/>
    <w:rsid w:val="00413975"/>
    <w:rsid w:val="004200C2"/>
    <w:rsid w:val="004230DF"/>
    <w:rsid w:val="00431FAB"/>
    <w:rsid w:val="0045019E"/>
    <w:rsid w:val="004505DB"/>
    <w:rsid w:val="00450722"/>
    <w:rsid w:val="00452E2F"/>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2B0A"/>
    <w:rsid w:val="004F333D"/>
    <w:rsid w:val="004F529C"/>
    <w:rsid w:val="005046F9"/>
    <w:rsid w:val="00506B01"/>
    <w:rsid w:val="0051624D"/>
    <w:rsid w:val="005261F3"/>
    <w:rsid w:val="00527DB8"/>
    <w:rsid w:val="00531BBB"/>
    <w:rsid w:val="00534F49"/>
    <w:rsid w:val="00546F26"/>
    <w:rsid w:val="00547E5B"/>
    <w:rsid w:val="00561EB8"/>
    <w:rsid w:val="0056347D"/>
    <w:rsid w:val="00566301"/>
    <w:rsid w:val="005703FD"/>
    <w:rsid w:val="00581ADB"/>
    <w:rsid w:val="00590981"/>
    <w:rsid w:val="00592C7E"/>
    <w:rsid w:val="00592D76"/>
    <w:rsid w:val="005949B7"/>
    <w:rsid w:val="00597312"/>
    <w:rsid w:val="005B0B1C"/>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0A8"/>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75C35"/>
    <w:rsid w:val="00783C8A"/>
    <w:rsid w:val="00785D5E"/>
    <w:rsid w:val="0079398E"/>
    <w:rsid w:val="007A2DE6"/>
    <w:rsid w:val="007A3851"/>
    <w:rsid w:val="007A5259"/>
    <w:rsid w:val="007C19C3"/>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3F45"/>
    <w:rsid w:val="00955E1B"/>
    <w:rsid w:val="0096035A"/>
    <w:rsid w:val="009631CE"/>
    <w:rsid w:val="00965B4B"/>
    <w:rsid w:val="00972559"/>
    <w:rsid w:val="00975C2E"/>
    <w:rsid w:val="009A01A0"/>
    <w:rsid w:val="009A3DDA"/>
    <w:rsid w:val="009B0F0D"/>
    <w:rsid w:val="009B3588"/>
    <w:rsid w:val="009B427D"/>
    <w:rsid w:val="009B44C6"/>
    <w:rsid w:val="009B506A"/>
    <w:rsid w:val="009B5268"/>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A65F3"/>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80666"/>
    <w:rsid w:val="00B91604"/>
    <w:rsid w:val="00B93658"/>
    <w:rsid w:val="00B97F78"/>
    <w:rsid w:val="00BA2845"/>
    <w:rsid w:val="00BA462F"/>
    <w:rsid w:val="00BA46B7"/>
    <w:rsid w:val="00BA54BD"/>
    <w:rsid w:val="00BA6318"/>
    <w:rsid w:val="00BB0064"/>
    <w:rsid w:val="00BC26DE"/>
    <w:rsid w:val="00BC2C8D"/>
    <w:rsid w:val="00BC444B"/>
    <w:rsid w:val="00BC5864"/>
    <w:rsid w:val="00BC74D4"/>
    <w:rsid w:val="00BD3F26"/>
    <w:rsid w:val="00BE06F0"/>
    <w:rsid w:val="00BE49D9"/>
    <w:rsid w:val="00BF4419"/>
    <w:rsid w:val="00BF7142"/>
    <w:rsid w:val="00C00977"/>
    <w:rsid w:val="00C0684C"/>
    <w:rsid w:val="00C10FCA"/>
    <w:rsid w:val="00C14322"/>
    <w:rsid w:val="00C15F19"/>
    <w:rsid w:val="00C17F43"/>
    <w:rsid w:val="00C22422"/>
    <w:rsid w:val="00C23203"/>
    <w:rsid w:val="00C24E93"/>
    <w:rsid w:val="00C368B6"/>
    <w:rsid w:val="00C36D71"/>
    <w:rsid w:val="00C377B4"/>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73077"/>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330BC"/>
    <w:rsid w:val="00E33F9A"/>
    <w:rsid w:val="00E463F2"/>
    <w:rsid w:val="00E53A57"/>
    <w:rsid w:val="00E60413"/>
    <w:rsid w:val="00E615AD"/>
    <w:rsid w:val="00E62FDF"/>
    <w:rsid w:val="00E66E89"/>
    <w:rsid w:val="00E72641"/>
    <w:rsid w:val="00E77312"/>
    <w:rsid w:val="00E94606"/>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537F8-8AFA-4F29-BED8-0FB74E99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4829</Words>
  <Characters>26562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Maria Gabriela Naranjo Reyes</cp:lastModifiedBy>
  <cp:revision>3</cp:revision>
  <cp:lastPrinted>2022-02-11T17:27:00Z</cp:lastPrinted>
  <dcterms:created xsi:type="dcterms:W3CDTF">2022-02-18T20:33:00Z</dcterms:created>
  <dcterms:modified xsi:type="dcterms:W3CDTF">2022-02-18T20:47:00Z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