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F729" w14:textId="77777777" w:rsidR="00F83E29" w:rsidRPr="004E2297" w:rsidRDefault="00F83E29" w:rsidP="00F83E29">
      <w:pPr>
        <w:spacing w:after="0" w:line="240" w:lineRule="auto"/>
        <w:jc w:val="center"/>
        <w:rPr>
          <w:rFonts w:ascii="Palatino Linotype" w:eastAsia="Times New Roman" w:hAnsi="Palatino Linotype" w:cs="Times New Roman"/>
          <w:b/>
          <w:color w:val="222222"/>
          <w:lang w:eastAsia="es-EC"/>
        </w:rPr>
      </w:pPr>
      <w:r w:rsidRPr="004E2297">
        <w:rPr>
          <w:rFonts w:ascii="Palatino Linotype" w:eastAsia="Times New Roman" w:hAnsi="Palatino Linotype" w:cs="Times New Roman"/>
          <w:b/>
          <w:color w:val="222222"/>
          <w:lang w:eastAsia="es-EC"/>
        </w:rPr>
        <w:t>EXPOSICIÓN DE MOTIVOS:</w:t>
      </w:r>
    </w:p>
    <w:p w14:paraId="40C3D036" w14:textId="77777777" w:rsidR="00F83E29" w:rsidRPr="004E2297" w:rsidRDefault="00F83E29" w:rsidP="00F83E29">
      <w:pPr>
        <w:spacing w:after="0" w:line="240" w:lineRule="auto"/>
        <w:jc w:val="center"/>
        <w:rPr>
          <w:rFonts w:ascii="Palatino Linotype" w:eastAsia="Times New Roman" w:hAnsi="Palatino Linotype" w:cs="Times New Roman"/>
          <w:b/>
          <w:color w:val="222222"/>
          <w:lang w:eastAsia="es-EC"/>
        </w:rPr>
      </w:pPr>
    </w:p>
    <w:p w14:paraId="33178C3F" w14:textId="77777777" w:rsidR="00F83E29" w:rsidRPr="004E2297" w:rsidRDefault="00F83E29" w:rsidP="00F83E29">
      <w:pPr>
        <w:pStyle w:val="Default"/>
        <w:jc w:val="both"/>
        <w:rPr>
          <w:rFonts w:ascii="Palatino Linotype" w:hAnsi="Palatino Linotype"/>
          <w:color w:val="212A35"/>
          <w:sz w:val="22"/>
          <w:szCs w:val="22"/>
        </w:rPr>
      </w:pPr>
      <w:r w:rsidRPr="004E2297">
        <w:rPr>
          <w:rFonts w:ascii="Palatino Linotype" w:hAnsi="Palatino Linotype"/>
          <w:color w:val="212A35"/>
          <w:sz w:val="22"/>
          <w:szCs w:val="22"/>
        </w:rPr>
        <w:t>Conforme la evidencia científica, dentro de los lineamientos básicos para la construcción de mensajes enfocados en la prevención del uso de alcohol y otras drogas en espacios públicos y la reducción de riesgos y daños asociados, se destaca el fortalecimiento de una cultura preventiva, esencial captar espacios comunicacionales con el fin de difundir actividades y mensajes relacionados</w:t>
      </w:r>
      <w:r w:rsidRPr="004E2297">
        <w:rPr>
          <w:rStyle w:val="Refdenotaalpie"/>
          <w:rFonts w:ascii="Palatino Linotype" w:hAnsi="Palatino Linotype"/>
          <w:color w:val="212A35"/>
          <w:sz w:val="22"/>
          <w:szCs w:val="22"/>
        </w:rPr>
        <w:footnoteReference w:id="1"/>
      </w:r>
      <w:r w:rsidRPr="004E2297">
        <w:rPr>
          <w:rFonts w:ascii="Palatino Linotype" w:hAnsi="Palatino Linotype"/>
          <w:color w:val="212A35"/>
          <w:sz w:val="22"/>
          <w:szCs w:val="22"/>
        </w:rPr>
        <w:t>. Resulta crucial contar con mensajes y un plan de difusión coherentes, efectivos, y desarrollados conjuntamente con la población objetivo, siguiendo los parámetros establecidos.</w:t>
      </w:r>
      <w:r w:rsidRPr="004E2297">
        <w:rPr>
          <w:rStyle w:val="Refdenotaalpie"/>
          <w:rFonts w:ascii="Palatino Linotype" w:hAnsi="Palatino Linotype"/>
          <w:color w:val="212A35"/>
          <w:sz w:val="22"/>
          <w:szCs w:val="22"/>
        </w:rPr>
        <w:footnoteReference w:id="2"/>
      </w:r>
      <w:r w:rsidRPr="004E2297">
        <w:rPr>
          <w:rFonts w:ascii="Palatino Linotype" w:hAnsi="Palatino Linotype"/>
          <w:color w:val="212A35"/>
          <w:sz w:val="22"/>
          <w:szCs w:val="22"/>
        </w:rPr>
        <w:t xml:space="preserve"> La creación y difusión de mensajes preventivos o de reducción de riesgos y daños deben partir de una identificación clara de la población objetivo y sus características. Los mensajes deben basarse en información validada, libre de sesgos y creencias personales, ya que esto promueve mayores cambios de actitud. El contenido comunicacional debe ser coherente con las características culturales y lingüísticas de la población objetivo, promoviendo la modificación de normas culturales y creencias erróneas que sostienen el consumo abusivo e incrementan los riesgos asociados. Además, los mensajes deben desmitificar estas normas y creencias, incluir alternativas para resistir la presión social frente al uso de drogas y ser pre-testados para evaluar su acogida mediante grupos focales o técnicas similares. </w:t>
      </w:r>
      <w:r w:rsidRPr="004E2297">
        <w:rPr>
          <w:rStyle w:val="Refdenotaalpie"/>
          <w:rFonts w:ascii="Palatino Linotype" w:hAnsi="Palatino Linotype"/>
          <w:color w:val="212A35"/>
          <w:sz w:val="22"/>
          <w:szCs w:val="22"/>
        </w:rPr>
        <w:footnoteReference w:id="3"/>
      </w:r>
      <w:r w:rsidRPr="004E2297">
        <w:rPr>
          <w:rFonts w:ascii="Palatino Linotype" w:hAnsi="Palatino Linotype"/>
          <w:color w:val="212A35"/>
          <w:sz w:val="22"/>
          <w:szCs w:val="22"/>
        </w:rPr>
        <w:t xml:space="preserve">Es esencial que la población objetivo esté considerablemente expuesta a estos mensajes preventivos y que las estrategias comunicacionales se liguen a otras actividades preventivas o alternativas saludables. Posteriormente, debe realizarse una evaluación para ajustar los mensajes y potenciar su impacto según sea necesario. </w:t>
      </w:r>
    </w:p>
    <w:p w14:paraId="296C248E" w14:textId="77777777" w:rsidR="00F83E29" w:rsidRPr="004E2297" w:rsidRDefault="00F83E29" w:rsidP="00F83E29">
      <w:pPr>
        <w:spacing w:after="0" w:line="240" w:lineRule="auto"/>
        <w:jc w:val="both"/>
        <w:rPr>
          <w:rFonts w:ascii="Palatino Linotype" w:eastAsia="Times New Roman" w:hAnsi="Palatino Linotype" w:cs="Times New Roman"/>
          <w:b/>
          <w:color w:val="222222"/>
          <w:lang w:eastAsia="es-EC"/>
        </w:rPr>
      </w:pPr>
    </w:p>
    <w:p w14:paraId="6734375A" w14:textId="77777777" w:rsidR="00F83E29" w:rsidRPr="004E2297" w:rsidRDefault="00F83E29" w:rsidP="00F83E29">
      <w:pPr>
        <w:pStyle w:val="Default"/>
        <w:jc w:val="both"/>
        <w:rPr>
          <w:rFonts w:ascii="Palatino Linotype" w:hAnsi="Palatino Linotype"/>
          <w:sz w:val="22"/>
          <w:szCs w:val="22"/>
        </w:rPr>
      </w:pPr>
      <w:r w:rsidRPr="004E2297">
        <w:rPr>
          <w:rFonts w:ascii="Palatino Linotype" w:hAnsi="Palatino Linotype"/>
          <w:color w:val="212A35"/>
          <w:sz w:val="22"/>
          <w:szCs w:val="22"/>
        </w:rPr>
        <w:t xml:space="preserve">Cabe destacar que la prevención integral debe basarse en principios básicos como la implementación a largo plazo, la atención a factores de riesgo modificables y el fortalecimiento de factores de protección, así como la combinación de diferentes componentes eficaces. </w:t>
      </w:r>
      <w:r w:rsidRPr="004E2297">
        <w:rPr>
          <w:rStyle w:val="Refdenotaalpie"/>
          <w:rFonts w:ascii="Palatino Linotype" w:hAnsi="Palatino Linotype"/>
          <w:sz w:val="22"/>
          <w:szCs w:val="22"/>
        </w:rPr>
        <w:footnoteReference w:id="4"/>
      </w:r>
    </w:p>
    <w:p w14:paraId="593C5CD9" w14:textId="77777777" w:rsidR="00F83E29" w:rsidRPr="004E2297" w:rsidRDefault="00F83E29" w:rsidP="00F83E29">
      <w:pPr>
        <w:pStyle w:val="Default"/>
        <w:jc w:val="both"/>
        <w:rPr>
          <w:rFonts w:ascii="Palatino Linotype" w:hAnsi="Palatino Linotype"/>
          <w:color w:val="212A35"/>
          <w:sz w:val="22"/>
          <w:szCs w:val="22"/>
        </w:rPr>
      </w:pPr>
    </w:p>
    <w:p w14:paraId="7BC2D2E9" w14:textId="77777777" w:rsidR="00F83E29" w:rsidRPr="004E2297" w:rsidRDefault="00F83E29" w:rsidP="00F83E29">
      <w:pPr>
        <w:pStyle w:val="Default"/>
        <w:jc w:val="both"/>
        <w:rPr>
          <w:rFonts w:ascii="Palatino Linotype" w:hAnsi="Palatino Linotype"/>
          <w:color w:val="212A35"/>
          <w:sz w:val="22"/>
          <w:szCs w:val="22"/>
        </w:rPr>
      </w:pPr>
      <w:r w:rsidRPr="004E2297">
        <w:rPr>
          <w:rFonts w:ascii="Palatino Linotype" w:hAnsi="Palatino Linotype"/>
          <w:color w:val="212A35"/>
          <w:sz w:val="22"/>
          <w:szCs w:val="22"/>
        </w:rPr>
        <w:t>Según los estándares internacionales establecidos por la Oficina de las Naciones Unidad contra la Droga y el Delito (UNODC), en el ámbito de la comunicación, para la prevención dirigida a adolescentes y jóvenes, se recomienda:</w:t>
      </w:r>
    </w:p>
    <w:p w14:paraId="7C222BED" w14:textId="77777777" w:rsidR="00F83E29" w:rsidRPr="004E2297" w:rsidRDefault="00F83E29" w:rsidP="00F83E29">
      <w:pPr>
        <w:pStyle w:val="Default"/>
        <w:jc w:val="both"/>
        <w:rPr>
          <w:rFonts w:ascii="Palatino Linotype" w:hAnsi="Palatino Linotype"/>
          <w:sz w:val="22"/>
          <w:szCs w:val="22"/>
        </w:rPr>
      </w:pPr>
    </w:p>
    <w:p w14:paraId="45FC29E5" w14:textId="77777777" w:rsidR="00F83E29" w:rsidRPr="004E2297" w:rsidRDefault="00F83E29" w:rsidP="00D63957">
      <w:pPr>
        <w:pStyle w:val="Default"/>
        <w:numPr>
          <w:ilvl w:val="0"/>
          <w:numId w:val="4"/>
        </w:numPr>
        <w:ind w:left="1065" w:hanging="360"/>
        <w:jc w:val="both"/>
        <w:rPr>
          <w:rFonts w:ascii="Palatino Linotype" w:hAnsi="Palatino Linotype"/>
          <w:sz w:val="22"/>
          <w:szCs w:val="22"/>
        </w:rPr>
      </w:pPr>
      <w:r w:rsidRPr="004E2297">
        <w:rPr>
          <w:rFonts w:ascii="Palatino Linotype" w:hAnsi="Palatino Linotype"/>
          <w:sz w:val="22"/>
          <w:szCs w:val="22"/>
        </w:rPr>
        <w:t xml:space="preserve">Identificación precisa del público objetivo. </w:t>
      </w:r>
    </w:p>
    <w:p w14:paraId="75E00756" w14:textId="77777777" w:rsidR="00F83E29" w:rsidRPr="004E2297" w:rsidRDefault="00F83E29" w:rsidP="00D63957">
      <w:pPr>
        <w:pStyle w:val="Default"/>
        <w:numPr>
          <w:ilvl w:val="0"/>
          <w:numId w:val="4"/>
        </w:numPr>
        <w:ind w:left="1065" w:hanging="360"/>
        <w:jc w:val="both"/>
        <w:rPr>
          <w:rFonts w:ascii="Palatino Linotype" w:hAnsi="Palatino Linotype"/>
          <w:sz w:val="22"/>
          <w:szCs w:val="22"/>
        </w:rPr>
      </w:pPr>
      <w:r w:rsidRPr="004E2297">
        <w:rPr>
          <w:rFonts w:ascii="Palatino Linotype" w:hAnsi="Palatino Linotype"/>
          <w:sz w:val="22"/>
          <w:szCs w:val="22"/>
        </w:rPr>
        <w:t xml:space="preserve">Fundamentación teórica sólida. </w:t>
      </w:r>
    </w:p>
    <w:p w14:paraId="2E866395" w14:textId="77777777" w:rsidR="00F83E29" w:rsidRPr="004E2297" w:rsidRDefault="00F83E29" w:rsidP="00D63957">
      <w:pPr>
        <w:pStyle w:val="Default"/>
        <w:numPr>
          <w:ilvl w:val="0"/>
          <w:numId w:val="4"/>
        </w:numPr>
        <w:ind w:left="1065" w:hanging="360"/>
        <w:jc w:val="both"/>
        <w:rPr>
          <w:rFonts w:ascii="Palatino Linotype" w:hAnsi="Palatino Linotype"/>
          <w:sz w:val="22"/>
          <w:szCs w:val="22"/>
        </w:rPr>
      </w:pPr>
      <w:r w:rsidRPr="004E2297">
        <w:rPr>
          <w:rFonts w:ascii="Palatino Linotype" w:hAnsi="Palatino Linotype"/>
          <w:sz w:val="22"/>
          <w:szCs w:val="22"/>
        </w:rPr>
        <w:lastRenderedPageBreak/>
        <w:t xml:space="preserve">Investigación formativa y profunda para construcción de los mensajes que serán empleados. </w:t>
      </w:r>
    </w:p>
    <w:p w14:paraId="74A70FFC" w14:textId="77777777" w:rsidR="00F83E29" w:rsidRPr="004E2297" w:rsidRDefault="00F83E29" w:rsidP="00D63957">
      <w:pPr>
        <w:pStyle w:val="Default"/>
        <w:numPr>
          <w:ilvl w:val="0"/>
          <w:numId w:val="4"/>
        </w:numPr>
        <w:ind w:left="1065" w:hanging="360"/>
        <w:jc w:val="both"/>
        <w:rPr>
          <w:rFonts w:ascii="Palatino Linotype" w:hAnsi="Palatino Linotype"/>
          <w:sz w:val="22"/>
          <w:szCs w:val="22"/>
        </w:rPr>
      </w:pPr>
      <w:r w:rsidRPr="004E2297">
        <w:rPr>
          <w:rFonts w:ascii="Palatino Linotype" w:hAnsi="Palatino Linotype"/>
          <w:sz w:val="22"/>
          <w:szCs w:val="22"/>
        </w:rPr>
        <w:t xml:space="preserve">Vinculación con otros programas de prevención de drogas existentes en el hogar, la escuela y la comunidad. </w:t>
      </w:r>
    </w:p>
    <w:p w14:paraId="481D33FA" w14:textId="77777777" w:rsidR="00F83E29" w:rsidRPr="004E2297" w:rsidRDefault="00F83E29" w:rsidP="00D63957">
      <w:pPr>
        <w:pStyle w:val="Default"/>
        <w:numPr>
          <w:ilvl w:val="0"/>
          <w:numId w:val="4"/>
        </w:numPr>
        <w:ind w:left="1065" w:hanging="360"/>
        <w:jc w:val="both"/>
        <w:rPr>
          <w:rFonts w:ascii="Palatino Linotype" w:hAnsi="Palatino Linotype"/>
          <w:sz w:val="22"/>
          <w:szCs w:val="22"/>
        </w:rPr>
      </w:pPr>
      <w:r w:rsidRPr="004E2297">
        <w:rPr>
          <w:rFonts w:ascii="Palatino Linotype" w:hAnsi="Palatino Linotype"/>
          <w:sz w:val="22"/>
          <w:szCs w:val="22"/>
        </w:rPr>
        <w:t xml:space="preserve">Exposición adecuada y duradera frente al público objetivo </w:t>
      </w:r>
    </w:p>
    <w:p w14:paraId="235FDA5C" w14:textId="77777777" w:rsidR="00F83E29" w:rsidRPr="004E2297" w:rsidRDefault="00F83E29" w:rsidP="00D63957">
      <w:pPr>
        <w:pStyle w:val="Default"/>
        <w:numPr>
          <w:ilvl w:val="0"/>
          <w:numId w:val="4"/>
        </w:numPr>
        <w:ind w:left="1065" w:hanging="360"/>
        <w:jc w:val="both"/>
        <w:rPr>
          <w:rFonts w:ascii="Palatino Linotype" w:hAnsi="Palatino Linotype"/>
          <w:sz w:val="22"/>
          <w:szCs w:val="22"/>
        </w:rPr>
      </w:pPr>
      <w:r w:rsidRPr="004E2297">
        <w:rPr>
          <w:rFonts w:ascii="Palatino Linotype" w:hAnsi="Palatino Linotype"/>
          <w:sz w:val="22"/>
          <w:szCs w:val="22"/>
        </w:rPr>
        <w:t xml:space="preserve">Evaluación continua de las campañas. </w:t>
      </w:r>
    </w:p>
    <w:p w14:paraId="2F48BB69" w14:textId="77777777" w:rsidR="00F83E29" w:rsidRPr="004E2297" w:rsidRDefault="00F83E29" w:rsidP="00D63957">
      <w:pPr>
        <w:pStyle w:val="Default"/>
        <w:numPr>
          <w:ilvl w:val="0"/>
          <w:numId w:val="4"/>
        </w:numPr>
        <w:ind w:left="1065" w:hanging="360"/>
        <w:jc w:val="both"/>
        <w:rPr>
          <w:rFonts w:ascii="Palatino Linotype" w:hAnsi="Palatino Linotype"/>
          <w:sz w:val="22"/>
          <w:szCs w:val="22"/>
        </w:rPr>
      </w:pPr>
      <w:r w:rsidRPr="004E2297">
        <w:rPr>
          <w:rFonts w:ascii="Palatino Linotype" w:hAnsi="Palatino Linotype"/>
          <w:sz w:val="22"/>
          <w:szCs w:val="22"/>
        </w:rPr>
        <w:t xml:space="preserve">Enfoque a madres, padres y/o cuidadores, aunque esto parece tener un efecto independiente también en los niños. </w:t>
      </w:r>
    </w:p>
    <w:p w14:paraId="144A89A2" w14:textId="77777777" w:rsidR="00F83E29" w:rsidRPr="004E2297" w:rsidRDefault="00F83E29" w:rsidP="00D63957">
      <w:pPr>
        <w:pStyle w:val="Default"/>
        <w:numPr>
          <w:ilvl w:val="0"/>
          <w:numId w:val="4"/>
        </w:numPr>
        <w:ind w:left="1065" w:hanging="360"/>
        <w:jc w:val="both"/>
        <w:rPr>
          <w:rFonts w:ascii="Palatino Linotype" w:hAnsi="Palatino Linotype"/>
          <w:sz w:val="22"/>
          <w:szCs w:val="22"/>
        </w:rPr>
      </w:pPr>
      <w:r w:rsidRPr="004E2297">
        <w:rPr>
          <w:rFonts w:ascii="Palatino Linotype" w:hAnsi="Palatino Linotype"/>
          <w:sz w:val="22"/>
          <w:szCs w:val="22"/>
        </w:rPr>
        <w:t xml:space="preserve">Definir objetivos claros, como cambiar las normas culturales sobre el consumo de sustancias, educar sobre las consecuencias de dicho consumo y/o sugerir estrategias sobre cómo negarse al uso de sustancias. </w:t>
      </w:r>
      <w:r w:rsidRPr="004E2297">
        <w:rPr>
          <w:rStyle w:val="Refdenotaalpie"/>
          <w:rFonts w:ascii="Palatino Linotype" w:hAnsi="Palatino Linotype"/>
          <w:sz w:val="22"/>
          <w:szCs w:val="22"/>
        </w:rPr>
        <w:footnoteReference w:id="5"/>
      </w:r>
    </w:p>
    <w:p w14:paraId="0A8EC134" w14:textId="77777777" w:rsidR="00F83E29" w:rsidRPr="004E2297" w:rsidRDefault="00F83E29" w:rsidP="00F83E29">
      <w:pPr>
        <w:spacing w:after="0" w:line="240" w:lineRule="auto"/>
        <w:jc w:val="both"/>
        <w:rPr>
          <w:rFonts w:ascii="Palatino Linotype" w:eastAsia="Times New Roman" w:hAnsi="Palatino Linotype" w:cs="Times New Roman"/>
          <w:b/>
          <w:color w:val="222222"/>
          <w:lang w:eastAsia="es-EC"/>
        </w:rPr>
      </w:pPr>
    </w:p>
    <w:p w14:paraId="2196A7F5" w14:textId="77777777" w:rsidR="00F83E29" w:rsidRPr="004E2297" w:rsidRDefault="00F83E29" w:rsidP="00F83E29">
      <w:pPr>
        <w:spacing w:after="0" w:line="240" w:lineRule="auto"/>
        <w:jc w:val="both"/>
        <w:rPr>
          <w:rFonts w:ascii="Palatino Linotype" w:eastAsia="Times New Roman" w:hAnsi="Palatino Linotype" w:cs="Times New Roman"/>
          <w:bCs/>
          <w:color w:val="222222"/>
          <w:lang w:eastAsia="es-EC"/>
        </w:rPr>
      </w:pPr>
      <w:r w:rsidRPr="004E2297">
        <w:rPr>
          <w:rFonts w:ascii="Palatino Linotype" w:eastAsia="Times New Roman" w:hAnsi="Palatino Linotype" w:cs="Times New Roman"/>
          <w:bCs/>
          <w:color w:val="222222"/>
          <w:lang w:eastAsia="es-EC"/>
        </w:rPr>
        <w:t xml:space="preserve">Es decir, la prevención integral del consumo de drogas es un proceso complejo que requiere de un enfoque multidimensional y basado en evidencia. La implementación de estrategias efectivas de prevención puede contribuir a reducir la incidencia y prevalencia del consumo de drogas, así como sus consecuencias negativas para la salud individual y social, por lo que, es deber del Municipio del Distrito Metropolitano de Quito, implementar acciones en el ámbito de sus competencias que permitan evitar un consumo de drogas en su circunscripción. </w:t>
      </w:r>
    </w:p>
    <w:p w14:paraId="2BB62118" w14:textId="77777777" w:rsidR="00F83E29" w:rsidRPr="004E2297" w:rsidRDefault="00F83E29" w:rsidP="00F83E29">
      <w:pPr>
        <w:spacing w:after="0" w:line="240" w:lineRule="auto"/>
        <w:jc w:val="center"/>
        <w:rPr>
          <w:rFonts w:ascii="Palatino Linotype" w:eastAsia="Times New Roman" w:hAnsi="Palatino Linotype" w:cs="Times New Roman"/>
          <w:b/>
          <w:color w:val="222222"/>
          <w:lang w:eastAsia="es-EC"/>
        </w:rPr>
      </w:pPr>
    </w:p>
    <w:p w14:paraId="037E9895" w14:textId="77777777" w:rsidR="00F83E29" w:rsidRPr="004E2297" w:rsidRDefault="00F83E29" w:rsidP="00F83E29">
      <w:pPr>
        <w:spacing w:after="0" w:line="240" w:lineRule="auto"/>
        <w:jc w:val="center"/>
        <w:rPr>
          <w:rFonts w:ascii="Palatino Linotype" w:eastAsia="Times New Roman" w:hAnsi="Palatino Linotype" w:cs="Times New Roman"/>
          <w:b/>
          <w:color w:val="222222"/>
          <w:lang w:eastAsia="es-EC"/>
        </w:rPr>
      </w:pPr>
    </w:p>
    <w:p w14:paraId="2AB03172" w14:textId="77777777" w:rsidR="00F83E29" w:rsidRPr="004E2297" w:rsidRDefault="00F83E29" w:rsidP="00F83E29">
      <w:pPr>
        <w:spacing w:after="0" w:line="240" w:lineRule="auto"/>
        <w:jc w:val="center"/>
        <w:rPr>
          <w:rFonts w:ascii="Palatino Linotype" w:eastAsia="Times New Roman" w:hAnsi="Palatino Linotype" w:cs="Times New Roman"/>
          <w:b/>
          <w:color w:val="222222"/>
          <w:lang w:eastAsia="es-EC"/>
        </w:rPr>
      </w:pPr>
      <w:r w:rsidRPr="004E2297">
        <w:rPr>
          <w:rFonts w:ascii="Palatino Linotype" w:eastAsia="Times New Roman" w:hAnsi="Palatino Linotype" w:cs="Times New Roman"/>
          <w:b/>
          <w:color w:val="222222"/>
          <w:lang w:eastAsia="es-EC"/>
        </w:rPr>
        <w:t xml:space="preserve">EL CONCEJO METROPOLITANO DE QUITO </w:t>
      </w:r>
    </w:p>
    <w:p w14:paraId="4465A76C" w14:textId="77777777" w:rsidR="00F83E29" w:rsidRPr="004E2297" w:rsidRDefault="00F83E29" w:rsidP="00F83E29">
      <w:pPr>
        <w:spacing w:after="0" w:line="240" w:lineRule="auto"/>
        <w:jc w:val="center"/>
        <w:rPr>
          <w:rFonts w:ascii="Palatino Linotype" w:eastAsia="Times New Roman" w:hAnsi="Palatino Linotype" w:cs="Times New Roman"/>
          <w:color w:val="222222"/>
          <w:lang w:eastAsia="es-EC"/>
        </w:rPr>
      </w:pPr>
    </w:p>
    <w:p w14:paraId="0AD4BF3E" w14:textId="77777777" w:rsidR="00F83E29" w:rsidRPr="004E2297" w:rsidRDefault="00F83E29" w:rsidP="00F83E29">
      <w:pPr>
        <w:spacing w:after="0" w:line="240" w:lineRule="auto"/>
        <w:jc w:val="center"/>
        <w:rPr>
          <w:rFonts w:ascii="Palatino Linotype" w:eastAsia="Times New Roman" w:hAnsi="Palatino Linotype" w:cs="Times New Roman"/>
          <w:color w:val="222222"/>
          <w:lang w:eastAsia="es-EC"/>
        </w:rPr>
      </w:pPr>
      <w:r w:rsidRPr="004E2297">
        <w:rPr>
          <w:rFonts w:ascii="Palatino Linotype" w:eastAsia="Times New Roman" w:hAnsi="Palatino Linotype" w:cs="Times New Roman"/>
          <w:b/>
          <w:bCs/>
          <w:color w:val="222222"/>
          <w:lang w:eastAsia="es-EC"/>
        </w:rPr>
        <w:t>CONSIDERANDO:</w:t>
      </w:r>
    </w:p>
    <w:p w14:paraId="1EB95B4F" w14:textId="77777777" w:rsidR="00F83E29" w:rsidRPr="004E2297" w:rsidRDefault="00F83E29" w:rsidP="00F83E29">
      <w:pPr>
        <w:spacing w:after="0" w:line="240" w:lineRule="auto"/>
        <w:jc w:val="both"/>
        <w:rPr>
          <w:rFonts w:ascii="Palatino Linotype" w:eastAsia="Times New Roman" w:hAnsi="Palatino Linotype" w:cs="Times New Roman"/>
          <w:color w:val="222222"/>
          <w:shd w:val="clear" w:color="auto" w:fill="FFFFFF"/>
          <w:lang w:eastAsia="es-EC"/>
        </w:rPr>
      </w:pPr>
    </w:p>
    <w:p w14:paraId="47F09880" w14:textId="544C51DA" w:rsidR="00F83E29" w:rsidRPr="004E2297" w:rsidRDefault="00F83E29" w:rsidP="00F83E29">
      <w:pPr>
        <w:spacing w:after="0" w:line="240" w:lineRule="auto"/>
        <w:ind w:left="705" w:hanging="705"/>
        <w:jc w:val="both"/>
        <w:rPr>
          <w:rFonts w:ascii="Palatino Linotype" w:eastAsia="Times New Roman" w:hAnsi="Palatino Linotype" w:cs="Times New Roman"/>
          <w:shd w:val="clear" w:color="auto" w:fill="FFFFFF"/>
          <w:lang w:eastAsia="es-EC"/>
        </w:rPr>
      </w:pPr>
      <w:r w:rsidRPr="004E2297">
        <w:rPr>
          <w:rFonts w:ascii="Palatino Linotype" w:eastAsia="Times New Roman" w:hAnsi="Palatino Linotype" w:cs="Times New Roman"/>
          <w:b/>
          <w:shd w:val="clear" w:color="auto" w:fill="FFFFFF"/>
          <w:lang w:eastAsia="es-EC"/>
        </w:rPr>
        <w:t>Que</w:t>
      </w:r>
      <w:r w:rsidRPr="004E2297">
        <w:rPr>
          <w:rFonts w:ascii="Palatino Linotype" w:eastAsia="Times New Roman" w:hAnsi="Palatino Linotype" w:cs="Times New Roman"/>
          <w:shd w:val="clear" w:color="auto" w:fill="FFFFFF"/>
          <w:lang w:eastAsia="es-EC"/>
        </w:rPr>
        <w:tab/>
        <w:t>el artículo 31 de la Constitución de la Rep</w:t>
      </w:r>
      <w:r w:rsidR="00842DD5">
        <w:rPr>
          <w:rFonts w:ascii="Palatino Linotype" w:eastAsia="Times New Roman" w:hAnsi="Palatino Linotype" w:cs="Times New Roman"/>
          <w:shd w:val="clear" w:color="auto" w:fill="FFFFFF"/>
          <w:lang w:eastAsia="es-EC"/>
        </w:rPr>
        <w:t>ú</w:t>
      </w:r>
      <w:r w:rsidRPr="004E2297">
        <w:rPr>
          <w:rFonts w:ascii="Palatino Linotype" w:eastAsia="Times New Roman" w:hAnsi="Palatino Linotype" w:cs="Times New Roman"/>
          <w:shd w:val="clear" w:color="auto" w:fill="FFFFFF"/>
          <w:lang w:eastAsia="es-EC"/>
        </w:rPr>
        <w:t xml:space="preserve">blica del Ecuador (En adelante “Constitución”), dispone que: </w:t>
      </w:r>
      <w:r w:rsidRPr="004E2297">
        <w:rPr>
          <w:rFonts w:ascii="Palatino Linotype" w:eastAsia="Times New Roman" w:hAnsi="Palatino Linotype" w:cs="Times New Roman"/>
          <w:i/>
          <w:shd w:val="clear" w:color="auto" w:fill="FFFFFF"/>
          <w:lang w:eastAsia="es-EC"/>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p>
    <w:p w14:paraId="7417462E" w14:textId="77777777" w:rsidR="00F83E29" w:rsidRPr="004E2297" w:rsidRDefault="00F83E29" w:rsidP="00F83E29">
      <w:pPr>
        <w:spacing w:after="0" w:line="240" w:lineRule="auto"/>
        <w:ind w:left="705" w:hanging="705"/>
        <w:jc w:val="both"/>
        <w:rPr>
          <w:rFonts w:ascii="Palatino Linotype" w:eastAsia="Times New Roman" w:hAnsi="Palatino Linotype" w:cs="Times New Roman"/>
          <w:b/>
          <w:bCs/>
          <w:lang w:eastAsia="es-EC"/>
        </w:rPr>
      </w:pPr>
    </w:p>
    <w:p w14:paraId="3BEC5131" w14:textId="77777777" w:rsidR="00F83E29" w:rsidRPr="004E2297" w:rsidRDefault="00F83E29" w:rsidP="00F83E29">
      <w:pPr>
        <w:spacing w:after="0" w:line="240" w:lineRule="auto"/>
        <w:ind w:left="567" w:hanging="567"/>
        <w:jc w:val="both"/>
        <w:rPr>
          <w:rFonts w:ascii="Palatino Linotype" w:hAnsi="Palatino Linotype"/>
        </w:rPr>
      </w:pPr>
      <w:r w:rsidRPr="004E2297">
        <w:rPr>
          <w:rFonts w:ascii="Palatino Linotype" w:hAnsi="Palatino Linotype"/>
          <w:b/>
          <w:bCs/>
        </w:rPr>
        <w:t>Que,</w:t>
      </w:r>
      <w:r w:rsidRPr="004E2297">
        <w:rPr>
          <w:rFonts w:ascii="Palatino Linotype" w:hAnsi="Palatino Linotype"/>
        </w:rPr>
        <w:t xml:space="preserve"> </w:t>
      </w:r>
      <w:r w:rsidRPr="004E2297">
        <w:rPr>
          <w:rFonts w:ascii="Palatino Linotype" w:hAnsi="Palatino Linotype"/>
        </w:rPr>
        <w:tab/>
        <w:t>el artículo 226 de la Constitución determina: “</w:t>
      </w:r>
      <w:r w:rsidRPr="004E2297">
        <w:rPr>
          <w:rFonts w:ascii="Palatino Linotype" w:hAnsi="Palatino Linotype"/>
          <w:i/>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delos derechos reconocidos en la Constitución</w:t>
      </w:r>
      <w:r w:rsidRPr="004E2297">
        <w:rPr>
          <w:rFonts w:ascii="Palatino Linotype" w:hAnsi="Palatino Linotype"/>
        </w:rPr>
        <w:t>”;</w:t>
      </w:r>
    </w:p>
    <w:p w14:paraId="73F38FA7" w14:textId="77777777" w:rsidR="00F83E29" w:rsidRPr="004E2297" w:rsidRDefault="00F83E29" w:rsidP="00F83E29">
      <w:pPr>
        <w:spacing w:after="0" w:line="240" w:lineRule="auto"/>
        <w:rPr>
          <w:rFonts w:ascii="Palatino Linotype" w:hAnsi="Palatino Linotype"/>
        </w:rPr>
      </w:pPr>
    </w:p>
    <w:p w14:paraId="61DAE51D" w14:textId="77777777" w:rsidR="00F83E29" w:rsidRPr="004E2297" w:rsidRDefault="00F83E29" w:rsidP="00F83E29">
      <w:pPr>
        <w:spacing w:after="0" w:line="240" w:lineRule="auto"/>
        <w:ind w:left="567" w:hanging="567"/>
        <w:jc w:val="both"/>
        <w:rPr>
          <w:rFonts w:ascii="Palatino Linotype" w:hAnsi="Palatino Linotype"/>
        </w:rPr>
      </w:pPr>
      <w:r w:rsidRPr="004E2297">
        <w:rPr>
          <w:rFonts w:ascii="Palatino Linotype" w:hAnsi="Palatino Linotype"/>
          <w:b/>
        </w:rPr>
        <w:t>Que</w:t>
      </w:r>
      <w:r w:rsidRPr="004E2297">
        <w:rPr>
          <w:rFonts w:ascii="Palatino Linotype" w:hAnsi="Palatino Linotype"/>
        </w:rPr>
        <w:t xml:space="preserve">, </w:t>
      </w:r>
      <w:r w:rsidRPr="004E2297">
        <w:rPr>
          <w:rFonts w:ascii="Palatino Linotype" w:hAnsi="Palatino Linotype"/>
        </w:rPr>
        <w:tab/>
        <w:t>el artículo 227 de la Constitución dispone: “</w:t>
      </w:r>
      <w:r w:rsidRPr="004E2297">
        <w:rPr>
          <w:rFonts w:ascii="Palatino Linotype" w:hAnsi="Palatino Linotype"/>
          <w:i/>
        </w:rPr>
        <w:t xml:space="preserve">La administración pública constituye un servicio a la colectividad que se rige por los principios de eficacia, eficiencia, calidad, </w:t>
      </w:r>
      <w:r w:rsidRPr="004E2297">
        <w:rPr>
          <w:rFonts w:ascii="Palatino Linotype" w:hAnsi="Palatino Linotype"/>
          <w:i/>
        </w:rPr>
        <w:lastRenderedPageBreak/>
        <w:t>jerarquía, desconcentración, descentralización, coordinación, participación, planificación, transparencia y evaluación</w:t>
      </w:r>
      <w:r w:rsidRPr="004E2297">
        <w:rPr>
          <w:rFonts w:ascii="Palatino Linotype" w:hAnsi="Palatino Linotype"/>
        </w:rPr>
        <w:t>”;</w:t>
      </w:r>
    </w:p>
    <w:p w14:paraId="259475A9" w14:textId="77777777" w:rsidR="00F83E29" w:rsidRPr="004E2297" w:rsidRDefault="00F83E29" w:rsidP="00F83E29">
      <w:pPr>
        <w:spacing w:after="0" w:line="240" w:lineRule="auto"/>
        <w:jc w:val="both"/>
        <w:rPr>
          <w:rFonts w:ascii="Palatino Linotype" w:eastAsia="Times New Roman" w:hAnsi="Palatino Linotype" w:cs="Times New Roman"/>
          <w:shd w:val="clear" w:color="auto" w:fill="FFFFFF"/>
          <w:lang w:eastAsia="es-EC"/>
        </w:rPr>
      </w:pPr>
    </w:p>
    <w:p w14:paraId="4B728BFE" w14:textId="0EED0B83" w:rsidR="00F83E29" w:rsidRPr="004E2297" w:rsidRDefault="00F83E29" w:rsidP="00F83E29">
      <w:pPr>
        <w:spacing w:after="0" w:line="240" w:lineRule="auto"/>
        <w:ind w:left="705" w:hanging="705"/>
        <w:jc w:val="both"/>
        <w:rPr>
          <w:rFonts w:ascii="Palatino Linotype" w:eastAsia="Times New Roman" w:hAnsi="Palatino Linotype" w:cs="Times New Roman"/>
          <w:lang w:eastAsia="es-EC"/>
        </w:rPr>
      </w:pPr>
      <w:r w:rsidRPr="004E2297">
        <w:rPr>
          <w:rFonts w:ascii="Palatino Linotype" w:eastAsia="Times New Roman" w:hAnsi="Palatino Linotype" w:cs="Times New Roman"/>
          <w:b/>
          <w:lang w:eastAsia="es-EC"/>
        </w:rPr>
        <w:t>Que</w:t>
      </w:r>
      <w:r w:rsidRPr="004E2297">
        <w:rPr>
          <w:rFonts w:ascii="Palatino Linotype" w:eastAsia="Times New Roman" w:hAnsi="Palatino Linotype" w:cs="Times New Roman"/>
          <w:lang w:eastAsia="es-EC"/>
        </w:rPr>
        <w:tab/>
      </w:r>
      <w:r w:rsidR="00811797">
        <w:rPr>
          <w:rFonts w:ascii="Palatino Linotype" w:eastAsia="Times New Roman" w:hAnsi="Palatino Linotype" w:cs="Times New Roman"/>
          <w:lang w:eastAsia="es-EC"/>
        </w:rPr>
        <w:t>los</w:t>
      </w:r>
      <w:r w:rsidRPr="004E2297">
        <w:rPr>
          <w:rFonts w:ascii="Palatino Linotype" w:eastAsia="Times New Roman" w:hAnsi="Palatino Linotype" w:cs="Times New Roman"/>
          <w:lang w:eastAsia="es-EC"/>
        </w:rPr>
        <w:t xml:space="preserve"> artículo</w:t>
      </w:r>
      <w:r w:rsidR="00811797">
        <w:rPr>
          <w:rFonts w:ascii="Palatino Linotype" w:eastAsia="Times New Roman" w:hAnsi="Palatino Linotype" w:cs="Times New Roman"/>
          <w:lang w:eastAsia="es-EC"/>
        </w:rPr>
        <w:t>s</w:t>
      </w:r>
      <w:r w:rsidRPr="004E2297">
        <w:rPr>
          <w:rFonts w:ascii="Palatino Linotype" w:eastAsia="Times New Roman" w:hAnsi="Palatino Linotype" w:cs="Times New Roman"/>
          <w:lang w:eastAsia="es-EC"/>
        </w:rPr>
        <w:t xml:space="preserve"> 238 y 266 de la Constitución establecen que los gobiernos, autónomos descentralizados gozarán de autonomía, administrativa y financiera; y, de los Distritos Metropolitanos Autónomos ejercen las competencias que corresponden a los gobiernos cantonales y todas las que sean aplicables de los gobiernos provinciales y regionales;</w:t>
      </w:r>
    </w:p>
    <w:p w14:paraId="04716093" w14:textId="77777777" w:rsidR="00F83E29" w:rsidRPr="004E2297" w:rsidRDefault="00F83E29" w:rsidP="00F83E29">
      <w:pPr>
        <w:spacing w:after="0" w:line="240" w:lineRule="auto"/>
        <w:ind w:left="567" w:hanging="567"/>
        <w:jc w:val="both"/>
        <w:rPr>
          <w:rFonts w:ascii="Palatino Linotype" w:hAnsi="Palatino Linotype"/>
          <w:i/>
        </w:rPr>
      </w:pPr>
    </w:p>
    <w:p w14:paraId="0C929DF4" w14:textId="77777777" w:rsidR="00F83E29" w:rsidRPr="004E2297" w:rsidRDefault="00F83E29" w:rsidP="00F83E29">
      <w:pPr>
        <w:spacing w:after="0" w:line="240" w:lineRule="auto"/>
        <w:ind w:left="567" w:hanging="567"/>
        <w:jc w:val="both"/>
        <w:rPr>
          <w:rFonts w:ascii="Palatino Linotype" w:hAnsi="Palatino Linotype"/>
        </w:rPr>
      </w:pPr>
      <w:r w:rsidRPr="004E2297">
        <w:rPr>
          <w:rFonts w:ascii="Palatino Linotype" w:hAnsi="Palatino Linotype"/>
          <w:b/>
        </w:rPr>
        <w:t>Que</w:t>
      </w:r>
      <w:r w:rsidRPr="004E2297">
        <w:rPr>
          <w:rFonts w:ascii="Palatino Linotype" w:hAnsi="Palatino Linotype"/>
        </w:rPr>
        <w:t>, el artículo 240 de la Constitución prevé: “</w:t>
      </w:r>
      <w:r w:rsidRPr="004E2297">
        <w:rPr>
          <w:rFonts w:ascii="Palatino Linotype" w:hAnsi="Palatino Linotype"/>
          <w:i/>
        </w:rPr>
        <w:t>Los gobiernos autónomos descentralizados de las regiones, distritos metropolitanos, provincias y cantones tendrán facultades legislativas en el ámbito de sus competencias y jurisdicciones territoriales</w:t>
      </w:r>
      <w:r w:rsidRPr="004E2297">
        <w:rPr>
          <w:rFonts w:ascii="Palatino Linotype" w:hAnsi="Palatino Linotype"/>
        </w:rPr>
        <w:t xml:space="preserve">”; </w:t>
      </w:r>
    </w:p>
    <w:p w14:paraId="6FC2561B" w14:textId="77777777" w:rsidR="00F83E29" w:rsidRPr="004E2297" w:rsidRDefault="00F83E29" w:rsidP="00F83E29">
      <w:pPr>
        <w:spacing w:after="0" w:line="240" w:lineRule="auto"/>
        <w:ind w:left="705" w:hanging="705"/>
        <w:jc w:val="both"/>
        <w:rPr>
          <w:rFonts w:ascii="Palatino Linotype" w:eastAsia="Times New Roman" w:hAnsi="Palatino Linotype" w:cs="Times New Roman"/>
          <w:b/>
          <w:bCs/>
          <w:lang w:eastAsia="es-EC"/>
        </w:rPr>
      </w:pPr>
    </w:p>
    <w:p w14:paraId="0D6E3A0E" w14:textId="77777777" w:rsidR="00F83E29" w:rsidRPr="004E2297" w:rsidRDefault="00F83E29" w:rsidP="00F83E29">
      <w:pPr>
        <w:spacing w:after="0" w:line="240" w:lineRule="auto"/>
        <w:ind w:left="705" w:hanging="705"/>
        <w:jc w:val="both"/>
        <w:rPr>
          <w:rFonts w:ascii="Palatino Linotype" w:eastAsia="Times New Roman" w:hAnsi="Palatino Linotype" w:cs="Times New Roman"/>
          <w:shd w:val="clear" w:color="auto" w:fill="FFFFFF"/>
          <w:lang w:eastAsia="es-EC"/>
        </w:rPr>
      </w:pPr>
      <w:r w:rsidRPr="004E2297">
        <w:rPr>
          <w:rFonts w:ascii="Palatino Linotype" w:eastAsia="Times New Roman" w:hAnsi="Palatino Linotype" w:cs="Times New Roman"/>
          <w:b/>
          <w:bCs/>
          <w:lang w:eastAsia="es-EC"/>
        </w:rPr>
        <w:t>Que</w:t>
      </w:r>
      <w:r w:rsidRPr="004E2297">
        <w:rPr>
          <w:rFonts w:ascii="Palatino Linotype" w:eastAsia="Times New Roman" w:hAnsi="Palatino Linotype" w:cs="Times New Roman"/>
          <w:shd w:val="clear" w:color="auto" w:fill="FFFFFF"/>
          <w:lang w:eastAsia="es-EC"/>
        </w:rPr>
        <w:t> </w:t>
      </w:r>
      <w:r w:rsidRPr="004E2297">
        <w:rPr>
          <w:rFonts w:ascii="Palatino Linotype" w:eastAsia="Times New Roman" w:hAnsi="Palatino Linotype" w:cs="Times New Roman"/>
          <w:shd w:val="clear" w:color="auto" w:fill="FFFFFF"/>
          <w:lang w:eastAsia="es-EC"/>
        </w:rPr>
        <w:tab/>
        <w:t>el artículo 5 del Código Orgánico de Organización Territorial, Autonomía y Descentralización, (en adelante “COOTAD”), determina que los gobiernos descentralizados autónomos y regímenes especiales tienen derecho y la capacidad efectiva para regirse mediante normas y órganos de gobiernos propios; y, de acuerdo con los artículos 89 y 90, el Alcalde o Alcaldesa es la primera autoridad del ejecutivo del gobierno del Distrito Metropolitano Autónomo, ejerce la representación legal y la facultad ejecutiva para resolver administrativamente todos los asuntos correspondientes al cargo;</w:t>
      </w:r>
    </w:p>
    <w:p w14:paraId="58B5E275" w14:textId="77777777" w:rsidR="00F83E29" w:rsidRPr="004E2297" w:rsidRDefault="00F83E29" w:rsidP="00F83E29">
      <w:pPr>
        <w:spacing w:after="0" w:line="240" w:lineRule="auto"/>
        <w:rPr>
          <w:rStyle w:val="nrmar"/>
          <w:rFonts w:ascii="Palatino Linotype" w:hAnsi="Palatino Linotype" w:cs="Times New Roman"/>
          <w:shd w:val="clear" w:color="auto" w:fill="EEEEEE"/>
        </w:rPr>
      </w:pPr>
    </w:p>
    <w:p w14:paraId="54BD8542" w14:textId="36DF68F9" w:rsidR="00F83E29" w:rsidRPr="004E2297" w:rsidRDefault="00F83E29" w:rsidP="00F83E29">
      <w:pPr>
        <w:spacing w:after="0" w:line="240" w:lineRule="auto"/>
        <w:ind w:left="705" w:hanging="705"/>
        <w:jc w:val="both"/>
        <w:rPr>
          <w:rFonts w:ascii="Palatino Linotype" w:eastAsia="Times New Roman" w:hAnsi="Palatino Linotype" w:cs="Times New Roman"/>
          <w:shd w:val="clear" w:color="auto" w:fill="FFFFFF"/>
          <w:lang w:eastAsia="es-EC"/>
        </w:rPr>
      </w:pPr>
      <w:r w:rsidRPr="004E2297">
        <w:rPr>
          <w:rFonts w:ascii="Palatino Linotype" w:eastAsia="Times New Roman" w:hAnsi="Palatino Linotype" w:cs="Times New Roman"/>
          <w:b/>
          <w:bCs/>
          <w:lang w:eastAsia="es-EC"/>
        </w:rPr>
        <w:t>Que</w:t>
      </w:r>
      <w:r w:rsidRPr="004E2297">
        <w:rPr>
          <w:rFonts w:ascii="Palatino Linotype" w:eastAsia="Times New Roman" w:hAnsi="Palatino Linotype" w:cs="Times New Roman"/>
          <w:shd w:val="clear" w:color="auto" w:fill="FFFFFF"/>
          <w:lang w:eastAsia="es-EC"/>
        </w:rPr>
        <w:tab/>
        <w:t xml:space="preserve">el literal </w:t>
      </w:r>
      <w:r w:rsidR="00842DD5">
        <w:rPr>
          <w:rFonts w:ascii="Palatino Linotype" w:eastAsia="Times New Roman" w:hAnsi="Palatino Linotype" w:cs="Times New Roman"/>
          <w:shd w:val="clear" w:color="auto" w:fill="FFFFFF"/>
          <w:lang w:eastAsia="es-EC"/>
        </w:rPr>
        <w:t>t</w:t>
      </w:r>
      <w:r w:rsidRPr="004E2297">
        <w:rPr>
          <w:rFonts w:ascii="Palatino Linotype" w:eastAsia="Times New Roman" w:hAnsi="Palatino Linotype" w:cs="Times New Roman"/>
          <w:shd w:val="clear" w:color="auto" w:fill="FFFFFF"/>
          <w:lang w:eastAsia="es-EC"/>
        </w:rPr>
        <w:t xml:space="preserve">) del artículo 84 del COOTAD, establece entre las funciones del gobierno del distrito metropolitano, la siguiente: </w:t>
      </w:r>
      <w:r w:rsidRPr="004E2297">
        <w:rPr>
          <w:rFonts w:ascii="Palatino Linotype" w:eastAsia="Times New Roman" w:hAnsi="Palatino Linotype" w:cs="Times New Roman"/>
          <w:i/>
          <w:iCs/>
          <w:shd w:val="clear" w:color="auto" w:fill="FFFFFF"/>
          <w:lang w:eastAsia="es-EC"/>
        </w:rPr>
        <w:t>“(…) t) Implementar planes y programas destinados a la prevención integral del fenómeno socioeconómico de las drogas, conforme con las disposiciones legales sobre esta materia y en el marco de la política nacional; y, (…)”</w:t>
      </w:r>
      <w:r w:rsidRPr="004E2297">
        <w:rPr>
          <w:rFonts w:ascii="Palatino Linotype" w:eastAsia="Times New Roman" w:hAnsi="Palatino Linotype" w:cs="Times New Roman"/>
          <w:shd w:val="clear" w:color="auto" w:fill="FFFFFF"/>
          <w:lang w:eastAsia="es-EC"/>
        </w:rPr>
        <w:t>;</w:t>
      </w:r>
    </w:p>
    <w:p w14:paraId="05AE1E41" w14:textId="77777777" w:rsidR="00F83E29" w:rsidRPr="004E2297" w:rsidRDefault="00F83E29" w:rsidP="00F83E29">
      <w:pPr>
        <w:spacing w:after="0" w:line="240" w:lineRule="auto"/>
        <w:jc w:val="both"/>
        <w:rPr>
          <w:rFonts w:ascii="Palatino Linotype" w:eastAsia="Times New Roman" w:hAnsi="Palatino Linotype" w:cs="Times New Roman"/>
          <w:shd w:val="clear" w:color="auto" w:fill="FFFFFF"/>
          <w:lang w:eastAsia="es-EC"/>
        </w:rPr>
      </w:pPr>
    </w:p>
    <w:p w14:paraId="03CB5EF6" w14:textId="77777777" w:rsidR="00F83E29" w:rsidRPr="004E2297" w:rsidRDefault="00F83E29" w:rsidP="00F83E29">
      <w:pPr>
        <w:spacing w:after="0" w:line="240" w:lineRule="auto"/>
        <w:jc w:val="both"/>
        <w:rPr>
          <w:rFonts w:ascii="Palatino Linotype" w:eastAsia="Times New Roman" w:hAnsi="Palatino Linotype" w:cs="Times New Roman"/>
          <w:shd w:val="clear" w:color="auto" w:fill="FFFFFF"/>
          <w:lang w:eastAsia="es-EC"/>
        </w:rPr>
      </w:pPr>
      <w:r w:rsidRPr="004E2297">
        <w:rPr>
          <w:rFonts w:ascii="Palatino Linotype" w:eastAsia="Times New Roman" w:hAnsi="Palatino Linotype" w:cs="Times New Roman"/>
          <w:b/>
          <w:shd w:val="clear" w:color="auto" w:fill="FFFFFF"/>
          <w:lang w:eastAsia="es-EC"/>
        </w:rPr>
        <w:t xml:space="preserve">Que </w:t>
      </w:r>
      <w:r w:rsidRPr="004E2297">
        <w:rPr>
          <w:rFonts w:ascii="Palatino Linotype" w:eastAsia="Times New Roman" w:hAnsi="Palatino Linotype" w:cs="Times New Roman"/>
          <w:b/>
          <w:shd w:val="clear" w:color="auto" w:fill="FFFFFF"/>
          <w:lang w:eastAsia="es-EC"/>
        </w:rPr>
        <w:tab/>
      </w:r>
      <w:r w:rsidRPr="004E2297">
        <w:rPr>
          <w:rFonts w:ascii="Palatino Linotype" w:eastAsia="Times New Roman" w:hAnsi="Palatino Linotype" w:cs="Times New Roman"/>
          <w:shd w:val="clear" w:color="auto" w:fill="FFFFFF"/>
          <w:lang w:eastAsia="es-EC"/>
        </w:rPr>
        <w:t>los literales a) y d) del artículo 87 del COOTAD, establecen como atribuciones del</w:t>
      </w:r>
    </w:p>
    <w:p w14:paraId="2C06B173" w14:textId="77777777" w:rsidR="00F83E29" w:rsidRPr="004E2297" w:rsidRDefault="00F83E29" w:rsidP="00F83E29">
      <w:pPr>
        <w:spacing w:after="0" w:line="240" w:lineRule="auto"/>
        <w:ind w:left="708"/>
        <w:jc w:val="both"/>
        <w:rPr>
          <w:rFonts w:ascii="Palatino Linotype" w:eastAsia="Times New Roman" w:hAnsi="Palatino Linotype" w:cs="Times New Roman"/>
          <w:shd w:val="clear" w:color="auto" w:fill="FFFFFF"/>
          <w:lang w:eastAsia="es-EC"/>
        </w:rPr>
      </w:pPr>
      <w:r w:rsidRPr="004E2297">
        <w:rPr>
          <w:rFonts w:ascii="Palatino Linotype" w:eastAsia="Times New Roman" w:hAnsi="Palatino Linotype" w:cs="Times New Roman"/>
          <w:shd w:val="clear" w:color="auto" w:fill="FFFFFF"/>
          <w:lang w:eastAsia="es-EC"/>
        </w:rPr>
        <w:t>Concejo Metropolitano: "</w:t>
      </w:r>
      <w:r w:rsidRPr="004E2297">
        <w:rPr>
          <w:rFonts w:ascii="Palatino Linotype" w:eastAsia="Times New Roman" w:hAnsi="Palatino Linotype" w:cs="Times New Roman"/>
          <w:i/>
          <w:shd w:val="clear" w:color="auto" w:fill="FFFFFF"/>
          <w:lang w:eastAsia="es-EC"/>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p>
    <w:p w14:paraId="17D25774" w14:textId="77777777" w:rsidR="00F83E29" w:rsidRPr="004E2297" w:rsidRDefault="00F83E29" w:rsidP="00F83E29">
      <w:pPr>
        <w:spacing w:after="0" w:line="240" w:lineRule="auto"/>
        <w:jc w:val="both"/>
        <w:rPr>
          <w:rFonts w:ascii="Palatino Linotype" w:eastAsia="Times New Roman" w:hAnsi="Palatino Linotype" w:cs="Times New Roman"/>
          <w:shd w:val="clear" w:color="auto" w:fill="FFFFFF"/>
          <w:lang w:eastAsia="es-EC"/>
        </w:rPr>
      </w:pPr>
    </w:p>
    <w:p w14:paraId="7B71CC56" w14:textId="77777777" w:rsidR="00F83E29" w:rsidRPr="004E2297" w:rsidRDefault="00F83E29" w:rsidP="00F83E29">
      <w:pPr>
        <w:spacing w:after="0" w:line="240" w:lineRule="auto"/>
        <w:ind w:left="705" w:hanging="705"/>
        <w:jc w:val="both"/>
        <w:rPr>
          <w:rFonts w:ascii="Palatino Linotype" w:hAnsi="Palatino Linotype" w:cs="Times New Roman"/>
          <w:i/>
        </w:rPr>
      </w:pPr>
      <w:r w:rsidRPr="004E2297">
        <w:rPr>
          <w:rFonts w:ascii="Palatino Linotype" w:hAnsi="Palatino Linotype" w:cs="Times New Roman"/>
          <w:b/>
        </w:rPr>
        <w:t>Que</w:t>
      </w:r>
      <w:r w:rsidRPr="004E2297">
        <w:rPr>
          <w:rFonts w:ascii="Palatino Linotype" w:hAnsi="Palatino Linotype" w:cs="Times New Roman"/>
        </w:rPr>
        <w:tab/>
        <w:t>el artículo 323 del COOTAD, dispone: "</w:t>
      </w:r>
      <w:r w:rsidRPr="004E2297">
        <w:rPr>
          <w:rFonts w:ascii="Palatino Linotype" w:hAnsi="Palatino Linotype" w:cs="Times New Roman"/>
          <w:i/>
        </w:rPr>
        <w:t>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14:paraId="57B8FF38" w14:textId="77777777" w:rsidR="00F83E29" w:rsidRPr="004E2297" w:rsidRDefault="00F83E29" w:rsidP="00F83E29">
      <w:pPr>
        <w:spacing w:after="0" w:line="240" w:lineRule="auto"/>
        <w:ind w:left="705" w:hanging="705"/>
        <w:jc w:val="both"/>
        <w:rPr>
          <w:rFonts w:ascii="Palatino Linotype" w:eastAsia="Times New Roman" w:hAnsi="Palatino Linotype" w:cs="Times New Roman"/>
          <w:i/>
          <w:shd w:val="clear" w:color="auto" w:fill="FFFFFF"/>
          <w:lang w:eastAsia="es-EC"/>
        </w:rPr>
      </w:pPr>
    </w:p>
    <w:p w14:paraId="0BD98ED6" w14:textId="31BE4E70" w:rsidR="00861157" w:rsidRDefault="00F83E29">
      <w:pPr>
        <w:spacing w:after="0" w:line="240" w:lineRule="auto"/>
        <w:ind w:left="705" w:hanging="705"/>
        <w:jc w:val="both"/>
        <w:rPr>
          <w:rFonts w:ascii="Palatino Linotype" w:hAnsi="Palatino Linotype" w:cs="Times New Roman"/>
        </w:rPr>
      </w:pPr>
      <w:r w:rsidRPr="004E2297">
        <w:rPr>
          <w:rFonts w:ascii="Palatino Linotype" w:hAnsi="Palatino Linotype" w:cs="Times New Roman"/>
          <w:b/>
        </w:rPr>
        <w:t>Que</w:t>
      </w:r>
      <w:r w:rsidRPr="004E2297">
        <w:rPr>
          <w:rFonts w:ascii="Palatino Linotype" w:hAnsi="Palatino Linotype" w:cs="Times New Roman"/>
        </w:rPr>
        <w:tab/>
      </w:r>
      <w:r w:rsidR="00861157">
        <w:rPr>
          <w:rFonts w:ascii="Palatino Linotype" w:hAnsi="Palatino Linotype" w:cs="Times New Roman"/>
        </w:rPr>
        <w:t xml:space="preserve">el artículo </w:t>
      </w:r>
      <w:r w:rsidR="00861157" w:rsidRPr="00861157">
        <w:rPr>
          <w:rFonts w:ascii="Palatino Linotype" w:hAnsi="Palatino Linotype" w:cs="Times New Roman"/>
        </w:rPr>
        <w:t>520</w:t>
      </w:r>
      <w:r w:rsidR="00861157">
        <w:rPr>
          <w:rFonts w:ascii="Palatino Linotype" w:hAnsi="Palatino Linotype" w:cs="Times New Roman"/>
        </w:rPr>
        <w:t xml:space="preserve"> del Código Municipal, establece que la gestión</w:t>
      </w:r>
      <w:r w:rsidR="00861157" w:rsidRPr="00861157">
        <w:rPr>
          <w:rFonts w:ascii="Palatino Linotype" w:hAnsi="Palatino Linotype" w:cs="Times New Roman"/>
        </w:rPr>
        <w:t xml:space="preserve"> para la prevención y atención integral del</w:t>
      </w:r>
      <w:r w:rsidR="00861157">
        <w:rPr>
          <w:rFonts w:ascii="Palatino Linotype" w:hAnsi="Palatino Linotype" w:cs="Times New Roman"/>
        </w:rPr>
        <w:t xml:space="preserve"> </w:t>
      </w:r>
      <w:r w:rsidR="00861157" w:rsidRPr="00861157">
        <w:rPr>
          <w:rFonts w:ascii="Palatino Linotype" w:hAnsi="Palatino Linotype" w:cs="Times New Roman"/>
        </w:rPr>
        <w:t>fenómeno biopsicosocial y económico por el uso y consumo de</w:t>
      </w:r>
      <w:r w:rsidR="00861157">
        <w:rPr>
          <w:rFonts w:ascii="Palatino Linotype" w:hAnsi="Palatino Linotype" w:cs="Times New Roman"/>
        </w:rPr>
        <w:t xml:space="preserve"> </w:t>
      </w:r>
      <w:r w:rsidR="00861157" w:rsidRPr="00861157">
        <w:rPr>
          <w:rFonts w:ascii="Palatino Linotype" w:hAnsi="Palatino Linotype" w:cs="Times New Roman"/>
        </w:rPr>
        <w:t>alcohol, tabaco y otras drogas</w:t>
      </w:r>
      <w:r w:rsidR="00861157">
        <w:rPr>
          <w:rFonts w:ascii="Palatino Linotype" w:hAnsi="Palatino Linotype" w:cs="Times New Roman"/>
        </w:rPr>
        <w:t xml:space="preserve">, conforme lo establecido en el artículo </w:t>
      </w:r>
      <w:r w:rsidR="00861157" w:rsidRPr="00861157">
        <w:rPr>
          <w:rFonts w:ascii="Palatino Linotype" w:hAnsi="Palatino Linotype" w:cs="Times New Roman"/>
        </w:rPr>
        <w:t>520</w:t>
      </w:r>
      <w:r w:rsidR="00861157">
        <w:rPr>
          <w:rFonts w:ascii="Palatino Linotype" w:hAnsi="Palatino Linotype" w:cs="Times New Roman"/>
        </w:rPr>
        <w:t xml:space="preserve"> del COOTAD, corresponde al e</w:t>
      </w:r>
      <w:r w:rsidR="00861157" w:rsidRPr="00861157">
        <w:rPr>
          <w:rFonts w:ascii="Palatino Linotype" w:hAnsi="Palatino Linotype" w:cs="Times New Roman"/>
        </w:rPr>
        <w:t xml:space="preserve">nte metropolitano responsable de la salud </w:t>
      </w:r>
      <w:r w:rsidR="00861157" w:rsidRPr="00861157">
        <w:rPr>
          <w:rFonts w:ascii="Palatino Linotype" w:hAnsi="Palatino Linotype" w:cs="Times New Roman"/>
        </w:rPr>
        <w:lastRenderedPageBreak/>
        <w:t>pública en el</w:t>
      </w:r>
      <w:r w:rsidR="00861157">
        <w:rPr>
          <w:rFonts w:ascii="Palatino Linotype" w:hAnsi="Palatino Linotype" w:cs="Times New Roman"/>
        </w:rPr>
        <w:t xml:space="preserve"> </w:t>
      </w:r>
      <w:r w:rsidR="00861157" w:rsidRPr="00861157">
        <w:rPr>
          <w:rFonts w:ascii="Palatino Linotype" w:hAnsi="Palatino Linotype" w:cs="Times New Roman"/>
        </w:rPr>
        <w:t>Gobierno Autónomo Descentralizado del D</w:t>
      </w:r>
      <w:r w:rsidR="00861157">
        <w:rPr>
          <w:rFonts w:ascii="Palatino Linotype" w:hAnsi="Palatino Linotype" w:cs="Times New Roman"/>
        </w:rPr>
        <w:t>istrito Metropolitano de Quito.</w:t>
      </w:r>
    </w:p>
    <w:p w14:paraId="69C864C2" w14:textId="47CE4449" w:rsidR="00861157" w:rsidRDefault="00861157">
      <w:pPr>
        <w:spacing w:after="0" w:line="240" w:lineRule="auto"/>
        <w:ind w:left="705" w:hanging="705"/>
        <w:jc w:val="both"/>
        <w:rPr>
          <w:rFonts w:ascii="Palatino Linotype" w:hAnsi="Palatino Linotype" w:cs="Times New Roman"/>
        </w:rPr>
      </w:pPr>
    </w:p>
    <w:p w14:paraId="202FDDBA" w14:textId="070DCCC6" w:rsidR="00861157" w:rsidRPr="00D327B7" w:rsidRDefault="00861157" w:rsidP="00861157">
      <w:pPr>
        <w:spacing w:after="0" w:line="240" w:lineRule="auto"/>
        <w:ind w:left="705" w:hanging="705"/>
        <w:jc w:val="both"/>
        <w:rPr>
          <w:rFonts w:ascii="Palatino Linotype" w:hAnsi="Palatino Linotype" w:cs="Times New Roman"/>
          <w:i/>
        </w:rPr>
      </w:pPr>
      <w:r w:rsidRPr="00D327B7">
        <w:rPr>
          <w:rFonts w:ascii="Palatino Linotype" w:hAnsi="Palatino Linotype" w:cs="Times New Roman"/>
          <w:b/>
        </w:rPr>
        <w:t>Que</w:t>
      </w:r>
      <w:r w:rsidRPr="00D327B7">
        <w:rPr>
          <w:rFonts w:ascii="Palatino Linotype" w:hAnsi="Palatino Linotype" w:cs="Times New Roman"/>
          <w:b/>
        </w:rPr>
        <w:tab/>
      </w:r>
      <w:r>
        <w:rPr>
          <w:rFonts w:ascii="Palatino Linotype" w:hAnsi="Palatino Linotype" w:cs="Times New Roman"/>
        </w:rPr>
        <w:t>el artículo 521 del Código Municipal, l</w:t>
      </w:r>
      <w:r w:rsidRPr="00861157">
        <w:rPr>
          <w:rFonts w:ascii="Palatino Linotype" w:hAnsi="Palatino Linotype" w:cs="Times New Roman"/>
        </w:rPr>
        <w:t>a Secretaría de Salud o</w:t>
      </w:r>
      <w:r>
        <w:rPr>
          <w:rFonts w:ascii="Palatino Linotype" w:hAnsi="Palatino Linotype" w:cs="Times New Roman"/>
        </w:rPr>
        <w:t xml:space="preserve"> </w:t>
      </w:r>
      <w:r w:rsidRPr="00861157">
        <w:rPr>
          <w:rFonts w:ascii="Palatino Linotype" w:hAnsi="Palatino Linotype" w:cs="Times New Roman"/>
        </w:rPr>
        <w:t xml:space="preserve">quién haga sus veces, </w:t>
      </w:r>
      <w:r>
        <w:rPr>
          <w:rFonts w:ascii="Palatino Linotype" w:hAnsi="Palatino Linotype" w:cs="Times New Roman"/>
        </w:rPr>
        <w:t>“</w:t>
      </w:r>
      <w:r w:rsidRPr="00D327B7">
        <w:rPr>
          <w:rFonts w:ascii="Palatino Linotype" w:hAnsi="Palatino Linotype" w:cs="Times New Roman"/>
          <w:i/>
        </w:rPr>
        <w:t>incorporará los programas, proyectos o planes permanentes y necesarios a los Planes Operativos Anuales de las Unidades Metropolitanas de Salud y adecuará sus Planes Anuales de Contratación para el cumplimiento de lo dispuesto en el presente Título.</w:t>
      </w:r>
    </w:p>
    <w:p w14:paraId="6953F648" w14:textId="77777777" w:rsidR="00861157" w:rsidRDefault="00861157" w:rsidP="00861157">
      <w:pPr>
        <w:spacing w:after="0" w:line="240" w:lineRule="auto"/>
        <w:ind w:left="705" w:hanging="705"/>
        <w:jc w:val="both"/>
        <w:rPr>
          <w:rFonts w:ascii="Palatino Linotype" w:hAnsi="Palatino Linotype" w:cs="Times New Roman"/>
          <w:i/>
        </w:rPr>
      </w:pPr>
      <w:r w:rsidRPr="00D327B7">
        <w:rPr>
          <w:rFonts w:ascii="Palatino Linotype" w:hAnsi="Palatino Linotype" w:cs="Times New Roman"/>
          <w:i/>
        </w:rPr>
        <w:tab/>
      </w:r>
    </w:p>
    <w:p w14:paraId="6F23EA79" w14:textId="35946CB6" w:rsidR="00F83E29" w:rsidRPr="00861157" w:rsidRDefault="00861157" w:rsidP="00861157">
      <w:pPr>
        <w:spacing w:after="0" w:line="240" w:lineRule="auto"/>
        <w:ind w:left="705" w:hanging="705"/>
        <w:jc w:val="both"/>
        <w:rPr>
          <w:rFonts w:ascii="Palatino Linotype" w:eastAsia="Times New Roman" w:hAnsi="Palatino Linotype" w:cs="Times New Roman"/>
          <w:i/>
          <w:shd w:val="clear" w:color="auto" w:fill="FFFFFF"/>
          <w:lang w:eastAsia="es-EC"/>
        </w:rPr>
      </w:pPr>
      <w:r>
        <w:rPr>
          <w:rFonts w:ascii="Palatino Linotype" w:hAnsi="Palatino Linotype" w:cs="Times New Roman"/>
          <w:i/>
        </w:rPr>
        <w:tab/>
      </w:r>
      <w:r w:rsidRPr="00D327B7">
        <w:rPr>
          <w:rFonts w:ascii="Palatino Linotype" w:hAnsi="Palatino Linotype" w:cs="Times New Roman"/>
          <w:i/>
        </w:rPr>
        <w:t>Todo plan, programa o proyecto incorporado e implementado para el cumplimiento de lo dispuesto en el presente Título, debe observar las competencias metropolitanas dadas por la normativa vigente y los correspondientes lineamientos emitidos por el Comité Interinstitucional para la prevención del fenómeno de uso y consumo de drogas, o quién haga sus veces, así como las directrices pertinentes que emane de la Autoridad Sanitaria Nacional o Ente Rector de la Salud Pública del Ecuador</w:t>
      </w:r>
      <w:r>
        <w:rPr>
          <w:rFonts w:ascii="Palatino Linotype" w:hAnsi="Palatino Linotype" w:cs="Times New Roman"/>
          <w:i/>
        </w:rPr>
        <w:t>”</w:t>
      </w:r>
      <w:r w:rsidRPr="00D327B7">
        <w:rPr>
          <w:rFonts w:ascii="Palatino Linotype" w:hAnsi="Palatino Linotype" w:cs="Times New Roman"/>
          <w:i/>
        </w:rPr>
        <w:t>.</w:t>
      </w:r>
    </w:p>
    <w:p w14:paraId="4FE709B6" w14:textId="77777777" w:rsidR="00F83E29" w:rsidRPr="00861157" w:rsidRDefault="00F83E29" w:rsidP="00F83E29">
      <w:pPr>
        <w:spacing w:after="0" w:line="240" w:lineRule="auto"/>
        <w:ind w:left="705" w:hanging="705"/>
        <w:jc w:val="both"/>
        <w:rPr>
          <w:rFonts w:ascii="Palatino Linotype" w:eastAsia="Times New Roman" w:hAnsi="Palatino Linotype" w:cs="Times New Roman"/>
          <w:i/>
          <w:shd w:val="clear" w:color="auto" w:fill="FFFFFF"/>
          <w:lang w:eastAsia="es-EC"/>
        </w:rPr>
      </w:pPr>
    </w:p>
    <w:p w14:paraId="040E34C2" w14:textId="40CC1459" w:rsidR="00F83E29" w:rsidRPr="004E2297" w:rsidRDefault="00F83E29" w:rsidP="00F83E29">
      <w:pPr>
        <w:spacing w:after="0" w:line="240" w:lineRule="auto"/>
        <w:ind w:left="705" w:hanging="705"/>
        <w:jc w:val="both"/>
        <w:rPr>
          <w:rFonts w:ascii="Palatino Linotype" w:hAnsi="Palatino Linotype"/>
          <w:i/>
          <w:iCs/>
        </w:rPr>
      </w:pPr>
      <w:r w:rsidRPr="004E2297">
        <w:rPr>
          <w:rFonts w:ascii="Palatino Linotype" w:hAnsi="Palatino Linotype"/>
          <w:b/>
          <w:bCs/>
        </w:rPr>
        <w:t>Que,</w:t>
      </w:r>
      <w:r w:rsidRPr="004E2297">
        <w:rPr>
          <w:rFonts w:ascii="Palatino Linotype" w:hAnsi="Palatino Linotype"/>
          <w:b/>
          <w:bCs/>
        </w:rPr>
        <w:tab/>
      </w:r>
      <w:r w:rsidRPr="004E2297">
        <w:rPr>
          <w:rFonts w:ascii="Palatino Linotype" w:hAnsi="Palatino Linotype"/>
        </w:rPr>
        <w:t>el artículo 522 del Código Municipal</w:t>
      </w:r>
      <w:r w:rsidR="00F341FD">
        <w:rPr>
          <w:rFonts w:ascii="Palatino Linotype" w:hAnsi="Palatino Linotype"/>
        </w:rPr>
        <w:t>,</w:t>
      </w:r>
      <w:r w:rsidRPr="004E2297">
        <w:rPr>
          <w:rFonts w:ascii="Palatino Linotype" w:hAnsi="Palatino Linotype"/>
        </w:rPr>
        <w:t xml:space="preserve"> determina: </w:t>
      </w:r>
      <w:r w:rsidRPr="004E2297">
        <w:rPr>
          <w:rFonts w:ascii="Palatino Linotype" w:hAnsi="Palatino Linotype"/>
          <w:i/>
          <w:iCs/>
        </w:rPr>
        <w:t>“(…) La Dirección Metropolitana responsable de la Promoción de la Salud y Prevención de la Enfermedad, a través de la Coordinación de Prevención Integral de Adicciones, o quienes hagan sus veces, actuará como ejecutor de los planes, programas o proyectos que sean incorporados de forma permanente al Plan Operativo Anual en el ámbito de la promoción y prevención integral del fenómeno biopsicosocial y económico por el uso y consumo de alcohol, tabaco y otras drogas.(…)”;</w:t>
      </w:r>
    </w:p>
    <w:p w14:paraId="300ABA23" w14:textId="77777777" w:rsidR="00F83E29" w:rsidRPr="004E2297" w:rsidRDefault="00F83E29" w:rsidP="00F83E29">
      <w:pPr>
        <w:spacing w:after="0" w:line="240" w:lineRule="auto"/>
        <w:ind w:left="705" w:hanging="705"/>
        <w:jc w:val="both"/>
        <w:rPr>
          <w:rFonts w:ascii="Palatino Linotype" w:hAnsi="Palatino Linotype"/>
        </w:rPr>
      </w:pPr>
    </w:p>
    <w:p w14:paraId="2693AB61" w14:textId="22C327AE" w:rsidR="00F83E29" w:rsidRPr="004E2297" w:rsidRDefault="00F83E29" w:rsidP="00F83E29">
      <w:pPr>
        <w:spacing w:after="0" w:line="240" w:lineRule="auto"/>
        <w:ind w:left="709" w:hanging="709"/>
        <w:jc w:val="both"/>
        <w:rPr>
          <w:rFonts w:ascii="Palatino Linotype" w:hAnsi="Palatino Linotype"/>
        </w:rPr>
      </w:pPr>
      <w:r w:rsidRPr="004E2297">
        <w:rPr>
          <w:rFonts w:ascii="Palatino Linotype" w:hAnsi="Palatino Linotype"/>
          <w:b/>
        </w:rPr>
        <w:t>Que</w:t>
      </w:r>
      <w:r w:rsidRPr="004E2297">
        <w:rPr>
          <w:rFonts w:ascii="Palatino Linotype" w:hAnsi="Palatino Linotype"/>
        </w:rPr>
        <w:t>,</w:t>
      </w:r>
      <w:r w:rsidRPr="004E2297">
        <w:rPr>
          <w:rFonts w:ascii="Palatino Linotype" w:hAnsi="Palatino Linotype"/>
        </w:rPr>
        <w:tab/>
        <w:t>con oficio No. EMS-GG-2023-0423-O de 03 de abril de 2023, el Mgs. Jaime Bucheli Albán, Gerente General de la EP EMSEGURIDAD de esa fecha, remitió al Procurador Metropolitano y a la enton</w:t>
      </w:r>
      <w:r w:rsidR="004B23C9">
        <w:rPr>
          <w:rFonts w:ascii="Palatino Linotype" w:hAnsi="Palatino Linotype"/>
        </w:rPr>
        <w:t>c</w:t>
      </w:r>
      <w:r w:rsidRPr="004E2297">
        <w:rPr>
          <w:rFonts w:ascii="Palatino Linotype" w:hAnsi="Palatino Linotype"/>
        </w:rPr>
        <w:t xml:space="preserve">es Concejala Metropolitana y Presidenta de la Comisión de Igualdad de Género e Inclusión Social, el informe Jurídico emitido con memorando No. EMS-DJ-2023-0273-M, de 03 de abril de 2023, en el que se consideró pertinente la actualización de la Resolución C-0098 de 29 de enero de 2009 reformada con Resolución No. C-0182 de 22 de junio de 2017 a fin de que sea la Secretaria de Salud la entidad responsable de realizar la selección de propuestas y consecuentemente el financiamiento de la campaña anual para prevención de consumo de alcohol y otras drogas; </w:t>
      </w:r>
    </w:p>
    <w:p w14:paraId="0A2279D7" w14:textId="77777777" w:rsidR="00F83E29" w:rsidRPr="004E2297" w:rsidRDefault="00F83E29" w:rsidP="00F83E29">
      <w:pPr>
        <w:spacing w:after="0" w:line="240" w:lineRule="auto"/>
        <w:ind w:left="567" w:hanging="567"/>
        <w:jc w:val="both"/>
        <w:rPr>
          <w:rFonts w:ascii="Palatino Linotype" w:hAnsi="Palatino Linotype"/>
        </w:rPr>
      </w:pPr>
    </w:p>
    <w:p w14:paraId="3A2AEFB0" w14:textId="667B7FD3" w:rsidR="00F83E29" w:rsidRPr="004E2297" w:rsidRDefault="00F83E29" w:rsidP="00F83E29">
      <w:pPr>
        <w:spacing w:after="0" w:line="240" w:lineRule="auto"/>
        <w:ind w:left="709" w:hanging="709"/>
        <w:jc w:val="both"/>
        <w:rPr>
          <w:rFonts w:ascii="Palatino Linotype" w:hAnsi="Palatino Linotype"/>
          <w:i/>
        </w:rPr>
      </w:pPr>
      <w:r w:rsidRPr="004E2297">
        <w:rPr>
          <w:rFonts w:ascii="Palatino Linotype" w:hAnsi="Palatino Linotype"/>
          <w:b/>
        </w:rPr>
        <w:t>Que</w:t>
      </w:r>
      <w:r w:rsidRPr="004E2297">
        <w:rPr>
          <w:rFonts w:ascii="Palatino Linotype" w:hAnsi="Palatino Linotype"/>
        </w:rPr>
        <w:t xml:space="preserve">, </w:t>
      </w:r>
      <w:r w:rsidRPr="004E2297">
        <w:rPr>
          <w:rFonts w:ascii="Palatino Linotype" w:hAnsi="Palatino Linotype"/>
        </w:rPr>
        <w:tab/>
        <w:t xml:space="preserve">con oficio No. GADDMQ-SIS-2023-0283-O, de 26 de abril de 2023, el Secretario de Inclusión Social, a esa fecha, remitió a la EP EMSEGURIDAD el Informe para </w:t>
      </w:r>
      <w:r w:rsidR="004218EC">
        <w:rPr>
          <w:rFonts w:ascii="Palatino Linotype" w:hAnsi="Palatino Linotype"/>
        </w:rPr>
        <w:t>recomendación de</w:t>
      </w:r>
      <w:r w:rsidRPr="004E2297">
        <w:rPr>
          <w:rFonts w:ascii="Palatino Linotype" w:hAnsi="Palatino Linotype"/>
        </w:rPr>
        <w:t xml:space="preserve"> reforma de la Resolución C-0182 de 22 de junio de 2017</w:t>
      </w:r>
      <w:r w:rsidR="00811797">
        <w:rPr>
          <w:rFonts w:ascii="Palatino Linotype" w:hAnsi="Palatino Linotype"/>
        </w:rPr>
        <w:t xml:space="preserve">, </w:t>
      </w:r>
      <w:r w:rsidRPr="004E2297">
        <w:rPr>
          <w:rFonts w:ascii="Palatino Linotype" w:hAnsi="Palatino Linotype"/>
        </w:rPr>
        <w:t>concluyendo: “</w:t>
      </w:r>
      <w:r w:rsidRPr="004E2297">
        <w:rPr>
          <w:rFonts w:ascii="Palatino Linotype" w:hAnsi="Palatino Linotype"/>
          <w:i/>
        </w:rPr>
        <w:t xml:space="preserve">A partir de la vigencia de la Resolución No. C-0182 de 22 de junio de 2017 se han desarrollado cuatro campañas diferentes sobre prevención del consumo de alcohol (y otras drogas) en el DMQ. La ejecución de las distintas propuestas técnico-metodológicas en prevención del consumo de alcohol le ha costado a la ciudad aproximadamente USD 250.000 (doscientos cincuenta mil dólares con 00/100 de los Estados Unidos de Norteamérica), procedentes de la tasa de Seguridad. Los resultados de estas campañas se encuentran en los respectivos informes de cada Convenio. Sin embargo, no existen datos técnicos sobre el impacto o la incidencia de dichas campañas en la población del DMQ; ya que, al ser acciones puntuales genera complicaciones en la </w:t>
      </w:r>
      <w:r w:rsidRPr="004E2297">
        <w:rPr>
          <w:rFonts w:ascii="Palatino Linotype" w:hAnsi="Palatino Linotype"/>
          <w:i/>
        </w:rPr>
        <w:lastRenderedPageBreak/>
        <w:t>evaluación de las mismas. Además, la evidencia establece que las campañas comunicacionales deben enlazarse con otras acciones preventivas</w:t>
      </w:r>
      <w:r w:rsidRPr="004E2297">
        <w:rPr>
          <w:rFonts w:ascii="Palatino Linotype" w:hAnsi="Palatino Linotype"/>
        </w:rPr>
        <w:t xml:space="preserve">. </w:t>
      </w:r>
      <w:r w:rsidRPr="004E2297">
        <w:rPr>
          <w:rFonts w:ascii="Palatino Linotype" w:hAnsi="Palatino Linotype"/>
          <w:i/>
        </w:rPr>
        <w:t xml:space="preserve">(…) </w:t>
      </w:r>
      <w:r w:rsidR="00811797" w:rsidRPr="00D327B7">
        <w:rPr>
          <w:rFonts w:ascii="Palatino Linotype" w:hAnsi="Palatino Linotype"/>
          <w:b/>
          <w:i/>
        </w:rPr>
        <w:t>RECOMENDACIONES:</w:t>
      </w:r>
      <w:r w:rsidR="00811797">
        <w:rPr>
          <w:rFonts w:ascii="Palatino Linotype" w:hAnsi="Palatino Linotype"/>
          <w:i/>
        </w:rPr>
        <w:t xml:space="preserve"> </w:t>
      </w:r>
      <w:r w:rsidR="008A2555">
        <w:rPr>
          <w:rFonts w:ascii="Palatino Linotype" w:hAnsi="Palatino Linotype"/>
          <w:i/>
        </w:rPr>
        <w:t>L</w:t>
      </w:r>
      <w:r w:rsidRPr="004E2297">
        <w:rPr>
          <w:rFonts w:ascii="Palatino Linotype" w:hAnsi="Palatino Linotype"/>
          <w:i/>
        </w:rPr>
        <w:t>a</w:t>
      </w:r>
      <w:r w:rsidR="00811797">
        <w:rPr>
          <w:rFonts w:ascii="Palatino Linotype" w:hAnsi="Palatino Linotype"/>
          <w:i/>
        </w:rPr>
        <w:t xml:space="preserve"> </w:t>
      </w:r>
      <w:r w:rsidRPr="004E2297">
        <w:rPr>
          <w:rFonts w:ascii="Palatino Linotype" w:hAnsi="Palatino Linotype"/>
          <w:i/>
        </w:rPr>
        <w:t>Empresa Pública Metropolitana de Logística para la Seguridad y Convivencia Ciudadana EP EMSEGURIDAD que, en el marco de sus competencias y atribuciones; y salvo mejor criterio, solicite al Concejo Metropolitano de Quito reformar o dejar sin efecto la Resolución No. C-0182 de 22 de junio de 2017.</w:t>
      </w:r>
      <w:r w:rsidRPr="004E2297">
        <w:rPr>
          <w:rFonts w:ascii="Palatino Linotype" w:hAnsi="Palatino Linotype"/>
        </w:rPr>
        <w:t xml:space="preserve">”; </w:t>
      </w:r>
    </w:p>
    <w:p w14:paraId="1C3A0270" w14:textId="77777777" w:rsidR="00F83E29" w:rsidRPr="004E2297" w:rsidRDefault="00F83E29" w:rsidP="00F83E29">
      <w:pPr>
        <w:spacing w:after="0" w:line="240" w:lineRule="auto"/>
        <w:ind w:left="709" w:hanging="709"/>
        <w:jc w:val="both"/>
        <w:rPr>
          <w:rFonts w:ascii="Palatino Linotype" w:hAnsi="Palatino Linotype"/>
        </w:rPr>
      </w:pPr>
    </w:p>
    <w:p w14:paraId="787C51CF" w14:textId="77777777" w:rsidR="00F83E29" w:rsidRPr="004E2297" w:rsidRDefault="00F83E29" w:rsidP="00F83E29">
      <w:pPr>
        <w:spacing w:after="0" w:line="240" w:lineRule="auto"/>
        <w:ind w:left="709" w:hanging="709"/>
        <w:jc w:val="both"/>
        <w:rPr>
          <w:rFonts w:ascii="Palatino Linotype" w:hAnsi="Palatino Linotype"/>
          <w:i/>
        </w:rPr>
      </w:pPr>
      <w:r w:rsidRPr="004E2297">
        <w:rPr>
          <w:rFonts w:ascii="Palatino Linotype" w:hAnsi="Palatino Linotype"/>
          <w:b/>
        </w:rPr>
        <w:t>Que</w:t>
      </w:r>
      <w:r w:rsidRPr="004E2297">
        <w:rPr>
          <w:rFonts w:ascii="Palatino Linotype" w:hAnsi="Palatino Linotype"/>
        </w:rPr>
        <w:t xml:space="preserve">, </w:t>
      </w:r>
      <w:r w:rsidRPr="004E2297">
        <w:rPr>
          <w:rFonts w:ascii="Palatino Linotype" w:hAnsi="Palatino Linotype"/>
        </w:rPr>
        <w:tab/>
        <w:t>con memorando No. EMS-DJ-2023-0403-M, de 09 de junio de 2023, la Directora Jurídica de la EP EMSEGURIDAD de la fecha, presentó el “</w:t>
      </w:r>
      <w:r w:rsidRPr="004E2297">
        <w:rPr>
          <w:rFonts w:ascii="Palatino Linotype" w:hAnsi="Palatino Linotype"/>
          <w:i/>
        </w:rPr>
        <w:t>Informe del Programa prevenir el consumo de alcohol y otras drogas, en adolescentes y jóvenes en todos los distintos eventos y festividades con énfasis durante la programación de fiestas de Quito</w:t>
      </w:r>
      <w:r w:rsidRPr="004E2297">
        <w:rPr>
          <w:rFonts w:ascii="Palatino Linotype" w:hAnsi="Palatino Linotype"/>
        </w:rPr>
        <w:t>”, en el que señaló en su parte pertinente: “</w:t>
      </w:r>
      <w:r w:rsidRPr="004E2297">
        <w:rPr>
          <w:rFonts w:ascii="Palatino Linotype" w:hAnsi="Palatino Linotype"/>
          <w:i/>
        </w:rPr>
        <w:t>Si bien previo a la entrada en vigencia de la Ordenanza 002-2023 de 24 de enero de 2023, podría haberse aducido que la prevención del consumo de alcohol y otras drogas era materia de seguridad ciudadana como una acción de involucramiento de la comunidad en la convivencia a nivel local; la entrada en vigencia de la Ordenanza 002-2023 expresamente establece dichas acciones como de prevención de adicciones, atribuyendo expresamente la competencia para el efecto a la Dirección Metropolitana responsable de la Promoción de la Salud y Prevención de la Enfermedad</w:t>
      </w:r>
      <w:r w:rsidRPr="004E2297">
        <w:rPr>
          <w:rFonts w:ascii="Palatino Linotype" w:hAnsi="Palatino Linotype"/>
        </w:rPr>
        <w:t xml:space="preserve"> </w:t>
      </w:r>
      <w:r w:rsidRPr="004E2297">
        <w:rPr>
          <w:rFonts w:ascii="Palatino Linotype" w:hAnsi="Palatino Linotype"/>
          <w:i/>
        </w:rPr>
        <w:t>(…) es recomendable ponerlo en conocimiento de la Comisión Igualdad, Género e Inclusión Social solicitando expresamente la derogatoria de la Resolución C-0098 de 29 de enero de 2009, reformada con la Resolución No. C-0182 de 22 de junio de 2017, a fin de que sea la Secretaría de Salud la entidad responsable de analizar la pertinencia de realizar o no la campaña anual para prevención de consumo de alcohol y otras drogas”;</w:t>
      </w:r>
    </w:p>
    <w:p w14:paraId="545B6B35" w14:textId="77777777" w:rsidR="00F83E29" w:rsidRPr="004E2297" w:rsidRDefault="00F83E29" w:rsidP="00F83E29">
      <w:pPr>
        <w:spacing w:after="0" w:line="240" w:lineRule="auto"/>
        <w:ind w:left="709" w:hanging="709"/>
        <w:jc w:val="both"/>
        <w:rPr>
          <w:rFonts w:ascii="Palatino Linotype" w:hAnsi="Palatino Linotype"/>
          <w:i/>
        </w:rPr>
      </w:pPr>
    </w:p>
    <w:p w14:paraId="675242B5" w14:textId="48F2F1C8" w:rsidR="00F83E29" w:rsidRPr="004E2297" w:rsidRDefault="00F83E29" w:rsidP="00F83E29">
      <w:pPr>
        <w:spacing w:after="0" w:line="240" w:lineRule="auto"/>
        <w:ind w:left="709" w:hanging="709"/>
        <w:jc w:val="both"/>
        <w:rPr>
          <w:rFonts w:ascii="Palatino Linotype" w:hAnsi="Palatino Linotype"/>
        </w:rPr>
      </w:pPr>
      <w:r w:rsidRPr="004E2297">
        <w:rPr>
          <w:rFonts w:ascii="Palatino Linotype" w:hAnsi="Palatino Linotype" w:cstheme="minorHAnsi"/>
          <w:b/>
        </w:rPr>
        <w:t>Que</w:t>
      </w:r>
      <w:r w:rsidRPr="004E2297">
        <w:rPr>
          <w:rFonts w:ascii="Palatino Linotype" w:hAnsi="Palatino Linotype" w:cstheme="minorHAnsi"/>
        </w:rPr>
        <w:t>,</w:t>
      </w:r>
      <w:r w:rsidRPr="004E2297">
        <w:rPr>
          <w:rFonts w:ascii="Palatino Linotype" w:hAnsi="Palatino Linotype" w:cstheme="minorHAnsi"/>
        </w:rPr>
        <w:tab/>
      </w:r>
      <w:r w:rsidRPr="004E2297">
        <w:rPr>
          <w:rFonts w:ascii="Palatino Linotype" w:eastAsia="Times New Roman" w:hAnsi="Palatino Linotype" w:cstheme="minorHAnsi"/>
          <w:shd w:val="clear" w:color="auto" w:fill="FFFFFF"/>
          <w:lang w:eastAsia="es-ES"/>
        </w:rPr>
        <w:t>el artículo 3 de la Resolución No. EMS-GG-2023-041,</w:t>
      </w:r>
      <w:r w:rsidR="005B07E0">
        <w:rPr>
          <w:rFonts w:ascii="Palatino Linotype" w:eastAsia="Times New Roman" w:hAnsi="Palatino Linotype" w:cstheme="minorHAnsi"/>
          <w:shd w:val="clear" w:color="auto" w:fill="FFFFFF"/>
          <w:lang w:eastAsia="es-ES"/>
        </w:rPr>
        <w:t xml:space="preserve"> </w:t>
      </w:r>
      <w:r w:rsidRPr="004E2297">
        <w:rPr>
          <w:rFonts w:ascii="Palatino Linotype" w:eastAsia="Times New Roman" w:hAnsi="Palatino Linotype" w:cstheme="minorHAnsi"/>
          <w:shd w:val="clear" w:color="auto" w:fill="FFFFFF"/>
          <w:lang w:eastAsia="es-ES"/>
        </w:rPr>
        <w:t>dispuso a la Dirección Jurídica de la EP EMSEGURIDAD realizar los trámites legales correspondientes con el fin de que se inicie el proceso de reforma o derogatoria de las Resoluciones del Concejo C-0098 de 2009 y reformada con la Resolución C-0182 de 22 de junio de 2017; y,</w:t>
      </w:r>
    </w:p>
    <w:p w14:paraId="59D61875" w14:textId="77777777" w:rsidR="00F83E29" w:rsidRPr="004E2297" w:rsidRDefault="00F83E29" w:rsidP="00F83E29">
      <w:pPr>
        <w:spacing w:after="0" w:line="240" w:lineRule="auto"/>
        <w:ind w:left="567" w:hanging="567"/>
        <w:jc w:val="both"/>
        <w:rPr>
          <w:rFonts w:ascii="Palatino Linotype" w:hAnsi="Palatino Linotype"/>
        </w:rPr>
      </w:pPr>
    </w:p>
    <w:p w14:paraId="05752044" w14:textId="77777777" w:rsidR="00F83E29" w:rsidRPr="004E2297" w:rsidRDefault="00F83E29" w:rsidP="00F83E29">
      <w:pPr>
        <w:autoSpaceDE w:val="0"/>
        <w:autoSpaceDN w:val="0"/>
        <w:adjustRightInd w:val="0"/>
        <w:spacing w:after="0" w:line="240" w:lineRule="auto"/>
        <w:jc w:val="both"/>
        <w:rPr>
          <w:rFonts w:ascii="Palatino Linotype" w:hAnsi="Palatino Linotype" w:cs="Times New Roman"/>
          <w:b/>
        </w:rPr>
      </w:pPr>
      <w:r w:rsidRPr="004E2297">
        <w:rPr>
          <w:rFonts w:ascii="Palatino Linotype" w:hAnsi="Palatino Linotype" w:cs="Times New Roman"/>
          <w:b/>
        </w:rPr>
        <w:t xml:space="preserve">En ejercicio de las atribuciones previstas en los artículos 240 de la Constitución de la República; literales a) y d) del artículo 87 y 323 del Código Orgánico de Organización Territorial, Autonomía y Descentralización, </w:t>
      </w:r>
    </w:p>
    <w:p w14:paraId="7963896C" w14:textId="77777777" w:rsidR="00F83E29" w:rsidRPr="004E2297" w:rsidRDefault="00F83E29" w:rsidP="00F83E29">
      <w:pPr>
        <w:autoSpaceDE w:val="0"/>
        <w:autoSpaceDN w:val="0"/>
        <w:adjustRightInd w:val="0"/>
        <w:spacing w:after="0" w:line="240" w:lineRule="auto"/>
        <w:jc w:val="both"/>
        <w:rPr>
          <w:rFonts w:ascii="Palatino Linotype" w:hAnsi="Palatino Linotype" w:cs="Times New Roman"/>
          <w:b/>
        </w:rPr>
      </w:pPr>
    </w:p>
    <w:p w14:paraId="7A9BE154" w14:textId="77777777" w:rsidR="00F83E29" w:rsidRPr="004E2297" w:rsidRDefault="00F83E29" w:rsidP="00F83E29">
      <w:pPr>
        <w:autoSpaceDE w:val="0"/>
        <w:autoSpaceDN w:val="0"/>
        <w:adjustRightInd w:val="0"/>
        <w:spacing w:after="0" w:line="240" w:lineRule="auto"/>
        <w:jc w:val="center"/>
        <w:rPr>
          <w:rFonts w:ascii="Palatino Linotype" w:hAnsi="Palatino Linotype" w:cs="Times New Roman"/>
          <w:b/>
          <w:lang w:eastAsia="es-EC"/>
        </w:rPr>
      </w:pPr>
      <w:r w:rsidRPr="004E2297">
        <w:rPr>
          <w:rFonts w:ascii="Palatino Linotype" w:hAnsi="Palatino Linotype" w:cs="Times New Roman"/>
          <w:b/>
        </w:rPr>
        <w:t>RESUELVE:</w:t>
      </w:r>
    </w:p>
    <w:p w14:paraId="49203F56" w14:textId="77777777" w:rsidR="00F83E29" w:rsidRPr="004E2297" w:rsidRDefault="00F83E29" w:rsidP="00F83E29">
      <w:pPr>
        <w:pStyle w:val="Sinespaciado"/>
        <w:jc w:val="center"/>
        <w:rPr>
          <w:rFonts w:ascii="Palatino Linotype" w:hAnsi="Palatino Linotype" w:cs="Times New Roman"/>
          <w:b/>
        </w:rPr>
      </w:pPr>
    </w:p>
    <w:p w14:paraId="752AAEC4" w14:textId="0FBB519F" w:rsidR="00F83E29" w:rsidRPr="004E2297" w:rsidRDefault="008E6F80" w:rsidP="00F83E29">
      <w:pPr>
        <w:pStyle w:val="Default"/>
        <w:jc w:val="both"/>
        <w:rPr>
          <w:rFonts w:ascii="Palatino Linotype" w:hAnsi="Palatino Linotype"/>
          <w:sz w:val="22"/>
          <w:szCs w:val="22"/>
        </w:rPr>
      </w:pPr>
      <w:r>
        <w:rPr>
          <w:rFonts w:ascii="Palatino Linotype" w:hAnsi="Palatino Linotype"/>
          <w:b/>
          <w:bCs/>
          <w:sz w:val="22"/>
          <w:szCs w:val="22"/>
        </w:rPr>
        <w:t>Artículo 1.</w:t>
      </w:r>
      <w:r w:rsidR="008558E2">
        <w:rPr>
          <w:rFonts w:ascii="Palatino Linotype" w:hAnsi="Palatino Linotype"/>
          <w:b/>
          <w:bCs/>
          <w:sz w:val="22"/>
          <w:szCs w:val="22"/>
        </w:rPr>
        <w:t>-</w:t>
      </w:r>
      <w:r w:rsidR="00B808DA">
        <w:rPr>
          <w:rFonts w:ascii="Palatino Linotype" w:hAnsi="Palatino Linotype"/>
          <w:b/>
          <w:bCs/>
          <w:sz w:val="22"/>
          <w:szCs w:val="22"/>
        </w:rPr>
        <w:t xml:space="preserve"> </w:t>
      </w:r>
      <w:r w:rsidR="00F83E29" w:rsidRPr="004E2297">
        <w:rPr>
          <w:rFonts w:ascii="Palatino Linotype" w:hAnsi="Palatino Linotype"/>
          <w:sz w:val="22"/>
          <w:szCs w:val="22"/>
        </w:rPr>
        <w:t xml:space="preserve">Instaurar </w:t>
      </w:r>
      <w:r w:rsidR="001A7014">
        <w:rPr>
          <w:rFonts w:ascii="Palatino Linotype" w:hAnsi="Palatino Linotype"/>
          <w:sz w:val="22"/>
          <w:szCs w:val="22"/>
        </w:rPr>
        <w:t xml:space="preserve">de manera permanente como política pública distrital una campaña </w:t>
      </w:r>
      <w:r w:rsidR="00F83E29" w:rsidRPr="004E2297">
        <w:rPr>
          <w:rFonts w:ascii="Palatino Linotype" w:hAnsi="Palatino Linotype"/>
          <w:sz w:val="22"/>
          <w:szCs w:val="22"/>
        </w:rPr>
        <w:t xml:space="preserve">edu-comunicacional, que será transversal y complementaria a la Estrategia que la Secretaría de Salud o quien haga de sus veces, en el marco de sus competencias, establezca para el abordaje integral del fenómeno de las drogas; dirigido a adolescentes y jóvenes, en distintos eventos, con énfasis durante la programación de fiestas de Quito encaminada a fortalecer los factores protectores y a reducir factores de riesgo. </w:t>
      </w:r>
    </w:p>
    <w:p w14:paraId="017F7DF5" w14:textId="77777777" w:rsidR="00F83E29" w:rsidRPr="004E2297" w:rsidRDefault="00F83E29" w:rsidP="00F83E29">
      <w:pPr>
        <w:pStyle w:val="Default"/>
        <w:jc w:val="both"/>
        <w:rPr>
          <w:rFonts w:ascii="Palatino Linotype" w:hAnsi="Palatino Linotype"/>
          <w:sz w:val="22"/>
          <w:szCs w:val="22"/>
        </w:rPr>
      </w:pPr>
    </w:p>
    <w:p w14:paraId="130FD116" w14:textId="77777777" w:rsidR="00F83E29" w:rsidRPr="004E2297" w:rsidRDefault="00F83E29" w:rsidP="00F83E29">
      <w:pPr>
        <w:pStyle w:val="Default"/>
        <w:jc w:val="both"/>
        <w:rPr>
          <w:rFonts w:ascii="Palatino Linotype" w:hAnsi="Palatino Linotype"/>
          <w:b/>
          <w:bCs/>
          <w:sz w:val="22"/>
          <w:szCs w:val="22"/>
        </w:rPr>
      </w:pPr>
      <w:r w:rsidRPr="004E2297">
        <w:rPr>
          <w:rFonts w:ascii="Palatino Linotype" w:hAnsi="Palatino Linotype"/>
          <w:b/>
          <w:bCs/>
          <w:sz w:val="22"/>
          <w:szCs w:val="22"/>
        </w:rPr>
        <w:t xml:space="preserve">Artículo 2.- </w:t>
      </w:r>
      <w:r w:rsidRPr="004E2297">
        <w:rPr>
          <w:rFonts w:ascii="Palatino Linotype" w:hAnsi="Palatino Linotype"/>
          <w:sz w:val="22"/>
          <w:szCs w:val="22"/>
        </w:rPr>
        <w:t xml:space="preserve">Encargar la definición técnica de contenidos y la ejecución de lo previsto en esta Resolución a la Secretaría de Salud o quien haga de sus veces, quien formulará y ejecutará estrategias, planes, programas y/o acciones de salud pública que promueva la </w:t>
      </w:r>
      <w:r w:rsidRPr="004E2297">
        <w:rPr>
          <w:rFonts w:ascii="Palatino Linotype" w:hAnsi="Palatino Linotype"/>
          <w:sz w:val="22"/>
          <w:szCs w:val="22"/>
        </w:rPr>
        <w:lastRenderedPageBreak/>
        <w:t>prevención y la atención integral del fenómeno biopsicosocial y económico de las drogas, así como de la reducción de riesgos y daños asociados en coordinación con las Entidades Municipales que estime necesarios, con prioridad en las siguientes acciones:</w:t>
      </w:r>
    </w:p>
    <w:p w14:paraId="60D4EB7E" w14:textId="77777777" w:rsidR="00F83E29" w:rsidRPr="004E2297" w:rsidRDefault="00F83E29" w:rsidP="00F83E29">
      <w:pPr>
        <w:pStyle w:val="Default"/>
        <w:jc w:val="both"/>
        <w:rPr>
          <w:rFonts w:ascii="Palatino Linotype" w:hAnsi="Palatino Linotype"/>
          <w:sz w:val="22"/>
          <w:szCs w:val="22"/>
        </w:rPr>
      </w:pPr>
    </w:p>
    <w:p w14:paraId="635B3672" w14:textId="77777777" w:rsidR="00F83E29" w:rsidRPr="004E2297" w:rsidRDefault="00F83E29" w:rsidP="008558E2">
      <w:pPr>
        <w:pStyle w:val="Default"/>
        <w:numPr>
          <w:ilvl w:val="0"/>
          <w:numId w:val="3"/>
        </w:numPr>
        <w:jc w:val="both"/>
        <w:rPr>
          <w:rFonts w:ascii="Palatino Linotype" w:hAnsi="Palatino Linotype"/>
          <w:sz w:val="22"/>
          <w:szCs w:val="22"/>
        </w:rPr>
      </w:pPr>
      <w:r w:rsidRPr="004E2297">
        <w:rPr>
          <w:rFonts w:ascii="Palatino Linotype" w:hAnsi="Palatino Linotype"/>
          <w:sz w:val="22"/>
          <w:szCs w:val="22"/>
        </w:rPr>
        <w:t xml:space="preserve">Reducción del consumo de alcohol en eventos de concurrencia masiva. </w:t>
      </w:r>
    </w:p>
    <w:p w14:paraId="3D44AAB3" w14:textId="77777777" w:rsidR="00F83E29" w:rsidRPr="004E2297" w:rsidRDefault="00F83E29" w:rsidP="008558E2">
      <w:pPr>
        <w:pStyle w:val="Default"/>
        <w:numPr>
          <w:ilvl w:val="0"/>
          <w:numId w:val="3"/>
        </w:numPr>
        <w:jc w:val="both"/>
        <w:rPr>
          <w:rFonts w:ascii="Palatino Linotype" w:hAnsi="Palatino Linotype"/>
          <w:sz w:val="22"/>
          <w:szCs w:val="22"/>
        </w:rPr>
      </w:pPr>
      <w:r w:rsidRPr="004E2297">
        <w:rPr>
          <w:rFonts w:ascii="Palatino Linotype" w:hAnsi="Palatino Linotype"/>
          <w:sz w:val="22"/>
          <w:szCs w:val="22"/>
        </w:rPr>
        <w:t xml:space="preserve">Regulación de la no venta de alcohol y tabaco a menores de edad, que incluye la solicitud obligatoria de cédula de identidad. </w:t>
      </w:r>
    </w:p>
    <w:p w14:paraId="0E557577" w14:textId="77777777" w:rsidR="00F83E29" w:rsidRPr="004E2297" w:rsidRDefault="00F83E29" w:rsidP="008558E2">
      <w:pPr>
        <w:pStyle w:val="Default"/>
        <w:numPr>
          <w:ilvl w:val="0"/>
          <w:numId w:val="3"/>
        </w:numPr>
        <w:jc w:val="both"/>
        <w:rPr>
          <w:rFonts w:ascii="Palatino Linotype" w:hAnsi="Palatino Linotype"/>
          <w:sz w:val="22"/>
          <w:szCs w:val="22"/>
        </w:rPr>
      </w:pPr>
      <w:r w:rsidRPr="004E2297">
        <w:rPr>
          <w:rFonts w:ascii="Palatino Linotype" w:hAnsi="Palatino Linotype"/>
          <w:sz w:val="22"/>
          <w:szCs w:val="22"/>
        </w:rPr>
        <w:t xml:space="preserve">Regulación de publicidad de alcohol y tabaco en espacios públicos. </w:t>
      </w:r>
    </w:p>
    <w:p w14:paraId="7F8800F0" w14:textId="77777777" w:rsidR="00F83E29" w:rsidRPr="004E2297" w:rsidRDefault="00F83E29" w:rsidP="00F83E29">
      <w:pPr>
        <w:pStyle w:val="Default"/>
        <w:jc w:val="both"/>
        <w:rPr>
          <w:rFonts w:ascii="Palatino Linotype" w:hAnsi="Palatino Linotype"/>
          <w:sz w:val="22"/>
          <w:szCs w:val="22"/>
        </w:rPr>
      </w:pPr>
    </w:p>
    <w:p w14:paraId="1F98E58F" w14:textId="77777777" w:rsidR="00F83E29" w:rsidRPr="004E2297" w:rsidRDefault="00F83E29" w:rsidP="00F83E29">
      <w:pPr>
        <w:pStyle w:val="Default"/>
        <w:jc w:val="both"/>
        <w:rPr>
          <w:rFonts w:ascii="Palatino Linotype" w:hAnsi="Palatino Linotype"/>
          <w:sz w:val="22"/>
          <w:szCs w:val="22"/>
        </w:rPr>
      </w:pPr>
      <w:r w:rsidRPr="004E2297">
        <w:rPr>
          <w:rFonts w:ascii="Palatino Linotype" w:hAnsi="Palatino Linotype"/>
          <w:sz w:val="22"/>
          <w:szCs w:val="22"/>
        </w:rPr>
        <w:t>La Secretaría de Comunicación, en el ámbito de sus competencias, asegurará la elaboración y difusión de los productos edu-comunicacionales, en función de los contenidos definidos por las instancias técnicas.</w:t>
      </w:r>
    </w:p>
    <w:p w14:paraId="47AB67DB" w14:textId="77777777" w:rsidR="00F83E29" w:rsidRPr="004E2297" w:rsidRDefault="00F83E29" w:rsidP="00F83E29">
      <w:pPr>
        <w:pStyle w:val="Default"/>
        <w:jc w:val="both"/>
        <w:rPr>
          <w:rFonts w:ascii="Palatino Linotype" w:hAnsi="Palatino Linotype"/>
          <w:sz w:val="22"/>
          <w:szCs w:val="22"/>
        </w:rPr>
      </w:pPr>
    </w:p>
    <w:p w14:paraId="15BC0C49" w14:textId="77777777" w:rsidR="00F83E29" w:rsidRPr="004E2297" w:rsidRDefault="00F83E29" w:rsidP="00F83E29">
      <w:pPr>
        <w:pStyle w:val="Cuerpo"/>
        <w:shd w:val="clear" w:color="auto" w:fill="FFFFFF"/>
        <w:jc w:val="center"/>
        <w:rPr>
          <w:rFonts w:ascii="Palatino Linotype" w:hAnsi="Palatino Linotype" w:cs="Times New Roman"/>
          <w:b/>
          <w:w w:val="105"/>
          <w:sz w:val="22"/>
          <w:szCs w:val="22"/>
        </w:rPr>
      </w:pPr>
      <w:r w:rsidRPr="004E2297">
        <w:rPr>
          <w:rFonts w:ascii="Palatino Linotype" w:hAnsi="Palatino Linotype" w:cs="Times New Roman"/>
          <w:b/>
          <w:w w:val="105"/>
          <w:sz w:val="22"/>
          <w:szCs w:val="22"/>
        </w:rPr>
        <w:t>DISPOSICIÓN GENERAL:</w:t>
      </w:r>
    </w:p>
    <w:p w14:paraId="6A300A2F" w14:textId="77777777" w:rsidR="00F83E29" w:rsidRPr="004E2297" w:rsidRDefault="00F83E29" w:rsidP="00F83E29">
      <w:pPr>
        <w:pStyle w:val="Cuerpo"/>
        <w:shd w:val="clear" w:color="auto" w:fill="FFFFFF"/>
        <w:jc w:val="center"/>
        <w:rPr>
          <w:rFonts w:ascii="Palatino Linotype" w:hAnsi="Palatino Linotype" w:cs="Times New Roman"/>
          <w:w w:val="105"/>
          <w:sz w:val="22"/>
          <w:szCs w:val="22"/>
        </w:rPr>
      </w:pPr>
    </w:p>
    <w:p w14:paraId="500399B8" w14:textId="0DE9B49A" w:rsidR="00F83E29" w:rsidRDefault="00F83E29" w:rsidP="00F83E29">
      <w:pPr>
        <w:pStyle w:val="Default"/>
        <w:jc w:val="both"/>
        <w:rPr>
          <w:rFonts w:ascii="Palatino Linotype" w:hAnsi="Palatino Linotype"/>
          <w:sz w:val="22"/>
          <w:szCs w:val="22"/>
        </w:rPr>
      </w:pPr>
      <w:r w:rsidRPr="004E2297">
        <w:rPr>
          <w:rFonts w:ascii="Palatino Linotype" w:hAnsi="Palatino Linotype" w:cs="Times New Roman"/>
          <w:b/>
          <w:w w:val="105"/>
          <w:sz w:val="22"/>
          <w:szCs w:val="22"/>
        </w:rPr>
        <w:t>Única. –</w:t>
      </w:r>
      <w:r w:rsidRPr="004E2297">
        <w:rPr>
          <w:rFonts w:ascii="Palatino Linotype" w:hAnsi="Palatino Linotype" w:cs="Times New Roman"/>
          <w:w w:val="105"/>
          <w:sz w:val="22"/>
          <w:szCs w:val="22"/>
        </w:rPr>
        <w:t xml:space="preserve"> </w:t>
      </w:r>
      <w:r w:rsidRPr="004E2297">
        <w:rPr>
          <w:rFonts w:ascii="Palatino Linotype" w:hAnsi="Palatino Linotype"/>
          <w:sz w:val="22"/>
          <w:szCs w:val="22"/>
        </w:rPr>
        <w:t xml:space="preserve">El liderazgo técnico se encontrará a cargo de la Secretaría de Salud, con el acompañamiento técnico de las instancias municipales contempladas en este documento. La Secretaría de Salud elaborará la operativización técnica de la campaña edu-comunicacional que incluya los procedimientos específicos a seguir para implementar y llevar a cabo la campaña. </w:t>
      </w:r>
    </w:p>
    <w:p w14:paraId="59C23FA7" w14:textId="0C10BCFE" w:rsidR="001A7014" w:rsidRDefault="001A7014" w:rsidP="00F83E29">
      <w:pPr>
        <w:pStyle w:val="Default"/>
        <w:jc w:val="both"/>
        <w:rPr>
          <w:rFonts w:ascii="Palatino Linotype" w:hAnsi="Palatino Linotype"/>
          <w:sz w:val="22"/>
          <w:szCs w:val="22"/>
        </w:rPr>
      </w:pPr>
    </w:p>
    <w:p w14:paraId="792F0F26" w14:textId="7E5415BA" w:rsidR="001A7014" w:rsidRDefault="001A7014" w:rsidP="001A7014">
      <w:pPr>
        <w:pStyle w:val="Default"/>
        <w:jc w:val="center"/>
        <w:rPr>
          <w:rFonts w:ascii="Palatino Linotype" w:hAnsi="Palatino Linotype"/>
          <w:b/>
          <w:sz w:val="22"/>
          <w:szCs w:val="22"/>
        </w:rPr>
      </w:pPr>
      <w:r>
        <w:rPr>
          <w:rFonts w:ascii="Palatino Linotype" w:hAnsi="Palatino Linotype"/>
          <w:b/>
          <w:sz w:val="22"/>
          <w:szCs w:val="22"/>
        </w:rPr>
        <w:t>DISPOSICIONES TRANSITORIAS</w:t>
      </w:r>
    </w:p>
    <w:p w14:paraId="7AD27BAD" w14:textId="77777777" w:rsidR="00A4765A" w:rsidRDefault="00A4765A" w:rsidP="001A7014">
      <w:pPr>
        <w:pStyle w:val="Default"/>
        <w:jc w:val="center"/>
        <w:rPr>
          <w:rFonts w:ascii="Palatino Linotype" w:hAnsi="Palatino Linotype"/>
          <w:b/>
          <w:sz w:val="22"/>
          <w:szCs w:val="22"/>
        </w:rPr>
      </w:pPr>
    </w:p>
    <w:p w14:paraId="29A6B1B4" w14:textId="79AD43D9" w:rsidR="001A7014" w:rsidRDefault="001A7014" w:rsidP="001A7014">
      <w:pPr>
        <w:pStyle w:val="Default"/>
        <w:jc w:val="both"/>
        <w:rPr>
          <w:rFonts w:ascii="Palatino Linotype" w:hAnsi="Palatino Linotype" w:cs="Times New Roman"/>
          <w:w w:val="105"/>
          <w:sz w:val="22"/>
          <w:szCs w:val="22"/>
        </w:rPr>
      </w:pPr>
      <w:r>
        <w:rPr>
          <w:rFonts w:ascii="Palatino Linotype" w:hAnsi="Palatino Linotype" w:cs="Times New Roman"/>
          <w:b/>
          <w:w w:val="105"/>
          <w:sz w:val="22"/>
          <w:szCs w:val="22"/>
        </w:rPr>
        <w:t>Primera</w:t>
      </w:r>
      <w:r w:rsidRPr="004E2297">
        <w:rPr>
          <w:rFonts w:ascii="Palatino Linotype" w:hAnsi="Palatino Linotype" w:cs="Times New Roman"/>
          <w:b/>
          <w:w w:val="105"/>
          <w:sz w:val="22"/>
          <w:szCs w:val="22"/>
        </w:rPr>
        <w:t>. –</w:t>
      </w:r>
      <w:r w:rsidRPr="001A7014">
        <w:t xml:space="preserve"> </w:t>
      </w:r>
      <w:r w:rsidRPr="001A7014">
        <w:rPr>
          <w:rFonts w:ascii="Palatino Linotype" w:hAnsi="Palatino Linotype" w:cs="Times New Roman"/>
          <w:w w:val="105"/>
          <w:sz w:val="22"/>
          <w:szCs w:val="22"/>
        </w:rPr>
        <w:t xml:space="preserve">La Secretaria de Salud elaborará la operativización técnica de la </w:t>
      </w:r>
      <w:r>
        <w:rPr>
          <w:rFonts w:ascii="Palatino Linotype" w:hAnsi="Palatino Linotype" w:cs="Times New Roman"/>
          <w:w w:val="105"/>
          <w:sz w:val="22"/>
          <w:szCs w:val="22"/>
        </w:rPr>
        <w:t>c</w:t>
      </w:r>
      <w:r w:rsidRPr="001A7014">
        <w:rPr>
          <w:rFonts w:ascii="Palatino Linotype" w:hAnsi="Palatino Linotype" w:cs="Times New Roman"/>
          <w:w w:val="105"/>
          <w:sz w:val="22"/>
          <w:szCs w:val="22"/>
        </w:rPr>
        <w:t>ampaña edu-comunicacional que incluya los procedimientos específicos a seguir para implementar y llevar a cabo la campaña.</w:t>
      </w:r>
      <w:r w:rsidRPr="001A7014">
        <w:rPr>
          <w:rFonts w:ascii="Palatino Linotype" w:hAnsi="Palatino Linotype" w:cs="Times New Roman"/>
          <w:w w:val="105"/>
          <w:sz w:val="22"/>
          <w:szCs w:val="22"/>
        </w:rPr>
        <w:cr/>
      </w:r>
    </w:p>
    <w:p w14:paraId="352D1038" w14:textId="7984A4E1" w:rsidR="00F83E29" w:rsidRDefault="001A7014" w:rsidP="001A7014">
      <w:pPr>
        <w:pStyle w:val="Default"/>
        <w:jc w:val="both"/>
        <w:rPr>
          <w:rFonts w:ascii="Palatino Linotype" w:hAnsi="Palatino Linotype" w:cs="Times New Roman"/>
          <w:w w:val="105"/>
          <w:sz w:val="22"/>
          <w:szCs w:val="22"/>
        </w:rPr>
      </w:pPr>
      <w:r w:rsidRPr="5A013943">
        <w:rPr>
          <w:rFonts w:ascii="Palatino Linotype" w:hAnsi="Palatino Linotype" w:cs="Times New Roman"/>
          <w:b/>
          <w:bCs/>
          <w:w w:val="105"/>
          <w:sz w:val="22"/>
          <w:szCs w:val="22"/>
        </w:rPr>
        <w:t xml:space="preserve">Segunda.- </w:t>
      </w:r>
      <w:r w:rsidRPr="001A7014">
        <w:rPr>
          <w:rFonts w:ascii="Palatino Linotype" w:hAnsi="Palatino Linotype" w:cs="Times New Roman"/>
          <w:w w:val="105"/>
          <w:sz w:val="22"/>
          <w:szCs w:val="22"/>
        </w:rPr>
        <w:t>La Secretaria de Salud incorporará en su planificación anual (POA) la implementación de la</w:t>
      </w:r>
      <w:r>
        <w:rPr>
          <w:rFonts w:ascii="Palatino Linotype" w:hAnsi="Palatino Linotype" w:cs="Times New Roman"/>
          <w:w w:val="105"/>
          <w:sz w:val="22"/>
          <w:szCs w:val="22"/>
        </w:rPr>
        <w:t xml:space="preserve"> </w:t>
      </w:r>
      <w:r w:rsidRPr="001A7014">
        <w:rPr>
          <w:rFonts w:ascii="Palatino Linotype" w:hAnsi="Palatino Linotype" w:cs="Times New Roman"/>
          <w:w w:val="105"/>
          <w:sz w:val="22"/>
          <w:szCs w:val="22"/>
        </w:rPr>
        <w:t xml:space="preserve">campaña denominada </w:t>
      </w:r>
      <w:r w:rsidR="00A4765A">
        <w:rPr>
          <w:rFonts w:ascii="Palatino Linotype" w:hAnsi="Palatino Linotype" w:cs="Times New Roman"/>
          <w:w w:val="105"/>
          <w:sz w:val="22"/>
          <w:szCs w:val="22"/>
        </w:rPr>
        <w:t>“</w:t>
      </w:r>
      <w:r w:rsidR="00D327B7">
        <w:rPr>
          <w:rFonts w:ascii="Palatino Linotype" w:hAnsi="Palatino Linotype" w:cs="Times New Roman"/>
          <w:w w:val="105"/>
          <w:sz w:val="22"/>
          <w:szCs w:val="22"/>
        </w:rPr>
        <w:t>Vive libre, vive sano”</w:t>
      </w:r>
      <w:r w:rsidRPr="001A7014">
        <w:rPr>
          <w:rFonts w:ascii="Palatino Linotype" w:hAnsi="Palatino Linotype" w:cs="Times New Roman"/>
          <w:w w:val="105"/>
          <w:sz w:val="22"/>
          <w:szCs w:val="22"/>
        </w:rPr>
        <w:t xml:space="preserve"> con acciones alineadas a los</w:t>
      </w:r>
      <w:r>
        <w:rPr>
          <w:rFonts w:ascii="Palatino Linotype" w:hAnsi="Palatino Linotype" w:cs="Times New Roman"/>
          <w:w w:val="105"/>
          <w:sz w:val="22"/>
          <w:szCs w:val="22"/>
        </w:rPr>
        <w:t xml:space="preserve"> </w:t>
      </w:r>
      <w:r w:rsidRPr="001A7014">
        <w:rPr>
          <w:rFonts w:ascii="Palatino Linotype" w:hAnsi="Palatino Linotype" w:cs="Times New Roman"/>
          <w:w w:val="105"/>
          <w:sz w:val="22"/>
          <w:szCs w:val="22"/>
        </w:rPr>
        <w:t>protocolos y normativa actual establecida para prevención integral de drogas.</w:t>
      </w:r>
    </w:p>
    <w:p w14:paraId="53BE85A3" w14:textId="77777777" w:rsidR="001A7014" w:rsidRPr="004E2297" w:rsidRDefault="001A7014" w:rsidP="001A7014">
      <w:pPr>
        <w:pStyle w:val="Default"/>
        <w:jc w:val="both"/>
        <w:rPr>
          <w:rFonts w:ascii="Palatino Linotype" w:hAnsi="Palatino Linotype" w:cs="Times New Roman"/>
          <w:w w:val="105"/>
          <w:sz w:val="22"/>
          <w:szCs w:val="22"/>
        </w:rPr>
      </w:pPr>
    </w:p>
    <w:p w14:paraId="1CD40F29" w14:textId="77777777" w:rsidR="00F83E29" w:rsidRPr="004E2297" w:rsidRDefault="00F83E29" w:rsidP="00F83E29">
      <w:pPr>
        <w:pStyle w:val="Default"/>
        <w:jc w:val="center"/>
        <w:rPr>
          <w:rFonts w:ascii="Palatino Linotype" w:hAnsi="Palatino Linotype"/>
          <w:b/>
          <w:bCs/>
          <w:sz w:val="22"/>
          <w:szCs w:val="22"/>
        </w:rPr>
      </w:pPr>
      <w:r w:rsidRPr="004E2297">
        <w:rPr>
          <w:rFonts w:ascii="Palatino Linotype" w:hAnsi="Palatino Linotype"/>
          <w:b/>
          <w:bCs/>
          <w:sz w:val="22"/>
          <w:szCs w:val="22"/>
        </w:rPr>
        <w:t>DISPOSICIÓN DEROGATORIA</w:t>
      </w:r>
      <w:r>
        <w:rPr>
          <w:rFonts w:ascii="Palatino Linotype" w:hAnsi="Palatino Linotype"/>
          <w:b/>
          <w:bCs/>
          <w:sz w:val="22"/>
          <w:szCs w:val="22"/>
        </w:rPr>
        <w:t>:</w:t>
      </w:r>
    </w:p>
    <w:p w14:paraId="65C091A4" w14:textId="0895468B" w:rsidR="000E158F" w:rsidRPr="004E2297" w:rsidRDefault="000E158F" w:rsidP="00F83E29">
      <w:pPr>
        <w:pStyle w:val="Default"/>
        <w:jc w:val="center"/>
        <w:rPr>
          <w:rFonts w:ascii="Palatino Linotype" w:hAnsi="Palatino Linotype"/>
          <w:sz w:val="22"/>
          <w:szCs w:val="22"/>
        </w:rPr>
      </w:pPr>
    </w:p>
    <w:p w14:paraId="4AA6D8E8" w14:textId="2BEAB19E" w:rsidR="000E158F" w:rsidRDefault="000E158F" w:rsidP="00F83E29">
      <w:pPr>
        <w:pStyle w:val="Default"/>
        <w:jc w:val="both"/>
        <w:rPr>
          <w:rFonts w:ascii="Palatino Linotype" w:hAnsi="Palatino Linotype"/>
          <w:sz w:val="22"/>
          <w:szCs w:val="22"/>
        </w:rPr>
      </w:pPr>
      <w:r>
        <w:rPr>
          <w:rFonts w:ascii="Palatino Linotype" w:hAnsi="Palatino Linotype"/>
          <w:b/>
          <w:bCs/>
          <w:sz w:val="22"/>
          <w:szCs w:val="22"/>
        </w:rPr>
        <w:t>Primera</w:t>
      </w:r>
      <w:r w:rsidR="00F83E29" w:rsidRPr="004E2297">
        <w:rPr>
          <w:rFonts w:ascii="Palatino Linotype" w:hAnsi="Palatino Linotype"/>
          <w:b/>
          <w:bCs/>
          <w:sz w:val="22"/>
          <w:szCs w:val="22"/>
        </w:rPr>
        <w:t xml:space="preserve">. - </w:t>
      </w:r>
      <w:r w:rsidR="00F83E29" w:rsidRPr="004E2297">
        <w:rPr>
          <w:rFonts w:ascii="Palatino Linotype" w:hAnsi="Palatino Linotype"/>
          <w:sz w:val="22"/>
          <w:szCs w:val="22"/>
        </w:rPr>
        <w:t>Derogar la</w:t>
      </w:r>
      <w:r>
        <w:rPr>
          <w:rFonts w:ascii="Palatino Linotype" w:hAnsi="Palatino Linotype"/>
          <w:sz w:val="22"/>
          <w:szCs w:val="22"/>
        </w:rPr>
        <w:t>s</w:t>
      </w:r>
      <w:r w:rsidR="00F83E29" w:rsidRPr="004E2297">
        <w:rPr>
          <w:rFonts w:ascii="Palatino Linotype" w:hAnsi="Palatino Linotype"/>
          <w:sz w:val="22"/>
          <w:szCs w:val="22"/>
        </w:rPr>
        <w:t xml:space="preserve"> Resoluci</w:t>
      </w:r>
      <w:r>
        <w:rPr>
          <w:rFonts w:ascii="Palatino Linotype" w:hAnsi="Palatino Linotype"/>
          <w:sz w:val="22"/>
          <w:szCs w:val="22"/>
        </w:rPr>
        <w:t>o</w:t>
      </w:r>
      <w:r w:rsidR="00F83E29" w:rsidRPr="004E2297">
        <w:rPr>
          <w:rFonts w:ascii="Palatino Linotype" w:hAnsi="Palatino Linotype"/>
          <w:sz w:val="22"/>
          <w:szCs w:val="22"/>
        </w:rPr>
        <w:t>n</w:t>
      </w:r>
      <w:r>
        <w:rPr>
          <w:rFonts w:ascii="Palatino Linotype" w:hAnsi="Palatino Linotype"/>
          <w:sz w:val="22"/>
          <w:szCs w:val="22"/>
        </w:rPr>
        <w:t>es</w:t>
      </w:r>
      <w:r w:rsidR="00F83E29" w:rsidRPr="004E2297">
        <w:rPr>
          <w:rFonts w:ascii="Palatino Linotype" w:hAnsi="Palatino Linotype"/>
          <w:sz w:val="22"/>
          <w:szCs w:val="22"/>
        </w:rPr>
        <w:t xml:space="preserve"> C-0098 de 29 de enero de 2009</w:t>
      </w:r>
      <w:r>
        <w:rPr>
          <w:rFonts w:ascii="Palatino Linotype" w:hAnsi="Palatino Linotype"/>
          <w:sz w:val="22"/>
          <w:szCs w:val="22"/>
        </w:rPr>
        <w:t xml:space="preserve"> y </w:t>
      </w:r>
      <w:r w:rsidR="00F83E29" w:rsidRPr="004E2297">
        <w:rPr>
          <w:rFonts w:ascii="Palatino Linotype" w:hAnsi="Palatino Linotype"/>
          <w:sz w:val="22"/>
          <w:szCs w:val="22"/>
        </w:rPr>
        <w:t xml:space="preserve"> C-182 de 22 de junio de 2017</w:t>
      </w:r>
      <w:r>
        <w:rPr>
          <w:rFonts w:ascii="Palatino Linotype" w:hAnsi="Palatino Linotype"/>
          <w:sz w:val="22"/>
          <w:szCs w:val="22"/>
        </w:rPr>
        <w:t>.</w:t>
      </w:r>
    </w:p>
    <w:p w14:paraId="007A273B" w14:textId="77777777" w:rsidR="000E158F" w:rsidRDefault="000E158F" w:rsidP="00F83E29">
      <w:pPr>
        <w:pStyle w:val="Default"/>
        <w:jc w:val="both"/>
        <w:rPr>
          <w:rFonts w:ascii="Palatino Linotype" w:hAnsi="Palatino Linotype"/>
          <w:sz w:val="22"/>
          <w:szCs w:val="22"/>
        </w:rPr>
      </w:pPr>
    </w:p>
    <w:p w14:paraId="6417B6F3" w14:textId="5EAE3AF4" w:rsidR="000E158F" w:rsidRDefault="000E158F" w:rsidP="000E158F">
      <w:pPr>
        <w:pStyle w:val="Default"/>
        <w:jc w:val="both"/>
        <w:rPr>
          <w:rFonts w:ascii="Palatino Linotype" w:hAnsi="Palatino Linotype"/>
          <w:sz w:val="22"/>
          <w:szCs w:val="22"/>
        </w:rPr>
      </w:pPr>
      <w:r w:rsidRPr="00D327B7">
        <w:rPr>
          <w:rFonts w:ascii="Palatino Linotype" w:hAnsi="Palatino Linotype"/>
          <w:b/>
          <w:sz w:val="22"/>
          <w:szCs w:val="22"/>
        </w:rPr>
        <w:t xml:space="preserve">Segunda.- </w:t>
      </w:r>
      <w:r>
        <w:rPr>
          <w:rFonts w:ascii="Palatino Linotype" w:hAnsi="Palatino Linotype"/>
          <w:sz w:val="22"/>
          <w:szCs w:val="22"/>
        </w:rPr>
        <w:t xml:space="preserve">Se derogan las disposiciones normativas o reglamentarias que se hayan generado como consecuencia de la aplicación de las Resoluciones </w:t>
      </w:r>
      <w:r w:rsidRPr="004E2297">
        <w:rPr>
          <w:rFonts w:ascii="Palatino Linotype" w:hAnsi="Palatino Linotype"/>
          <w:sz w:val="22"/>
          <w:szCs w:val="22"/>
        </w:rPr>
        <w:t>C-0098 de 29 de enero de 2009</w:t>
      </w:r>
      <w:r>
        <w:rPr>
          <w:rFonts w:ascii="Palatino Linotype" w:hAnsi="Palatino Linotype"/>
          <w:sz w:val="22"/>
          <w:szCs w:val="22"/>
        </w:rPr>
        <w:t xml:space="preserve"> y </w:t>
      </w:r>
      <w:r w:rsidRPr="004E2297">
        <w:rPr>
          <w:rFonts w:ascii="Palatino Linotype" w:hAnsi="Palatino Linotype"/>
          <w:sz w:val="22"/>
          <w:szCs w:val="22"/>
        </w:rPr>
        <w:t>C-182 de 22 de junio de 2017</w:t>
      </w:r>
      <w:r>
        <w:rPr>
          <w:rFonts w:ascii="Palatino Linotype" w:hAnsi="Palatino Linotype"/>
          <w:sz w:val="22"/>
          <w:szCs w:val="22"/>
        </w:rPr>
        <w:t>.</w:t>
      </w:r>
    </w:p>
    <w:p w14:paraId="7CD27A2A" w14:textId="77777777" w:rsidR="000E158F" w:rsidRDefault="000E158F" w:rsidP="000E158F">
      <w:pPr>
        <w:pStyle w:val="Default"/>
        <w:jc w:val="both"/>
        <w:rPr>
          <w:rFonts w:ascii="Palatino Linotype" w:hAnsi="Palatino Linotype"/>
          <w:sz w:val="22"/>
          <w:szCs w:val="22"/>
        </w:rPr>
      </w:pPr>
    </w:p>
    <w:p w14:paraId="2070C35B" w14:textId="65ACC1A7" w:rsidR="00F83E29" w:rsidRPr="00D327B7" w:rsidRDefault="00F83E29" w:rsidP="00F83E29">
      <w:pPr>
        <w:pStyle w:val="Default"/>
        <w:jc w:val="both"/>
        <w:rPr>
          <w:rFonts w:ascii="Palatino Linotype" w:hAnsi="Palatino Linotype"/>
          <w:b/>
          <w:sz w:val="22"/>
          <w:szCs w:val="22"/>
        </w:rPr>
      </w:pPr>
    </w:p>
    <w:p w14:paraId="21034D28" w14:textId="15241C0C" w:rsidR="00F83E29" w:rsidRDefault="00F83E29" w:rsidP="00F83E29">
      <w:pPr>
        <w:pStyle w:val="Default"/>
        <w:jc w:val="both"/>
        <w:rPr>
          <w:rFonts w:ascii="Palatino Linotype" w:hAnsi="Palatino Linotype"/>
          <w:sz w:val="22"/>
          <w:szCs w:val="22"/>
        </w:rPr>
      </w:pPr>
    </w:p>
    <w:p w14:paraId="2554BCD9" w14:textId="3EDD850F" w:rsidR="00D63957" w:rsidRDefault="00D63957" w:rsidP="00F83E29">
      <w:pPr>
        <w:pStyle w:val="Default"/>
        <w:jc w:val="both"/>
        <w:rPr>
          <w:rFonts w:ascii="Palatino Linotype" w:hAnsi="Palatino Linotype"/>
          <w:sz w:val="22"/>
          <w:szCs w:val="22"/>
        </w:rPr>
      </w:pPr>
    </w:p>
    <w:p w14:paraId="53465B14" w14:textId="5B874E31" w:rsidR="00D63957" w:rsidRDefault="00D63957" w:rsidP="00F83E29">
      <w:pPr>
        <w:pStyle w:val="Default"/>
        <w:jc w:val="both"/>
        <w:rPr>
          <w:rFonts w:ascii="Palatino Linotype" w:hAnsi="Palatino Linotype"/>
          <w:sz w:val="22"/>
          <w:szCs w:val="22"/>
        </w:rPr>
      </w:pPr>
    </w:p>
    <w:p w14:paraId="70CF9E0A" w14:textId="67EEE994" w:rsidR="00B55619" w:rsidRDefault="00B55619" w:rsidP="00F83E29">
      <w:pPr>
        <w:pStyle w:val="Default"/>
        <w:jc w:val="both"/>
        <w:rPr>
          <w:rFonts w:ascii="Palatino Linotype" w:hAnsi="Palatino Linotype"/>
          <w:sz w:val="22"/>
          <w:szCs w:val="22"/>
        </w:rPr>
      </w:pPr>
    </w:p>
    <w:p w14:paraId="5383CE06" w14:textId="77777777" w:rsidR="00B55619" w:rsidRPr="004E2297" w:rsidRDefault="00B55619" w:rsidP="00F83E29">
      <w:pPr>
        <w:pStyle w:val="Default"/>
        <w:jc w:val="both"/>
        <w:rPr>
          <w:rFonts w:ascii="Palatino Linotype" w:hAnsi="Palatino Linotype"/>
          <w:sz w:val="22"/>
          <w:szCs w:val="22"/>
        </w:rPr>
      </w:pPr>
      <w:bookmarkStart w:id="0" w:name="_GoBack"/>
      <w:bookmarkEnd w:id="0"/>
    </w:p>
    <w:p w14:paraId="16B3BBDE" w14:textId="77777777" w:rsidR="00F83E29" w:rsidRPr="004E2297" w:rsidRDefault="00F83E29" w:rsidP="00F83E29">
      <w:pPr>
        <w:spacing w:after="0" w:line="240" w:lineRule="auto"/>
        <w:jc w:val="center"/>
        <w:rPr>
          <w:rFonts w:ascii="Palatino Linotype" w:hAnsi="Palatino Linotype" w:cs="Times New Roman"/>
          <w:b/>
          <w:w w:val="105"/>
        </w:rPr>
      </w:pPr>
      <w:r w:rsidRPr="004E2297">
        <w:rPr>
          <w:rFonts w:ascii="Palatino Linotype" w:hAnsi="Palatino Linotype" w:cs="Times New Roman"/>
          <w:b/>
          <w:w w:val="105"/>
        </w:rPr>
        <w:lastRenderedPageBreak/>
        <w:t>DISPOSICIONES FINALES:</w:t>
      </w:r>
    </w:p>
    <w:p w14:paraId="083B004E" w14:textId="77777777" w:rsidR="00F83E29" w:rsidRPr="004E2297" w:rsidRDefault="00F83E29" w:rsidP="00F83E29">
      <w:pPr>
        <w:spacing w:after="0" w:line="240" w:lineRule="auto"/>
        <w:jc w:val="center"/>
        <w:rPr>
          <w:rFonts w:ascii="Palatino Linotype" w:eastAsia="Times New Roman" w:hAnsi="Palatino Linotype" w:cs="Times New Roman"/>
          <w:color w:val="222222"/>
          <w:shd w:val="clear" w:color="auto" w:fill="FFFFFF"/>
          <w:lang w:eastAsia="es-EC"/>
        </w:rPr>
      </w:pPr>
    </w:p>
    <w:p w14:paraId="5A875CD8" w14:textId="77777777" w:rsidR="00F83E29" w:rsidRPr="004E2297" w:rsidRDefault="00F83E29" w:rsidP="00F83E29">
      <w:pPr>
        <w:spacing w:after="0" w:line="240" w:lineRule="auto"/>
        <w:jc w:val="both"/>
        <w:rPr>
          <w:rFonts w:ascii="Palatino Linotype" w:hAnsi="Palatino Linotype" w:cs="Times New Roman"/>
        </w:rPr>
      </w:pPr>
      <w:r w:rsidRPr="004E2297">
        <w:rPr>
          <w:rFonts w:ascii="Palatino Linotype" w:hAnsi="Palatino Linotype" w:cs="Times New Roman"/>
          <w:b/>
          <w:w w:val="105"/>
        </w:rPr>
        <w:t>Primera. –</w:t>
      </w:r>
      <w:r w:rsidRPr="004E2297">
        <w:rPr>
          <w:rFonts w:ascii="Palatino Linotype" w:hAnsi="Palatino Linotype" w:cs="Times New Roman"/>
        </w:rPr>
        <w:t xml:space="preserve"> Encárguese a la Secretaría General del Concejo Metropolitano, la publicación y notificación de esta Resolución.</w:t>
      </w:r>
    </w:p>
    <w:p w14:paraId="1601A044" w14:textId="77777777" w:rsidR="00F83E29" w:rsidRPr="004E2297" w:rsidRDefault="00F83E29" w:rsidP="00F83E29">
      <w:pPr>
        <w:pStyle w:val="Cuerpo"/>
        <w:shd w:val="clear" w:color="auto" w:fill="FFFFFF"/>
        <w:jc w:val="both"/>
        <w:rPr>
          <w:rFonts w:ascii="Palatino Linotype" w:hAnsi="Palatino Linotype" w:cs="Times New Roman"/>
          <w:b/>
          <w:sz w:val="22"/>
          <w:szCs w:val="22"/>
        </w:rPr>
      </w:pPr>
    </w:p>
    <w:p w14:paraId="576E035B" w14:textId="77777777" w:rsidR="00F83E29" w:rsidRPr="004E2297" w:rsidRDefault="00F83E29" w:rsidP="5A013943">
      <w:pPr>
        <w:pStyle w:val="Cuerpo"/>
        <w:shd w:val="clear" w:color="auto" w:fill="FFFFFF" w:themeFill="background1"/>
        <w:jc w:val="both"/>
        <w:rPr>
          <w:rFonts w:ascii="Palatino Linotype" w:hAnsi="Palatino Linotype" w:cs="Times New Roman"/>
          <w:sz w:val="22"/>
          <w:szCs w:val="22"/>
          <w:lang w:val="es-ES"/>
        </w:rPr>
      </w:pPr>
      <w:r w:rsidRPr="5A013943">
        <w:rPr>
          <w:rFonts w:ascii="Palatino Linotype" w:hAnsi="Palatino Linotype" w:cs="Times New Roman"/>
          <w:b/>
          <w:bCs/>
          <w:w w:val="105"/>
          <w:sz w:val="22"/>
          <w:szCs w:val="22"/>
          <w:lang w:val="es-ES"/>
        </w:rPr>
        <w:t xml:space="preserve">Segunda. - </w:t>
      </w:r>
      <w:r w:rsidRPr="5A013943">
        <w:rPr>
          <w:rFonts w:ascii="Palatino Linotype" w:eastAsia="Times New Roman" w:hAnsi="Palatino Linotype" w:cs="Times New Roman"/>
          <w:color w:val="222222"/>
          <w:sz w:val="22"/>
          <w:szCs w:val="22"/>
          <w:shd w:val="clear" w:color="auto" w:fill="FFFFFF"/>
          <w:lang w:val="es-ES"/>
        </w:rPr>
        <w:t xml:space="preserve">La presente resolución entrará en vigencia a partir de su suscripción, sin perjuicio de su publicación. </w:t>
      </w:r>
    </w:p>
    <w:p w14:paraId="12E41399" w14:textId="774790F6" w:rsidR="00F83E29" w:rsidRDefault="00F83E29">
      <w:pPr>
        <w:rPr>
          <w:lang w:val="es-ES_tradnl"/>
        </w:rPr>
      </w:pPr>
    </w:p>
    <w:p w14:paraId="0F911E36" w14:textId="2F63C9AB" w:rsidR="001A7014" w:rsidRDefault="001A7014">
      <w:pPr>
        <w:rPr>
          <w:lang w:val="es-ES_tradnl"/>
        </w:rPr>
      </w:pPr>
    </w:p>
    <w:p w14:paraId="550D119A" w14:textId="6F1185E2" w:rsidR="001A7014" w:rsidRPr="00F83E29" w:rsidRDefault="001A7014">
      <w:pPr>
        <w:rPr>
          <w:lang w:val="es-ES_tradnl"/>
        </w:rPr>
      </w:pPr>
    </w:p>
    <w:sectPr w:rsidR="001A7014" w:rsidRPr="00F83E29" w:rsidSect="00F83E2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7381B" w14:textId="77777777" w:rsidR="002740D6" w:rsidRDefault="002740D6" w:rsidP="00F83E29">
      <w:pPr>
        <w:spacing w:after="0" w:line="240" w:lineRule="auto"/>
      </w:pPr>
      <w:r>
        <w:separator/>
      </w:r>
    </w:p>
  </w:endnote>
  <w:endnote w:type="continuationSeparator" w:id="0">
    <w:p w14:paraId="72590BE7" w14:textId="77777777" w:rsidR="002740D6" w:rsidRDefault="002740D6" w:rsidP="00F8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43ECB" w14:textId="77777777" w:rsidR="002740D6" w:rsidRDefault="002740D6" w:rsidP="00F83E29">
      <w:pPr>
        <w:spacing w:after="0" w:line="240" w:lineRule="auto"/>
      </w:pPr>
      <w:r>
        <w:separator/>
      </w:r>
    </w:p>
  </w:footnote>
  <w:footnote w:type="continuationSeparator" w:id="0">
    <w:p w14:paraId="5B402822" w14:textId="77777777" w:rsidR="002740D6" w:rsidRDefault="002740D6" w:rsidP="00F83E29">
      <w:pPr>
        <w:spacing w:after="0" w:line="240" w:lineRule="auto"/>
      </w:pPr>
      <w:r>
        <w:continuationSeparator/>
      </w:r>
    </w:p>
  </w:footnote>
  <w:footnote w:id="1">
    <w:p w14:paraId="7439CE44" w14:textId="77777777" w:rsidR="00F83E29" w:rsidRPr="00280ED7" w:rsidRDefault="00F83E29" w:rsidP="00F83E29">
      <w:pPr>
        <w:pStyle w:val="Default"/>
        <w:jc w:val="both"/>
        <w:rPr>
          <w:i/>
          <w:iCs/>
          <w:sz w:val="22"/>
          <w:szCs w:val="22"/>
          <w:lang w:val="en-US"/>
        </w:rPr>
      </w:pPr>
      <w:r>
        <w:rPr>
          <w:rStyle w:val="Refdenotaalpie"/>
        </w:rPr>
        <w:footnoteRef/>
      </w:r>
      <w:r>
        <w:t xml:space="preserve"> </w:t>
      </w:r>
      <w:r>
        <w:rPr>
          <w:i/>
          <w:iCs/>
          <w:sz w:val="22"/>
          <w:szCs w:val="22"/>
        </w:rPr>
        <w:t xml:space="preserve">Comisión Interamericana para el Control del Abuso de Drogas. Lineamientos Hemisféricos de la CICAD en Prevención Escolar. </w:t>
      </w:r>
      <w:r w:rsidRPr="00280ED7">
        <w:rPr>
          <w:i/>
          <w:iCs/>
          <w:sz w:val="22"/>
          <w:szCs w:val="22"/>
          <w:lang w:val="en-US"/>
        </w:rPr>
        <w:t>Washington, D.C.; 2005. 29 p.</w:t>
      </w:r>
    </w:p>
  </w:footnote>
  <w:footnote w:id="2">
    <w:p w14:paraId="68AAF944" w14:textId="77777777" w:rsidR="00F83E29" w:rsidRPr="00280ED7" w:rsidRDefault="00F83E29" w:rsidP="00F83E29">
      <w:pPr>
        <w:pStyle w:val="Default"/>
        <w:jc w:val="both"/>
        <w:rPr>
          <w:i/>
          <w:iCs/>
          <w:sz w:val="22"/>
          <w:szCs w:val="22"/>
          <w:lang w:val="en-US"/>
        </w:rPr>
      </w:pPr>
      <w:r>
        <w:rPr>
          <w:rStyle w:val="Refdenotaalpie"/>
        </w:rPr>
        <w:footnoteRef/>
      </w:r>
      <w:r w:rsidRPr="00280ED7">
        <w:rPr>
          <w:lang w:val="en-US"/>
        </w:rPr>
        <w:t xml:space="preserve"> </w:t>
      </w:r>
      <w:r w:rsidRPr="00280ED7">
        <w:rPr>
          <w:i/>
          <w:iCs/>
          <w:sz w:val="22"/>
          <w:szCs w:val="22"/>
          <w:lang w:val="en-US"/>
        </w:rPr>
        <w:t xml:space="preserve">The SAMHSA’s Center for the Application of Prevention Technologies. The Do’s and Don’ts of Effective Messaging for Substance Abuse Prevention [Internet]. 2018. p. 1–4. Available from: </w:t>
      </w:r>
      <w:hyperlink r:id="rId1" w:history="1">
        <w:r w:rsidRPr="00F67231">
          <w:rPr>
            <w:rStyle w:val="Hipervnculo"/>
            <w:i/>
            <w:iCs/>
            <w:sz w:val="22"/>
            <w:szCs w:val="22"/>
            <w:lang w:val="en-US"/>
          </w:rPr>
          <w:t>https://www.samhsa.gov/capt/sites/default/files/resources/tipsheet-effective-messaging.pdf</w:t>
        </w:r>
      </w:hyperlink>
      <w:r w:rsidRPr="00280ED7">
        <w:rPr>
          <w:i/>
          <w:iCs/>
          <w:sz w:val="22"/>
          <w:szCs w:val="22"/>
          <w:lang w:val="en-US"/>
        </w:rPr>
        <w:t xml:space="preserve"> </w:t>
      </w:r>
    </w:p>
  </w:footnote>
  <w:footnote w:id="3">
    <w:p w14:paraId="02299B92" w14:textId="77777777" w:rsidR="00F83E29" w:rsidRPr="00280ED7" w:rsidRDefault="00F83E29" w:rsidP="00F83E29">
      <w:pPr>
        <w:pStyle w:val="Default"/>
        <w:jc w:val="both"/>
        <w:rPr>
          <w:sz w:val="22"/>
          <w:szCs w:val="22"/>
        </w:rPr>
      </w:pPr>
      <w:r>
        <w:rPr>
          <w:rStyle w:val="Refdenotaalpie"/>
        </w:rPr>
        <w:footnoteRef/>
      </w:r>
      <w:r>
        <w:rPr>
          <w:i/>
          <w:iCs/>
          <w:sz w:val="22"/>
          <w:szCs w:val="22"/>
        </w:rPr>
        <w:t xml:space="preserve">Programa de Cooperación entre América Latina el C y la UE en P sobre D. Calidad y Evidencia En Reducción de la Demanda de Drogas. 2014. 264 p. </w:t>
      </w:r>
    </w:p>
  </w:footnote>
  <w:footnote w:id="4">
    <w:p w14:paraId="41AF9427" w14:textId="77777777" w:rsidR="00F83E29" w:rsidRPr="00280ED7" w:rsidRDefault="00F83E29" w:rsidP="00F83E29">
      <w:pPr>
        <w:pStyle w:val="Default"/>
        <w:jc w:val="both"/>
        <w:rPr>
          <w:sz w:val="22"/>
          <w:szCs w:val="22"/>
        </w:rPr>
      </w:pPr>
      <w:r>
        <w:rPr>
          <w:rStyle w:val="Refdenotaalpie"/>
        </w:rPr>
        <w:footnoteRef/>
      </w:r>
      <w:r>
        <w:rPr>
          <w:i/>
          <w:iCs/>
          <w:sz w:val="22"/>
          <w:szCs w:val="22"/>
        </w:rPr>
        <w:t xml:space="preserve">Instituto Nacional sobre el Abuso de Drogas. Cómo Prevenir el Uso de Drogas Una guía con base científica para padres, educadores y líderes de la comunidad Versión Abreviada Instituto Nacional sobre el Abuso de Drogas [Internet]. 2004 [citado 21 de marzo de 2019]. Disponible en: https://www.drugabuse.gov/sites/default/files/redbook_spanish.pdf </w:t>
      </w:r>
    </w:p>
  </w:footnote>
  <w:footnote w:id="5">
    <w:p w14:paraId="07D3787C" w14:textId="77777777" w:rsidR="00F83E29" w:rsidRDefault="00F83E29" w:rsidP="00F83E29">
      <w:pPr>
        <w:pStyle w:val="Default"/>
        <w:jc w:val="both"/>
        <w:rPr>
          <w:sz w:val="22"/>
          <w:szCs w:val="22"/>
        </w:rPr>
      </w:pPr>
      <w:r>
        <w:rPr>
          <w:rStyle w:val="Refdenotaalpie"/>
        </w:rPr>
        <w:footnoteRef/>
      </w:r>
      <w:r>
        <w:t xml:space="preserve"> </w:t>
      </w:r>
      <w:r>
        <w:rPr>
          <w:sz w:val="22"/>
          <w:szCs w:val="22"/>
        </w:rPr>
        <w:t xml:space="preserve">Oficina de las Naciones Unidas Contra las Drogas y el Delito. (24 de octubre de 2023). </w:t>
      </w:r>
      <w:r>
        <w:rPr>
          <w:i/>
          <w:iCs/>
          <w:sz w:val="22"/>
          <w:szCs w:val="22"/>
        </w:rPr>
        <w:t xml:space="preserve">Normas Internacionales para la Prevención del Uso de Drogas. </w:t>
      </w:r>
      <w:r>
        <w:rPr>
          <w:sz w:val="22"/>
          <w:szCs w:val="22"/>
        </w:rPr>
        <w:t xml:space="preserve">Obtenido de UNODC: https://www.unodc.org/documents/drug-prevention-and-treatment/int_standards_document_ESPAGNOL.pdf </w:t>
      </w:r>
    </w:p>
    <w:p w14:paraId="56C1D821" w14:textId="77777777" w:rsidR="00F83E29" w:rsidRDefault="00F83E29" w:rsidP="00F83E29">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D40E7"/>
    <w:multiLevelType w:val="hybridMultilevel"/>
    <w:tmpl w:val="52F035E4"/>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 w15:restartNumberingAfterBreak="0">
    <w:nsid w:val="41396649"/>
    <w:multiLevelType w:val="hybridMultilevel"/>
    <w:tmpl w:val="D6B8E266"/>
    <w:lvl w:ilvl="0" w:tplc="A886C97A">
      <w:numFmt w:val="bullet"/>
      <w:lvlText w:val="-"/>
      <w:lvlJc w:val="left"/>
      <w:pPr>
        <w:ind w:left="720" w:hanging="360"/>
      </w:pPr>
      <w:rPr>
        <w:rFonts w:ascii="Palatino Linotype" w:eastAsiaTheme="minorHAnsi" w:hAnsi="Palatino Linotype"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41C851A7"/>
    <w:multiLevelType w:val="hybridMultilevel"/>
    <w:tmpl w:val="95ECE378"/>
    <w:lvl w:ilvl="0" w:tplc="300A0017">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383365C"/>
    <w:multiLevelType w:val="hybridMultilevel"/>
    <w:tmpl w:val="41C81B62"/>
    <w:lvl w:ilvl="0" w:tplc="30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29"/>
    <w:rsid w:val="000E158F"/>
    <w:rsid w:val="000F297C"/>
    <w:rsid w:val="00187937"/>
    <w:rsid w:val="001A7014"/>
    <w:rsid w:val="002740D6"/>
    <w:rsid w:val="002B1894"/>
    <w:rsid w:val="004218EC"/>
    <w:rsid w:val="0047181C"/>
    <w:rsid w:val="00496123"/>
    <w:rsid w:val="004B23C9"/>
    <w:rsid w:val="0051194A"/>
    <w:rsid w:val="005B07E0"/>
    <w:rsid w:val="00811797"/>
    <w:rsid w:val="00842DD5"/>
    <w:rsid w:val="008558E2"/>
    <w:rsid w:val="00861157"/>
    <w:rsid w:val="008A2555"/>
    <w:rsid w:val="008E6F80"/>
    <w:rsid w:val="0094722B"/>
    <w:rsid w:val="009B1C37"/>
    <w:rsid w:val="00A4765A"/>
    <w:rsid w:val="00AD4864"/>
    <w:rsid w:val="00AD5DDD"/>
    <w:rsid w:val="00B55619"/>
    <w:rsid w:val="00B808DA"/>
    <w:rsid w:val="00C328A1"/>
    <w:rsid w:val="00D327B7"/>
    <w:rsid w:val="00D63957"/>
    <w:rsid w:val="00F341FD"/>
    <w:rsid w:val="00F83E29"/>
    <w:rsid w:val="0769D551"/>
    <w:rsid w:val="3EC92EF1"/>
    <w:rsid w:val="5A013943"/>
    <w:rsid w:val="762B4A7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6EF9"/>
  <w15:chartTrackingRefBased/>
  <w15:docId w15:val="{64838E0B-4E46-4D3C-A19B-39BC6999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E29"/>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83E29"/>
    <w:pPr>
      <w:spacing w:after="0" w:line="240" w:lineRule="auto"/>
    </w:pPr>
    <w:rPr>
      <w:kern w:val="0"/>
      <w:lang w:val="es-ES"/>
      <w14:ligatures w14:val="none"/>
    </w:rPr>
  </w:style>
  <w:style w:type="paragraph" w:customStyle="1" w:styleId="Cuerpo">
    <w:name w:val="Cuerpo"/>
    <w:rsid w:val="00F83E29"/>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s-ES_tradnl" w:eastAsia="es-EC"/>
      <w14:ligatures w14:val="none"/>
    </w:rPr>
  </w:style>
  <w:style w:type="character" w:customStyle="1" w:styleId="nrmar">
    <w:name w:val="nrmar"/>
    <w:basedOn w:val="Fuentedeprrafopredeter"/>
    <w:rsid w:val="00F83E29"/>
  </w:style>
  <w:style w:type="character" w:customStyle="1" w:styleId="SinespaciadoCar">
    <w:name w:val="Sin espaciado Car"/>
    <w:basedOn w:val="Fuentedeprrafopredeter"/>
    <w:link w:val="Sinespaciado"/>
    <w:uiPriority w:val="1"/>
    <w:rsid w:val="00F83E29"/>
    <w:rPr>
      <w:kern w:val="0"/>
      <w:lang w:val="es-ES"/>
      <w14:ligatures w14:val="none"/>
    </w:rPr>
  </w:style>
  <w:style w:type="paragraph" w:customStyle="1" w:styleId="Default">
    <w:name w:val="Default"/>
    <w:rsid w:val="00F83E29"/>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Textonotapie">
    <w:name w:val="footnote text"/>
    <w:basedOn w:val="Normal"/>
    <w:link w:val="TextonotapieCar"/>
    <w:uiPriority w:val="99"/>
    <w:semiHidden/>
    <w:unhideWhenUsed/>
    <w:rsid w:val="00F83E2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3E29"/>
    <w:rPr>
      <w:kern w:val="0"/>
      <w:sz w:val="20"/>
      <w:szCs w:val="20"/>
      <w14:ligatures w14:val="none"/>
    </w:rPr>
  </w:style>
  <w:style w:type="character" w:styleId="Refdenotaalpie">
    <w:name w:val="footnote reference"/>
    <w:basedOn w:val="Fuentedeprrafopredeter"/>
    <w:uiPriority w:val="99"/>
    <w:semiHidden/>
    <w:unhideWhenUsed/>
    <w:rsid w:val="00F83E29"/>
    <w:rPr>
      <w:vertAlign w:val="superscript"/>
    </w:rPr>
  </w:style>
  <w:style w:type="character" w:styleId="Hipervnculo">
    <w:name w:val="Hyperlink"/>
    <w:basedOn w:val="Fuentedeprrafopredeter"/>
    <w:uiPriority w:val="99"/>
    <w:unhideWhenUsed/>
    <w:rsid w:val="00F83E29"/>
    <w:rPr>
      <w:color w:val="0563C1" w:themeColor="hyperlink"/>
      <w:u w:val="single"/>
    </w:rPr>
  </w:style>
  <w:style w:type="character" w:styleId="Refdecomentario">
    <w:name w:val="annotation reference"/>
    <w:basedOn w:val="Fuentedeprrafopredeter"/>
    <w:uiPriority w:val="99"/>
    <w:semiHidden/>
    <w:unhideWhenUsed/>
    <w:rsid w:val="00861157"/>
    <w:rPr>
      <w:sz w:val="16"/>
      <w:szCs w:val="16"/>
    </w:rPr>
  </w:style>
  <w:style w:type="paragraph" w:styleId="Textocomentario">
    <w:name w:val="annotation text"/>
    <w:basedOn w:val="Normal"/>
    <w:link w:val="TextocomentarioCar"/>
    <w:uiPriority w:val="99"/>
    <w:semiHidden/>
    <w:unhideWhenUsed/>
    <w:rsid w:val="008611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1157"/>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861157"/>
    <w:rPr>
      <w:b/>
      <w:bCs/>
    </w:rPr>
  </w:style>
  <w:style w:type="character" w:customStyle="1" w:styleId="AsuntodelcomentarioCar">
    <w:name w:val="Asunto del comentario Car"/>
    <w:basedOn w:val="TextocomentarioCar"/>
    <w:link w:val="Asuntodelcomentario"/>
    <w:uiPriority w:val="99"/>
    <w:semiHidden/>
    <w:rsid w:val="00861157"/>
    <w:rPr>
      <w:b/>
      <w:bCs/>
      <w:kern w:val="0"/>
      <w:sz w:val="20"/>
      <w:szCs w:val="20"/>
      <w14:ligatures w14:val="none"/>
    </w:rPr>
  </w:style>
  <w:style w:type="paragraph" w:styleId="Textodeglobo">
    <w:name w:val="Balloon Text"/>
    <w:basedOn w:val="Normal"/>
    <w:link w:val="TextodegloboCar"/>
    <w:uiPriority w:val="99"/>
    <w:semiHidden/>
    <w:unhideWhenUsed/>
    <w:rsid w:val="008611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1157"/>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4668">
      <w:bodyDiv w:val="1"/>
      <w:marLeft w:val="0"/>
      <w:marRight w:val="0"/>
      <w:marTop w:val="0"/>
      <w:marBottom w:val="0"/>
      <w:divBdr>
        <w:top w:val="none" w:sz="0" w:space="0" w:color="auto"/>
        <w:left w:val="none" w:sz="0" w:space="0" w:color="auto"/>
        <w:bottom w:val="none" w:sz="0" w:space="0" w:color="auto"/>
        <w:right w:val="none" w:sz="0" w:space="0" w:color="auto"/>
      </w:divBdr>
      <w:divsChild>
        <w:div w:id="700326196">
          <w:marLeft w:val="0"/>
          <w:marRight w:val="0"/>
          <w:marTop w:val="0"/>
          <w:marBottom w:val="0"/>
          <w:divBdr>
            <w:top w:val="none" w:sz="0" w:space="0" w:color="auto"/>
            <w:left w:val="none" w:sz="0" w:space="0" w:color="auto"/>
            <w:bottom w:val="none" w:sz="0" w:space="0" w:color="auto"/>
            <w:right w:val="none" w:sz="0" w:space="0" w:color="auto"/>
          </w:divBdr>
        </w:div>
        <w:div w:id="1213275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amhsa.gov/capt/sites/default/files/resources/tipsheet-effective-messaging.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226AC-63AF-43F8-BC25-11132F36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2492</Words>
  <Characters>13711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formacionmupp@outlook.es</dc:creator>
  <cp:keywords/>
  <dc:description/>
  <cp:lastModifiedBy>Daniela Beatriz Palacios Navarrete</cp:lastModifiedBy>
  <cp:revision>2</cp:revision>
  <dcterms:created xsi:type="dcterms:W3CDTF">2024-08-15T20:11:00Z</dcterms:created>
  <dcterms:modified xsi:type="dcterms:W3CDTF">2024-08-15T20:11:00Z</dcterms:modified>
</cp:coreProperties>
</file>