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4242" w:type="dxa"/>
        <w:jc w:val="center"/>
        <w:tblLook w:val="04A0" w:firstRow="1" w:lastRow="0" w:firstColumn="1" w:lastColumn="0" w:noHBand="0" w:noVBand="1"/>
      </w:tblPr>
      <w:tblGrid>
        <w:gridCol w:w="2337"/>
        <w:gridCol w:w="1344"/>
        <w:gridCol w:w="3331"/>
        <w:gridCol w:w="3615"/>
        <w:gridCol w:w="3615"/>
      </w:tblGrid>
      <w:tr w:rsidR="00426BD8" w:rsidRPr="00952511" w14:paraId="05B9777A" w14:textId="77777777" w:rsidTr="00A052AE">
        <w:trPr>
          <w:jc w:val="center"/>
        </w:trPr>
        <w:tc>
          <w:tcPr>
            <w:tcW w:w="14242" w:type="dxa"/>
            <w:gridSpan w:val="5"/>
          </w:tcPr>
          <w:p w14:paraId="718B3D3E" w14:textId="566D20D2" w:rsidR="00426BD8" w:rsidRPr="00952511" w:rsidRDefault="007B7F71" w:rsidP="006E6188">
            <w:pPr>
              <w:jc w:val="center"/>
              <w:rPr>
                <w:rFonts w:ascii="Times New Roman" w:hAnsi="Times New Roman" w:cs="Times New Roman"/>
                <w:b/>
                <w:sz w:val="24"/>
                <w:szCs w:val="24"/>
              </w:rPr>
            </w:pPr>
            <w:r w:rsidRPr="007B7F71">
              <w:rPr>
                <w:rFonts w:ascii="Times New Roman" w:hAnsi="Times New Roman" w:cs="Times New Roman"/>
                <w:b/>
                <w:sz w:val="24"/>
                <w:szCs w:val="24"/>
              </w:rPr>
              <w:t>Ordenanza Metropolitana Reformatoria del Título I, del Libro II.4 del Código Municipal para el Distrito Metropolitano de Quito, sobre la regulación y control de los espectáculos deportivos masivos</w:t>
            </w:r>
          </w:p>
        </w:tc>
      </w:tr>
      <w:tr w:rsidR="00426BD8" w:rsidRPr="00952511" w14:paraId="7A7D37A5" w14:textId="77777777" w:rsidTr="00426BD8">
        <w:trPr>
          <w:jc w:val="center"/>
        </w:trPr>
        <w:tc>
          <w:tcPr>
            <w:tcW w:w="2337" w:type="dxa"/>
          </w:tcPr>
          <w:p w14:paraId="6A3125E7" w14:textId="333D71BF" w:rsidR="00426BD8" w:rsidRPr="00952511" w:rsidRDefault="00426BD8" w:rsidP="00426BD8">
            <w:pPr>
              <w:jc w:val="center"/>
              <w:rPr>
                <w:rFonts w:ascii="Times New Roman" w:hAnsi="Times New Roman" w:cs="Times New Roman"/>
                <w:b/>
                <w:sz w:val="24"/>
                <w:szCs w:val="24"/>
              </w:rPr>
            </w:pPr>
            <w:r w:rsidRPr="00952511">
              <w:rPr>
                <w:rFonts w:ascii="Times New Roman" w:hAnsi="Times New Roman" w:cs="Times New Roman"/>
                <w:b/>
                <w:sz w:val="24"/>
                <w:szCs w:val="24"/>
              </w:rPr>
              <w:t>Entidad</w:t>
            </w:r>
            <w:r>
              <w:rPr>
                <w:rFonts w:ascii="Times New Roman" w:hAnsi="Times New Roman" w:cs="Times New Roman"/>
                <w:b/>
                <w:sz w:val="24"/>
                <w:szCs w:val="24"/>
              </w:rPr>
              <w:t xml:space="preserve"> / Dependencia / Persona</w:t>
            </w:r>
          </w:p>
        </w:tc>
        <w:tc>
          <w:tcPr>
            <w:tcW w:w="1344" w:type="dxa"/>
          </w:tcPr>
          <w:p w14:paraId="7A880C6B" w14:textId="77777777" w:rsidR="00426BD8" w:rsidRPr="00952511" w:rsidRDefault="00426BD8" w:rsidP="00426BD8">
            <w:pPr>
              <w:jc w:val="center"/>
              <w:rPr>
                <w:rFonts w:ascii="Times New Roman" w:hAnsi="Times New Roman" w:cs="Times New Roman"/>
                <w:b/>
                <w:sz w:val="24"/>
                <w:szCs w:val="24"/>
              </w:rPr>
            </w:pPr>
            <w:r w:rsidRPr="00952511">
              <w:rPr>
                <w:rFonts w:ascii="Times New Roman" w:hAnsi="Times New Roman" w:cs="Times New Roman"/>
                <w:b/>
                <w:sz w:val="24"/>
                <w:szCs w:val="24"/>
              </w:rPr>
              <w:t>Fecha</w:t>
            </w:r>
          </w:p>
        </w:tc>
        <w:tc>
          <w:tcPr>
            <w:tcW w:w="3331" w:type="dxa"/>
          </w:tcPr>
          <w:p w14:paraId="50516E97" w14:textId="21D183F1" w:rsidR="00426BD8" w:rsidRPr="00952511" w:rsidRDefault="00426BD8" w:rsidP="00426BD8">
            <w:pPr>
              <w:jc w:val="center"/>
              <w:rPr>
                <w:rFonts w:ascii="Times New Roman" w:hAnsi="Times New Roman" w:cs="Times New Roman"/>
                <w:b/>
                <w:sz w:val="24"/>
                <w:szCs w:val="24"/>
              </w:rPr>
            </w:pPr>
            <w:r w:rsidRPr="00952511">
              <w:rPr>
                <w:rFonts w:ascii="Times New Roman" w:hAnsi="Times New Roman" w:cs="Times New Roman"/>
                <w:b/>
                <w:sz w:val="24"/>
                <w:szCs w:val="24"/>
              </w:rPr>
              <w:t>Lugar</w:t>
            </w:r>
            <w:r>
              <w:rPr>
                <w:rFonts w:ascii="Times New Roman" w:hAnsi="Times New Roman" w:cs="Times New Roman"/>
                <w:b/>
                <w:sz w:val="24"/>
                <w:szCs w:val="24"/>
              </w:rPr>
              <w:t xml:space="preserve"> / Oficio</w:t>
            </w:r>
          </w:p>
        </w:tc>
        <w:tc>
          <w:tcPr>
            <w:tcW w:w="3615" w:type="dxa"/>
          </w:tcPr>
          <w:p w14:paraId="3604722E" w14:textId="75E47B1B" w:rsidR="00426BD8" w:rsidRPr="00952511" w:rsidRDefault="00426BD8" w:rsidP="00426BD8">
            <w:pPr>
              <w:jc w:val="center"/>
              <w:rPr>
                <w:rFonts w:ascii="Times New Roman" w:hAnsi="Times New Roman" w:cs="Times New Roman"/>
                <w:b/>
                <w:sz w:val="24"/>
                <w:szCs w:val="24"/>
              </w:rPr>
            </w:pPr>
            <w:r w:rsidRPr="00952511">
              <w:rPr>
                <w:rFonts w:ascii="Times New Roman" w:hAnsi="Times New Roman" w:cs="Times New Roman"/>
                <w:b/>
                <w:sz w:val="24"/>
                <w:szCs w:val="24"/>
              </w:rPr>
              <w:t>Observaciones</w:t>
            </w:r>
          </w:p>
        </w:tc>
        <w:tc>
          <w:tcPr>
            <w:tcW w:w="3615" w:type="dxa"/>
          </w:tcPr>
          <w:p w14:paraId="5F0C6B4C" w14:textId="4C07293F" w:rsidR="00426BD8" w:rsidRPr="00952511" w:rsidRDefault="00426BD8" w:rsidP="00426BD8">
            <w:pPr>
              <w:jc w:val="center"/>
              <w:rPr>
                <w:rFonts w:ascii="Times New Roman" w:hAnsi="Times New Roman" w:cs="Times New Roman"/>
                <w:b/>
                <w:sz w:val="24"/>
                <w:szCs w:val="24"/>
              </w:rPr>
            </w:pPr>
            <w:r>
              <w:rPr>
                <w:rFonts w:ascii="Times New Roman" w:hAnsi="Times New Roman" w:cs="Times New Roman"/>
                <w:b/>
                <w:sz w:val="24"/>
                <w:szCs w:val="24"/>
              </w:rPr>
              <w:t>Comentario</w:t>
            </w:r>
          </w:p>
        </w:tc>
      </w:tr>
      <w:tr w:rsidR="005523E7" w:rsidRPr="00952511" w14:paraId="3496A0E1" w14:textId="77777777" w:rsidTr="007B7F71">
        <w:trPr>
          <w:trHeight w:val="7253"/>
          <w:jc w:val="center"/>
        </w:trPr>
        <w:tc>
          <w:tcPr>
            <w:tcW w:w="2337" w:type="dxa"/>
            <w:vMerge w:val="restart"/>
          </w:tcPr>
          <w:p w14:paraId="30CCAA81" w14:textId="775451F8" w:rsidR="005523E7" w:rsidRPr="00952511" w:rsidRDefault="005523E7" w:rsidP="00426BD8">
            <w:pPr>
              <w:jc w:val="both"/>
              <w:rPr>
                <w:rFonts w:ascii="Times New Roman" w:hAnsi="Times New Roman" w:cs="Times New Roman"/>
                <w:sz w:val="24"/>
                <w:szCs w:val="24"/>
              </w:rPr>
            </w:pPr>
            <w:r>
              <w:rPr>
                <w:rFonts w:ascii="Times New Roman" w:hAnsi="Times New Roman" w:cs="Times New Roman"/>
                <w:sz w:val="24"/>
                <w:szCs w:val="24"/>
              </w:rPr>
              <w:t>Secretaría General de Seguridad Ciudadana y Gestión de Riesgos</w:t>
            </w:r>
          </w:p>
        </w:tc>
        <w:tc>
          <w:tcPr>
            <w:tcW w:w="1344" w:type="dxa"/>
            <w:vMerge w:val="restart"/>
          </w:tcPr>
          <w:p w14:paraId="36B5F08E" w14:textId="3C67F8EF" w:rsidR="005523E7" w:rsidRPr="00952511" w:rsidRDefault="005523E7" w:rsidP="00426BD8">
            <w:pPr>
              <w:jc w:val="both"/>
              <w:rPr>
                <w:rFonts w:ascii="Times New Roman" w:hAnsi="Times New Roman" w:cs="Times New Roman"/>
                <w:sz w:val="24"/>
                <w:szCs w:val="24"/>
              </w:rPr>
            </w:pPr>
            <w:r>
              <w:rPr>
                <w:rFonts w:ascii="Times New Roman" w:hAnsi="Times New Roman" w:cs="Times New Roman"/>
                <w:sz w:val="24"/>
                <w:szCs w:val="24"/>
              </w:rPr>
              <w:t>12 de julio de 2024</w:t>
            </w:r>
          </w:p>
        </w:tc>
        <w:tc>
          <w:tcPr>
            <w:tcW w:w="3331" w:type="dxa"/>
            <w:vMerge w:val="restart"/>
          </w:tcPr>
          <w:p w14:paraId="7CDA3B51" w14:textId="473A58F7" w:rsidR="005523E7" w:rsidRPr="00952511" w:rsidRDefault="005523E7" w:rsidP="00426BD8">
            <w:pPr>
              <w:jc w:val="both"/>
              <w:rPr>
                <w:rFonts w:ascii="Times New Roman" w:hAnsi="Times New Roman" w:cs="Times New Roman"/>
                <w:sz w:val="24"/>
                <w:szCs w:val="24"/>
              </w:rPr>
            </w:pPr>
            <w:r>
              <w:rPr>
                <w:rFonts w:ascii="Times New Roman" w:hAnsi="Times New Roman" w:cs="Times New Roman"/>
                <w:sz w:val="24"/>
                <w:szCs w:val="24"/>
              </w:rPr>
              <w:t>Circular No. GADDMQ-SGSCGR-2024-0359-C</w:t>
            </w:r>
          </w:p>
        </w:tc>
        <w:tc>
          <w:tcPr>
            <w:tcW w:w="3615" w:type="dxa"/>
          </w:tcPr>
          <w:p w14:paraId="6128FE53" w14:textId="781BAF45" w:rsidR="005523E7" w:rsidRPr="007B7F71" w:rsidRDefault="005523E7" w:rsidP="007B7F71">
            <w:pPr>
              <w:jc w:val="both"/>
              <w:rPr>
                <w:rFonts w:ascii="Times New Roman" w:hAnsi="Times New Roman" w:cs="Times New Roman"/>
                <w:sz w:val="24"/>
                <w:szCs w:val="24"/>
              </w:rPr>
            </w:pPr>
            <w:r w:rsidRPr="00952511">
              <w:rPr>
                <w:rFonts w:ascii="Times New Roman" w:hAnsi="Times New Roman" w:cs="Times New Roman"/>
                <w:b/>
                <w:sz w:val="24"/>
                <w:szCs w:val="24"/>
              </w:rPr>
              <w:t>1</w:t>
            </w:r>
            <w:r>
              <w:rPr>
                <w:rFonts w:ascii="Times New Roman" w:hAnsi="Times New Roman" w:cs="Times New Roman"/>
                <w:sz w:val="24"/>
                <w:szCs w:val="24"/>
              </w:rPr>
              <w:t>. En el artículo 1 s</w:t>
            </w:r>
            <w:r w:rsidRPr="007B7F71">
              <w:rPr>
                <w:rFonts w:ascii="Times New Roman" w:hAnsi="Times New Roman" w:cs="Times New Roman"/>
                <w:sz w:val="24"/>
                <w:szCs w:val="24"/>
              </w:rPr>
              <w:t xml:space="preserve">e sugiere analizar la posibilidad de establecer que tanto niños, niñas y adolescentes paguen el 50% del valor, exceptuando a niños de 2 años o menos, que pueden permaencer en brazos de sus padres. Esto, en razón de que lo niños de 3 a 12 años pueden requerir ocupar asientos y esto, sin duda, distorcionaría el aforo, pues habría una cantidad de boletos vendida pero un número mayor de puetos utilizados. </w:t>
            </w:r>
          </w:p>
          <w:p w14:paraId="1D0D1336" w14:textId="16DB7299" w:rsidR="005523E7" w:rsidRPr="00952511" w:rsidRDefault="005523E7" w:rsidP="007B7F71">
            <w:pPr>
              <w:jc w:val="both"/>
              <w:rPr>
                <w:rFonts w:ascii="Times New Roman" w:hAnsi="Times New Roman" w:cs="Times New Roman"/>
                <w:b/>
                <w:sz w:val="24"/>
                <w:szCs w:val="24"/>
              </w:rPr>
            </w:pPr>
            <w:r w:rsidRPr="007B7F71">
              <w:rPr>
                <w:rFonts w:ascii="Times New Roman" w:hAnsi="Times New Roman" w:cs="Times New Roman"/>
                <w:sz w:val="24"/>
                <w:szCs w:val="24"/>
              </w:rPr>
              <w:t>Se podria incluir no solamente el beneficio para niños, niñas y adolecentes sino tambien especificar que el 50% se puede aplicar a perosnas de la tercera edad y personas con alguna discapcidad</w:t>
            </w:r>
            <w:r>
              <w:rPr>
                <w:rFonts w:ascii="Times New Roman" w:hAnsi="Times New Roman" w:cs="Times New Roman"/>
                <w:sz w:val="24"/>
                <w:szCs w:val="24"/>
              </w:rPr>
              <w:t>.</w:t>
            </w:r>
          </w:p>
        </w:tc>
        <w:tc>
          <w:tcPr>
            <w:tcW w:w="3615" w:type="dxa"/>
          </w:tcPr>
          <w:p w14:paraId="4ECAC73A" w14:textId="1E45B54F" w:rsidR="005523E7" w:rsidRDefault="005523E7" w:rsidP="00426BD8">
            <w:pPr>
              <w:jc w:val="both"/>
              <w:rPr>
                <w:rFonts w:ascii="Times New Roman" w:hAnsi="Times New Roman" w:cs="Times New Roman"/>
                <w:sz w:val="24"/>
                <w:szCs w:val="24"/>
              </w:rPr>
            </w:pPr>
            <w:r w:rsidRPr="009869D6">
              <w:rPr>
                <w:rFonts w:ascii="Times New Roman" w:hAnsi="Times New Roman" w:cs="Times New Roman"/>
                <w:b/>
                <w:bCs/>
                <w:sz w:val="24"/>
                <w:szCs w:val="24"/>
              </w:rPr>
              <w:t>1. Se acoge,</w:t>
            </w:r>
            <w:r>
              <w:rPr>
                <w:rFonts w:ascii="Times New Roman" w:hAnsi="Times New Roman" w:cs="Times New Roman"/>
                <w:sz w:val="24"/>
                <w:szCs w:val="24"/>
              </w:rPr>
              <w:t xml:space="preserve"> se modifica el texto en el siguiente sentido:</w:t>
            </w:r>
          </w:p>
          <w:p w14:paraId="5C9E6D49" w14:textId="19C5DC48" w:rsidR="005523E7" w:rsidRDefault="005523E7" w:rsidP="007B7F71">
            <w:pPr>
              <w:spacing w:after="120"/>
              <w:jc w:val="both"/>
              <w:rPr>
                <w:rFonts w:ascii="Times New Roman" w:hAnsi="Times New Roman" w:cs="Times New Roman"/>
                <w:sz w:val="24"/>
                <w:szCs w:val="24"/>
              </w:rPr>
            </w:pPr>
            <w:r>
              <w:rPr>
                <w:rFonts w:ascii="Times New Roman" w:hAnsi="Times New Roman" w:cs="Times New Roman"/>
                <w:b/>
                <w:sz w:val="24"/>
                <w:szCs w:val="24"/>
              </w:rPr>
              <w:t>“</w:t>
            </w:r>
            <w:r w:rsidRPr="00655D3D">
              <w:rPr>
                <w:rFonts w:ascii="Times New Roman" w:hAnsi="Times New Roman" w:cs="Times New Roman"/>
                <w:b/>
                <w:sz w:val="24"/>
                <w:szCs w:val="24"/>
              </w:rPr>
              <w:t xml:space="preserve">Artículo 1.- </w:t>
            </w:r>
            <w:r>
              <w:rPr>
                <w:rFonts w:ascii="Times New Roman" w:hAnsi="Times New Roman" w:cs="Times New Roman"/>
                <w:sz w:val="24"/>
                <w:szCs w:val="24"/>
              </w:rPr>
              <w:t>Sustitúyanse las letras g) y h) el artículo 803 del Código Municipal para el Distrito Metropolitano de Quito, por las siguientes:</w:t>
            </w:r>
          </w:p>
          <w:p w14:paraId="44D372DE" w14:textId="77777777" w:rsidR="005523E7" w:rsidRPr="007B7F71" w:rsidRDefault="005523E7" w:rsidP="007B7F71">
            <w:pPr>
              <w:spacing w:after="120"/>
              <w:jc w:val="both"/>
              <w:rPr>
                <w:rFonts w:ascii="Times New Roman" w:hAnsi="Times New Roman" w:cs="Times New Roman"/>
                <w:b/>
                <w:bCs/>
                <w:i/>
                <w:iCs/>
                <w:strike/>
                <w:sz w:val="24"/>
                <w:szCs w:val="24"/>
                <w:lang w:val="es-ES"/>
              </w:rPr>
            </w:pPr>
            <w:r>
              <w:rPr>
                <w:rFonts w:ascii="Times New Roman" w:hAnsi="Times New Roman" w:cs="Times New Roman"/>
                <w:sz w:val="24"/>
                <w:szCs w:val="24"/>
              </w:rPr>
              <w:t>“</w:t>
            </w:r>
            <w:r w:rsidRPr="00C20B64">
              <w:rPr>
                <w:rFonts w:ascii="Times New Roman" w:hAnsi="Times New Roman" w:cs="Times New Roman"/>
                <w:b/>
                <w:bCs/>
                <w:i/>
                <w:iCs/>
                <w:sz w:val="24"/>
                <w:szCs w:val="24"/>
                <w:lang w:val="es-ES"/>
              </w:rPr>
              <w:t>g. Taquilla:</w:t>
            </w:r>
            <w:r w:rsidRPr="00C20B64">
              <w:rPr>
                <w:rFonts w:ascii="Times New Roman" w:hAnsi="Times New Roman" w:cs="Times New Roman"/>
                <w:i/>
                <w:iCs/>
                <w:sz w:val="24"/>
                <w:szCs w:val="24"/>
                <w:lang w:val="es-ES"/>
              </w:rPr>
              <w:t xml:space="preserve"> Es el número total de entradas autorizadas por la </w:t>
            </w:r>
            <w:r>
              <w:rPr>
                <w:rFonts w:ascii="Times New Roman" w:hAnsi="Times New Roman" w:cs="Times New Roman"/>
                <w:i/>
                <w:iCs/>
                <w:sz w:val="24"/>
                <w:szCs w:val="24"/>
                <w:lang w:val="es-ES"/>
              </w:rPr>
              <w:t>dependencia metropolitana responsable en materia tributaria</w:t>
            </w:r>
            <w:r w:rsidRPr="00C20B64">
              <w:rPr>
                <w:rFonts w:ascii="Times New Roman" w:hAnsi="Times New Roman" w:cs="Times New Roman"/>
                <w:i/>
                <w:iCs/>
                <w:sz w:val="24"/>
                <w:szCs w:val="24"/>
                <w:lang w:val="es-ES"/>
              </w:rPr>
              <w:t>, que incluye entradas valoradas, cortesías y gratuidades</w:t>
            </w:r>
            <w:r>
              <w:rPr>
                <w:rFonts w:ascii="Times New Roman" w:hAnsi="Times New Roman" w:cs="Times New Roman"/>
                <w:i/>
                <w:iCs/>
                <w:sz w:val="24"/>
                <w:szCs w:val="24"/>
                <w:lang w:val="es-ES"/>
              </w:rPr>
              <w:t xml:space="preserve">, </w:t>
            </w:r>
            <w:r w:rsidRPr="007B7F71">
              <w:rPr>
                <w:rFonts w:ascii="Times New Roman" w:hAnsi="Times New Roman" w:cs="Times New Roman"/>
                <w:b/>
                <w:bCs/>
                <w:i/>
                <w:iCs/>
                <w:strike/>
                <w:sz w:val="24"/>
                <w:szCs w:val="24"/>
                <w:lang w:val="es-ES"/>
              </w:rPr>
              <w:t xml:space="preserve">incluyendo las que corresponden a </w:t>
            </w:r>
            <w:proofErr w:type="gramStart"/>
            <w:r w:rsidRPr="007B7F71">
              <w:rPr>
                <w:rFonts w:ascii="Times New Roman" w:hAnsi="Times New Roman" w:cs="Times New Roman"/>
                <w:b/>
                <w:bCs/>
                <w:i/>
                <w:iCs/>
                <w:strike/>
                <w:sz w:val="24"/>
                <w:szCs w:val="24"/>
                <w:lang w:val="es-ES"/>
              </w:rPr>
              <w:t>niños y niñas</w:t>
            </w:r>
            <w:proofErr w:type="gramEnd"/>
            <w:r w:rsidRPr="007B7F71">
              <w:rPr>
                <w:rFonts w:ascii="Times New Roman" w:hAnsi="Times New Roman" w:cs="Times New Roman"/>
                <w:b/>
                <w:bCs/>
                <w:i/>
                <w:iCs/>
                <w:strike/>
                <w:sz w:val="24"/>
                <w:szCs w:val="24"/>
                <w:lang w:val="es-ES"/>
              </w:rPr>
              <w:t>,</w:t>
            </w:r>
            <w:r w:rsidRPr="00C20B64">
              <w:rPr>
                <w:rFonts w:ascii="Times New Roman" w:hAnsi="Times New Roman" w:cs="Times New Roman"/>
                <w:i/>
                <w:iCs/>
                <w:sz w:val="24"/>
                <w:szCs w:val="24"/>
                <w:lang w:val="es-ES"/>
              </w:rPr>
              <w:t xml:space="preserve"> y que</w:t>
            </w:r>
            <w:r>
              <w:rPr>
                <w:rFonts w:ascii="Times New Roman" w:hAnsi="Times New Roman" w:cs="Times New Roman"/>
                <w:i/>
                <w:iCs/>
                <w:sz w:val="24"/>
                <w:szCs w:val="24"/>
                <w:lang w:val="es-ES"/>
              </w:rPr>
              <w:t>,</w:t>
            </w:r>
            <w:r w:rsidRPr="00C20B64">
              <w:rPr>
                <w:rFonts w:ascii="Times New Roman" w:hAnsi="Times New Roman" w:cs="Times New Roman"/>
                <w:i/>
                <w:iCs/>
                <w:sz w:val="24"/>
                <w:szCs w:val="24"/>
                <w:lang w:val="es-ES"/>
              </w:rPr>
              <w:t xml:space="preserve"> en ningún caso, podrán sobrepasar el aforo del escenario deportivo.</w:t>
            </w:r>
            <w:r>
              <w:rPr>
                <w:rFonts w:ascii="Times New Roman" w:hAnsi="Times New Roman" w:cs="Times New Roman"/>
                <w:i/>
                <w:iCs/>
                <w:sz w:val="24"/>
                <w:szCs w:val="24"/>
                <w:lang w:val="es-ES"/>
              </w:rPr>
              <w:t xml:space="preserve"> </w:t>
            </w:r>
            <w:r w:rsidRPr="007B7F71">
              <w:rPr>
                <w:rFonts w:ascii="Times New Roman" w:hAnsi="Times New Roman" w:cs="Times New Roman"/>
                <w:b/>
                <w:bCs/>
                <w:i/>
                <w:iCs/>
                <w:strike/>
                <w:sz w:val="24"/>
                <w:szCs w:val="24"/>
                <w:lang w:val="es-ES"/>
              </w:rPr>
              <w:t xml:space="preserve">Se entenderá por </w:t>
            </w:r>
            <w:proofErr w:type="gramStart"/>
            <w:r w:rsidRPr="007B7F71">
              <w:rPr>
                <w:rFonts w:ascii="Times New Roman" w:hAnsi="Times New Roman" w:cs="Times New Roman"/>
                <w:b/>
                <w:bCs/>
                <w:i/>
                <w:iCs/>
                <w:strike/>
                <w:sz w:val="24"/>
                <w:szCs w:val="24"/>
                <w:lang w:val="es-ES"/>
              </w:rPr>
              <w:t>niños y niñas</w:t>
            </w:r>
            <w:proofErr w:type="gramEnd"/>
            <w:r w:rsidRPr="007B7F71">
              <w:rPr>
                <w:rFonts w:ascii="Times New Roman" w:hAnsi="Times New Roman" w:cs="Times New Roman"/>
                <w:b/>
                <w:bCs/>
                <w:i/>
                <w:iCs/>
                <w:strike/>
                <w:sz w:val="24"/>
                <w:szCs w:val="24"/>
                <w:lang w:val="es-ES"/>
              </w:rPr>
              <w:t xml:space="preserve"> a las personas que no han cumplido doce años de edad, conforme lo </w:t>
            </w:r>
            <w:r w:rsidRPr="007B7F71">
              <w:rPr>
                <w:rFonts w:ascii="Times New Roman" w:hAnsi="Times New Roman" w:cs="Times New Roman"/>
                <w:b/>
                <w:bCs/>
                <w:i/>
                <w:iCs/>
                <w:strike/>
                <w:sz w:val="24"/>
                <w:szCs w:val="24"/>
                <w:lang w:val="es-ES"/>
              </w:rPr>
              <w:lastRenderedPageBreak/>
              <w:t>previsto en el Código de la Niñez y Adolescencia.</w:t>
            </w:r>
          </w:p>
          <w:p w14:paraId="1B1F88C5" w14:textId="77777777" w:rsidR="005523E7" w:rsidRDefault="005523E7" w:rsidP="007B7F71">
            <w:pPr>
              <w:spacing w:after="120"/>
              <w:jc w:val="both"/>
              <w:rPr>
                <w:rFonts w:ascii="Times New Roman" w:hAnsi="Times New Roman" w:cs="Times New Roman"/>
                <w:i/>
                <w:iCs/>
                <w:sz w:val="24"/>
                <w:szCs w:val="24"/>
                <w:lang w:val="es-ES"/>
              </w:rPr>
            </w:pPr>
            <w:r w:rsidRPr="00C20B64">
              <w:rPr>
                <w:rFonts w:ascii="Times New Roman" w:hAnsi="Times New Roman" w:cs="Times New Roman"/>
                <w:b/>
                <w:bCs/>
                <w:i/>
                <w:iCs/>
                <w:sz w:val="24"/>
                <w:szCs w:val="24"/>
                <w:lang w:val="es-ES"/>
              </w:rPr>
              <w:t>h. Boleto:</w:t>
            </w:r>
            <w:r w:rsidRPr="00C20B64">
              <w:rPr>
                <w:rFonts w:ascii="Times New Roman" w:hAnsi="Times New Roman" w:cs="Times New Roman"/>
                <w:i/>
                <w:iCs/>
                <w:sz w:val="24"/>
                <w:szCs w:val="24"/>
                <w:lang w:val="es-ES"/>
              </w:rPr>
              <w:t xml:space="preserve"> Es el documento físico o electrónico que habilita a su portador a ingresar a un escenario deportivo y a hacer uso de un puesto ubicado en éste. </w:t>
            </w:r>
            <w:r w:rsidRPr="007B7F71">
              <w:rPr>
                <w:rFonts w:ascii="Times New Roman" w:hAnsi="Times New Roman" w:cs="Times New Roman"/>
                <w:b/>
                <w:bCs/>
                <w:i/>
                <w:iCs/>
                <w:sz w:val="24"/>
                <w:szCs w:val="24"/>
                <w:u w:val="single"/>
                <w:lang w:val="es-ES"/>
              </w:rPr>
              <w:t xml:space="preserve">Las </w:t>
            </w:r>
            <w:r w:rsidRPr="007B7F71">
              <w:rPr>
                <w:rFonts w:ascii="Times New Roman" w:hAnsi="Times New Roman" w:cs="Times New Roman"/>
                <w:b/>
                <w:bCs/>
                <w:i/>
                <w:iCs/>
                <w:sz w:val="24"/>
                <w:szCs w:val="24"/>
                <w:u w:val="single"/>
                <w:lang w:val="es-ES"/>
              </w:rPr>
              <w:t>niñas y niños, entre 3 y 12 años</w:t>
            </w:r>
            <w:r>
              <w:rPr>
                <w:rFonts w:ascii="Times New Roman" w:hAnsi="Times New Roman" w:cs="Times New Roman"/>
                <w:i/>
                <w:iCs/>
                <w:sz w:val="24"/>
                <w:szCs w:val="24"/>
                <w:lang w:val="es-ES"/>
              </w:rPr>
              <w:t xml:space="preserve">, </w:t>
            </w:r>
            <w:r>
              <w:rPr>
                <w:rFonts w:ascii="Times New Roman" w:hAnsi="Times New Roman" w:cs="Times New Roman"/>
                <w:i/>
                <w:iCs/>
                <w:sz w:val="24"/>
                <w:szCs w:val="24"/>
                <w:lang w:val="es-ES"/>
              </w:rPr>
              <w:t>los</w:t>
            </w:r>
            <w:r w:rsidRPr="00C20B64">
              <w:rPr>
                <w:rFonts w:ascii="Times New Roman" w:hAnsi="Times New Roman" w:cs="Times New Roman"/>
                <w:i/>
                <w:iCs/>
                <w:sz w:val="24"/>
                <w:szCs w:val="24"/>
                <w:lang w:val="es-ES"/>
              </w:rPr>
              <w:t xml:space="preserve"> adolescentes pagarán el valor correspondiente al 50% del boleto de un adulto</w:t>
            </w:r>
            <w:r>
              <w:rPr>
                <w:rFonts w:ascii="Times New Roman" w:hAnsi="Times New Roman" w:cs="Times New Roman"/>
                <w:i/>
                <w:iCs/>
                <w:sz w:val="24"/>
                <w:szCs w:val="24"/>
                <w:lang w:val="es-ES"/>
              </w:rPr>
              <w:t>,</w:t>
            </w:r>
            <w:r w:rsidRPr="007B7F71">
              <w:rPr>
                <w:rFonts w:ascii="Times New Roman" w:hAnsi="Times New Roman" w:cs="Times New Roman"/>
                <w:b/>
                <w:bCs/>
                <w:i/>
                <w:iCs/>
                <w:sz w:val="24"/>
                <w:szCs w:val="24"/>
                <w:u w:val="single"/>
                <w:lang w:val="es-ES"/>
              </w:rPr>
              <w:t xml:space="preserve"> beneficio que también podrá ser extendido a personas de la tercera edad y a personas con discapacidad debidamente acreditada</w:t>
            </w:r>
            <w:r w:rsidRPr="00C20B64">
              <w:rPr>
                <w:rFonts w:ascii="Times New Roman" w:hAnsi="Times New Roman" w:cs="Times New Roman"/>
                <w:i/>
                <w:iCs/>
                <w:sz w:val="24"/>
                <w:szCs w:val="24"/>
                <w:lang w:val="es-ES"/>
              </w:rPr>
              <w:t xml:space="preserve">. </w:t>
            </w:r>
            <w:r>
              <w:rPr>
                <w:rFonts w:ascii="Times New Roman" w:hAnsi="Times New Roman" w:cs="Times New Roman"/>
                <w:i/>
                <w:iCs/>
                <w:sz w:val="24"/>
                <w:szCs w:val="24"/>
                <w:lang w:val="es-ES"/>
              </w:rPr>
              <w:t xml:space="preserve">Se entenderá por adolescente a la persona, de ambos sexos, entre doce y dieciocho </w:t>
            </w:r>
            <w:proofErr w:type="gramStart"/>
            <w:r>
              <w:rPr>
                <w:rFonts w:ascii="Times New Roman" w:hAnsi="Times New Roman" w:cs="Times New Roman"/>
                <w:i/>
                <w:iCs/>
                <w:sz w:val="24"/>
                <w:szCs w:val="24"/>
                <w:lang w:val="es-ES"/>
              </w:rPr>
              <w:t>años de edad</w:t>
            </w:r>
            <w:proofErr w:type="gramEnd"/>
            <w:r>
              <w:rPr>
                <w:rFonts w:ascii="Times New Roman" w:hAnsi="Times New Roman" w:cs="Times New Roman"/>
                <w:i/>
                <w:iCs/>
                <w:sz w:val="24"/>
                <w:szCs w:val="24"/>
                <w:lang w:val="es-ES"/>
              </w:rPr>
              <w:t xml:space="preserve"> conforme lo previsto en el Código de la Niñez y Adolescencia.”</w:t>
            </w:r>
          </w:p>
          <w:p w14:paraId="7D655C66" w14:textId="03B6C297" w:rsidR="005523E7" w:rsidRPr="007B7F71" w:rsidRDefault="005523E7" w:rsidP="007B7F71">
            <w:pPr>
              <w:spacing w:after="120"/>
              <w:jc w:val="both"/>
              <w:rPr>
                <w:rFonts w:ascii="Times New Roman" w:hAnsi="Times New Roman" w:cs="Times New Roman"/>
                <w:i/>
                <w:iCs/>
                <w:sz w:val="24"/>
                <w:szCs w:val="24"/>
                <w:lang w:val="es-ES"/>
              </w:rPr>
            </w:pPr>
          </w:p>
        </w:tc>
      </w:tr>
      <w:tr w:rsidR="005523E7" w:rsidRPr="00952511" w14:paraId="75F6F723" w14:textId="77777777" w:rsidTr="007B7F71">
        <w:trPr>
          <w:trHeight w:val="7253"/>
          <w:jc w:val="center"/>
        </w:trPr>
        <w:tc>
          <w:tcPr>
            <w:tcW w:w="2337" w:type="dxa"/>
            <w:vMerge/>
          </w:tcPr>
          <w:p w14:paraId="64D03D5E" w14:textId="77777777" w:rsidR="005523E7" w:rsidRDefault="005523E7" w:rsidP="00426BD8">
            <w:pPr>
              <w:jc w:val="both"/>
              <w:rPr>
                <w:rFonts w:ascii="Times New Roman" w:hAnsi="Times New Roman" w:cs="Times New Roman"/>
                <w:sz w:val="24"/>
                <w:szCs w:val="24"/>
              </w:rPr>
            </w:pPr>
          </w:p>
        </w:tc>
        <w:tc>
          <w:tcPr>
            <w:tcW w:w="1344" w:type="dxa"/>
            <w:vMerge/>
          </w:tcPr>
          <w:p w14:paraId="23CF2D12" w14:textId="77777777" w:rsidR="005523E7" w:rsidRDefault="005523E7" w:rsidP="00426BD8">
            <w:pPr>
              <w:jc w:val="both"/>
              <w:rPr>
                <w:rFonts w:ascii="Times New Roman" w:hAnsi="Times New Roman" w:cs="Times New Roman"/>
                <w:sz w:val="24"/>
                <w:szCs w:val="24"/>
              </w:rPr>
            </w:pPr>
          </w:p>
        </w:tc>
        <w:tc>
          <w:tcPr>
            <w:tcW w:w="3331" w:type="dxa"/>
            <w:vMerge/>
          </w:tcPr>
          <w:p w14:paraId="5E00D0EC" w14:textId="77777777" w:rsidR="005523E7" w:rsidRDefault="005523E7" w:rsidP="00426BD8">
            <w:pPr>
              <w:jc w:val="both"/>
              <w:rPr>
                <w:rFonts w:ascii="Times New Roman" w:hAnsi="Times New Roman" w:cs="Times New Roman"/>
                <w:sz w:val="24"/>
                <w:szCs w:val="24"/>
              </w:rPr>
            </w:pPr>
          </w:p>
        </w:tc>
        <w:tc>
          <w:tcPr>
            <w:tcW w:w="3615" w:type="dxa"/>
          </w:tcPr>
          <w:p w14:paraId="726C0DDA" w14:textId="40C8BE8B" w:rsidR="005523E7" w:rsidRPr="00BF56E6" w:rsidRDefault="005523E7" w:rsidP="00BF56E6">
            <w:pPr>
              <w:jc w:val="both"/>
              <w:rPr>
                <w:rFonts w:ascii="Times New Roman" w:hAnsi="Times New Roman" w:cs="Times New Roman"/>
                <w:bCs/>
                <w:sz w:val="24"/>
                <w:szCs w:val="24"/>
              </w:rPr>
            </w:pPr>
            <w:r>
              <w:rPr>
                <w:rFonts w:ascii="Times New Roman" w:hAnsi="Times New Roman" w:cs="Times New Roman"/>
                <w:bCs/>
                <w:sz w:val="24"/>
                <w:szCs w:val="24"/>
              </w:rPr>
              <w:t>En el artículo 2 s</w:t>
            </w:r>
            <w:r w:rsidRPr="00BF56E6">
              <w:rPr>
                <w:rFonts w:ascii="Times New Roman" w:hAnsi="Times New Roman" w:cs="Times New Roman"/>
                <w:bCs/>
                <w:sz w:val="24"/>
                <w:szCs w:val="24"/>
              </w:rPr>
              <w:t xml:space="preserve">e sugiere remplazar: "serán responsables de realizar campañas de sensibilización anuales en temas de violencia y cultura de paz" por " serán responsables de realizar campañas de sensibilización anuales en temas de violencia y cultura de paz, medidas de seguridad y riesgos, violencia de género, reciclaje y manejo de residuos. </w:t>
            </w:r>
          </w:p>
          <w:p w14:paraId="365C6B71" w14:textId="77777777" w:rsidR="005523E7" w:rsidRPr="00BF56E6" w:rsidRDefault="005523E7" w:rsidP="00BF56E6">
            <w:pPr>
              <w:jc w:val="both"/>
              <w:rPr>
                <w:rFonts w:ascii="Times New Roman" w:hAnsi="Times New Roman" w:cs="Times New Roman"/>
                <w:bCs/>
                <w:sz w:val="24"/>
                <w:szCs w:val="24"/>
              </w:rPr>
            </w:pPr>
          </w:p>
          <w:p w14:paraId="605BCF37" w14:textId="1292A2A6" w:rsidR="005523E7" w:rsidRPr="00BF56E6" w:rsidRDefault="005523E7" w:rsidP="00BF56E6">
            <w:pPr>
              <w:jc w:val="both"/>
              <w:rPr>
                <w:rFonts w:ascii="Times New Roman" w:hAnsi="Times New Roman" w:cs="Times New Roman"/>
                <w:bCs/>
                <w:sz w:val="24"/>
                <w:szCs w:val="24"/>
              </w:rPr>
            </w:pPr>
            <w:r w:rsidRPr="00BF56E6">
              <w:rPr>
                <w:rFonts w:ascii="Times New Roman" w:hAnsi="Times New Roman" w:cs="Times New Roman"/>
                <w:bCs/>
                <w:sz w:val="24"/>
                <w:szCs w:val="24"/>
              </w:rPr>
              <w:t>Se sugiere incluir al final del artículo: "la cual determinará los criterios técnicos, alcance, duración y contenidos de la campaña", a fin de que la normativa tenga una aplicabilidad concreta, caso contrario es difícil llegar a determinar estos criterios entre varias entidades privadas.</w:t>
            </w:r>
          </w:p>
        </w:tc>
        <w:tc>
          <w:tcPr>
            <w:tcW w:w="3615" w:type="dxa"/>
          </w:tcPr>
          <w:p w14:paraId="776E87B4" w14:textId="7FC47061" w:rsidR="005523E7" w:rsidRDefault="005523E7" w:rsidP="00BF56E6">
            <w:pPr>
              <w:jc w:val="both"/>
              <w:rPr>
                <w:rFonts w:ascii="Times New Roman" w:hAnsi="Times New Roman" w:cs="Times New Roman"/>
                <w:sz w:val="24"/>
                <w:szCs w:val="24"/>
              </w:rPr>
            </w:pPr>
            <w:r>
              <w:rPr>
                <w:rFonts w:ascii="Times New Roman" w:hAnsi="Times New Roman" w:cs="Times New Roman"/>
                <w:b/>
                <w:bCs/>
                <w:sz w:val="24"/>
                <w:szCs w:val="24"/>
              </w:rPr>
              <w:t>2</w:t>
            </w:r>
            <w:r w:rsidRPr="009869D6">
              <w:rPr>
                <w:rFonts w:ascii="Times New Roman" w:hAnsi="Times New Roman" w:cs="Times New Roman"/>
                <w:b/>
                <w:bCs/>
                <w:sz w:val="24"/>
                <w:szCs w:val="24"/>
              </w:rPr>
              <w:t>. Se acoge,</w:t>
            </w:r>
            <w:r>
              <w:rPr>
                <w:rFonts w:ascii="Times New Roman" w:hAnsi="Times New Roman" w:cs="Times New Roman"/>
                <w:sz w:val="24"/>
                <w:szCs w:val="24"/>
              </w:rPr>
              <w:t xml:space="preserve"> se modifica el texto en el siguiente sentido:</w:t>
            </w:r>
          </w:p>
          <w:p w14:paraId="71BC9D17" w14:textId="49D1C239" w:rsidR="005523E7" w:rsidRDefault="005523E7" w:rsidP="00BF56E6">
            <w:pPr>
              <w:spacing w:after="120"/>
              <w:jc w:val="both"/>
              <w:rPr>
                <w:rFonts w:ascii="Times New Roman" w:hAnsi="Times New Roman" w:cs="Times New Roman"/>
                <w:i/>
                <w:iCs/>
                <w:sz w:val="24"/>
                <w:szCs w:val="24"/>
                <w:lang w:val="es-ES"/>
              </w:rPr>
            </w:pPr>
            <w:r w:rsidRPr="00C20B64">
              <w:rPr>
                <w:rFonts w:ascii="Times New Roman" w:hAnsi="Times New Roman" w:cs="Times New Roman"/>
                <w:i/>
                <w:iCs/>
                <w:sz w:val="24"/>
                <w:szCs w:val="24"/>
                <w:lang w:val="es-ES"/>
              </w:rPr>
              <w:t>“</w:t>
            </w:r>
            <w:r w:rsidRPr="00C20B64">
              <w:rPr>
                <w:rFonts w:ascii="Times New Roman" w:hAnsi="Times New Roman" w:cs="Times New Roman"/>
                <w:b/>
                <w:bCs/>
                <w:i/>
                <w:iCs/>
                <w:sz w:val="24"/>
                <w:szCs w:val="24"/>
                <w:lang w:val="es-ES"/>
              </w:rPr>
              <w:t>Artículo 805.- Campañas de sensibilización sobre violencia y cultura de paz.-</w:t>
            </w:r>
            <w:r w:rsidRPr="00C20B64">
              <w:rPr>
                <w:rFonts w:ascii="Times New Roman" w:hAnsi="Times New Roman" w:cs="Times New Roman"/>
                <w:i/>
                <w:iCs/>
                <w:sz w:val="24"/>
                <w:szCs w:val="24"/>
                <w:lang w:val="es-ES"/>
              </w:rPr>
              <w:t xml:space="preserve"> </w:t>
            </w:r>
            <w:r>
              <w:rPr>
                <w:rFonts w:ascii="Times New Roman" w:hAnsi="Times New Roman" w:cs="Times New Roman"/>
                <w:i/>
                <w:iCs/>
                <w:sz w:val="24"/>
                <w:szCs w:val="24"/>
                <w:lang w:val="es-ES"/>
              </w:rPr>
              <w:t>L</w:t>
            </w:r>
            <w:r w:rsidRPr="00C20B64">
              <w:rPr>
                <w:rFonts w:ascii="Times New Roman" w:hAnsi="Times New Roman" w:cs="Times New Roman"/>
                <w:i/>
                <w:iCs/>
                <w:sz w:val="24"/>
                <w:szCs w:val="24"/>
                <w:lang w:val="es-ES"/>
              </w:rPr>
              <w:t xml:space="preserve">os propietarios de escenarios deportivos y los organizadores de espectáculos deportivos, </w:t>
            </w:r>
            <w:r w:rsidRPr="00BF56E6">
              <w:rPr>
                <w:rFonts w:ascii="Times New Roman" w:hAnsi="Times New Roman" w:cs="Times New Roman"/>
                <w:b/>
                <w:i/>
                <w:iCs/>
                <w:sz w:val="24"/>
                <w:szCs w:val="24"/>
                <w:u w:val="single"/>
              </w:rPr>
              <w:t>serán responsables de realizar campañas de sensibilización anuales en temas de violencia y cultura de paz, medidas de seguridad y riesgos, violencia de género, reciclaje y manejo de residuos</w:t>
            </w:r>
            <w:r>
              <w:rPr>
                <w:rFonts w:ascii="Times New Roman" w:hAnsi="Times New Roman" w:cs="Times New Roman"/>
                <w:i/>
                <w:iCs/>
                <w:sz w:val="24"/>
                <w:szCs w:val="24"/>
                <w:lang w:val="es-ES"/>
              </w:rPr>
              <w:t xml:space="preserve">. Las campañas se realizarán </w:t>
            </w:r>
            <w:r w:rsidRPr="00C20B64">
              <w:rPr>
                <w:rFonts w:ascii="Times New Roman" w:hAnsi="Times New Roman" w:cs="Times New Roman"/>
                <w:i/>
                <w:iCs/>
                <w:sz w:val="24"/>
                <w:szCs w:val="24"/>
                <w:lang w:val="es-ES"/>
              </w:rPr>
              <w:t xml:space="preserve">en coordinación con </w:t>
            </w:r>
            <w:r>
              <w:rPr>
                <w:rFonts w:ascii="Times New Roman" w:hAnsi="Times New Roman" w:cs="Times New Roman"/>
                <w:i/>
                <w:iCs/>
                <w:sz w:val="24"/>
                <w:szCs w:val="24"/>
                <w:lang w:val="es-ES"/>
              </w:rPr>
              <w:t>la Secretaría metropolitana competente en materia de seguridad ciudadana y gestión de riesgos</w:t>
            </w:r>
            <w:r>
              <w:rPr>
                <w:rFonts w:ascii="Times New Roman" w:hAnsi="Times New Roman" w:cs="Times New Roman"/>
                <w:i/>
                <w:iCs/>
                <w:sz w:val="24"/>
                <w:szCs w:val="24"/>
                <w:lang w:val="es-ES"/>
              </w:rPr>
              <w:t xml:space="preserve">, </w:t>
            </w:r>
            <w:r w:rsidRPr="00BF56E6">
              <w:rPr>
                <w:rFonts w:ascii="Times New Roman" w:hAnsi="Times New Roman" w:cs="Times New Roman"/>
                <w:b/>
                <w:i/>
                <w:iCs/>
                <w:sz w:val="24"/>
                <w:szCs w:val="24"/>
                <w:u w:val="single"/>
              </w:rPr>
              <w:t>la cual determinará los criterios técnicos, alcance, duración y contenidos de la campaña</w:t>
            </w:r>
            <w:r>
              <w:rPr>
                <w:rFonts w:ascii="Times New Roman" w:hAnsi="Times New Roman" w:cs="Times New Roman"/>
                <w:i/>
                <w:iCs/>
                <w:sz w:val="24"/>
                <w:szCs w:val="24"/>
                <w:lang w:val="es-ES"/>
              </w:rPr>
              <w:t>.</w:t>
            </w:r>
            <w:r>
              <w:rPr>
                <w:rFonts w:ascii="Times New Roman" w:hAnsi="Times New Roman" w:cs="Times New Roman"/>
                <w:i/>
                <w:iCs/>
                <w:sz w:val="24"/>
                <w:szCs w:val="24"/>
                <w:lang w:val="es-ES"/>
              </w:rPr>
              <w:t>”</w:t>
            </w:r>
          </w:p>
          <w:p w14:paraId="3D2956E2" w14:textId="77777777" w:rsidR="005523E7" w:rsidRPr="009869D6" w:rsidRDefault="005523E7" w:rsidP="00426BD8">
            <w:pPr>
              <w:jc w:val="both"/>
              <w:rPr>
                <w:rFonts w:ascii="Times New Roman" w:hAnsi="Times New Roman" w:cs="Times New Roman"/>
                <w:b/>
                <w:bCs/>
                <w:sz w:val="24"/>
                <w:szCs w:val="24"/>
              </w:rPr>
            </w:pPr>
          </w:p>
        </w:tc>
      </w:tr>
      <w:tr w:rsidR="005523E7" w:rsidRPr="00952511" w14:paraId="0BE878A5" w14:textId="77777777" w:rsidTr="00E27B25">
        <w:trPr>
          <w:trHeight w:val="699"/>
          <w:jc w:val="center"/>
        </w:trPr>
        <w:tc>
          <w:tcPr>
            <w:tcW w:w="2337" w:type="dxa"/>
            <w:vMerge/>
          </w:tcPr>
          <w:p w14:paraId="568D16B2" w14:textId="77777777" w:rsidR="005523E7" w:rsidRDefault="005523E7" w:rsidP="00426BD8">
            <w:pPr>
              <w:jc w:val="both"/>
              <w:rPr>
                <w:rFonts w:ascii="Times New Roman" w:hAnsi="Times New Roman" w:cs="Times New Roman"/>
                <w:sz w:val="24"/>
                <w:szCs w:val="24"/>
              </w:rPr>
            </w:pPr>
          </w:p>
        </w:tc>
        <w:tc>
          <w:tcPr>
            <w:tcW w:w="1344" w:type="dxa"/>
            <w:vMerge/>
          </w:tcPr>
          <w:p w14:paraId="7DAC98F4" w14:textId="77777777" w:rsidR="005523E7" w:rsidRDefault="005523E7" w:rsidP="00426BD8">
            <w:pPr>
              <w:jc w:val="both"/>
              <w:rPr>
                <w:rFonts w:ascii="Times New Roman" w:hAnsi="Times New Roman" w:cs="Times New Roman"/>
                <w:sz w:val="24"/>
                <w:szCs w:val="24"/>
              </w:rPr>
            </w:pPr>
          </w:p>
        </w:tc>
        <w:tc>
          <w:tcPr>
            <w:tcW w:w="3331" w:type="dxa"/>
            <w:vMerge/>
          </w:tcPr>
          <w:p w14:paraId="6174D73A" w14:textId="77777777" w:rsidR="005523E7" w:rsidRDefault="005523E7" w:rsidP="00426BD8">
            <w:pPr>
              <w:jc w:val="both"/>
              <w:rPr>
                <w:rFonts w:ascii="Times New Roman" w:hAnsi="Times New Roman" w:cs="Times New Roman"/>
                <w:sz w:val="24"/>
                <w:szCs w:val="24"/>
              </w:rPr>
            </w:pPr>
          </w:p>
        </w:tc>
        <w:tc>
          <w:tcPr>
            <w:tcW w:w="3615" w:type="dxa"/>
          </w:tcPr>
          <w:p w14:paraId="5A71BF62" w14:textId="5DCBF4F6" w:rsidR="005523E7" w:rsidRPr="00BF56E6" w:rsidRDefault="005523E7" w:rsidP="007B7F71">
            <w:pPr>
              <w:jc w:val="both"/>
              <w:rPr>
                <w:rFonts w:ascii="Times New Roman" w:hAnsi="Times New Roman" w:cs="Times New Roman"/>
                <w:bCs/>
                <w:sz w:val="24"/>
                <w:szCs w:val="24"/>
              </w:rPr>
            </w:pPr>
            <w:r w:rsidRPr="00BF56E6">
              <w:rPr>
                <w:rFonts w:ascii="Times New Roman" w:hAnsi="Times New Roman" w:cs="Times New Roman"/>
                <w:bCs/>
                <w:sz w:val="24"/>
                <w:szCs w:val="24"/>
              </w:rPr>
              <w:t>En el artículo 4</w:t>
            </w:r>
            <w:r>
              <w:rPr>
                <w:rFonts w:ascii="Times New Roman" w:hAnsi="Times New Roman" w:cs="Times New Roman"/>
                <w:bCs/>
                <w:sz w:val="24"/>
                <w:szCs w:val="24"/>
              </w:rPr>
              <w:t>, s</w:t>
            </w:r>
            <w:r w:rsidRPr="00BF56E6">
              <w:rPr>
                <w:rFonts w:ascii="Times New Roman" w:hAnsi="Times New Roman" w:cs="Times New Roman"/>
                <w:bCs/>
                <w:sz w:val="24"/>
                <w:szCs w:val="24"/>
              </w:rPr>
              <w:t xml:space="preserve">e sugiere incluir al final del texto el siguiente párrafo: "Para la determinación de aforo autorizado la Comisión utilizará la </w:t>
            </w:r>
            <w:r w:rsidRPr="00BF56E6">
              <w:rPr>
                <w:rFonts w:ascii="Times New Roman" w:hAnsi="Times New Roman" w:cs="Times New Roman"/>
                <w:bCs/>
                <w:sz w:val="24"/>
                <w:szCs w:val="24"/>
              </w:rPr>
              <w:lastRenderedPageBreak/>
              <w:t>metodología determinada por la secretaría encargada de la seguridad ciudadana y la gestión de riesgos.</w:t>
            </w:r>
            <w:r w:rsidRPr="00BF56E6">
              <w:rPr>
                <w:rFonts w:ascii="Times New Roman" w:hAnsi="Times New Roman" w:cs="Times New Roman"/>
                <w:bCs/>
                <w:sz w:val="24"/>
                <w:szCs w:val="24"/>
              </w:rPr>
              <w:t xml:space="preserve"> </w:t>
            </w:r>
          </w:p>
        </w:tc>
        <w:tc>
          <w:tcPr>
            <w:tcW w:w="3615" w:type="dxa"/>
          </w:tcPr>
          <w:p w14:paraId="199B307E" w14:textId="7E24EDD2" w:rsidR="005523E7" w:rsidRDefault="005523E7" w:rsidP="00BF56E6">
            <w:pPr>
              <w:jc w:val="both"/>
              <w:rPr>
                <w:rFonts w:ascii="Times New Roman" w:hAnsi="Times New Roman" w:cs="Times New Roman"/>
                <w:sz w:val="24"/>
                <w:szCs w:val="24"/>
              </w:rPr>
            </w:pPr>
            <w:r>
              <w:rPr>
                <w:rFonts w:ascii="Times New Roman" w:hAnsi="Times New Roman" w:cs="Times New Roman"/>
                <w:b/>
                <w:bCs/>
                <w:sz w:val="24"/>
                <w:szCs w:val="24"/>
              </w:rPr>
              <w:lastRenderedPageBreak/>
              <w:t>3</w:t>
            </w:r>
            <w:r w:rsidRPr="009869D6">
              <w:rPr>
                <w:rFonts w:ascii="Times New Roman" w:hAnsi="Times New Roman" w:cs="Times New Roman"/>
                <w:b/>
                <w:bCs/>
                <w:sz w:val="24"/>
                <w:szCs w:val="24"/>
              </w:rPr>
              <w:t>. Se acoge,</w:t>
            </w:r>
            <w:r>
              <w:rPr>
                <w:rFonts w:ascii="Times New Roman" w:hAnsi="Times New Roman" w:cs="Times New Roman"/>
                <w:sz w:val="24"/>
                <w:szCs w:val="24"/>
              </w:rPr>
              <w:t xml:space="preserve"> se modifica el texto en el siguiente sentido:</w:t>
            </w:r>
          </w:p>
          <w:p w14:paraId="719FFE94" w14:textId="4CFF9CD7" w:rsidR="005523E7" w:rsidRDefault="005523E7" w:rsidP="00BF56E6">
            <w:pPr>
              <w:spacing w:after="120"/>
              <w:jc w:val="both"/>
              <w:rPr>
                <w:rFonts w:ascii="Times New Roman" w:hAnsi="Times New Roman" w:cs="Times New Roman"/>
                <w:sz w:val="24"/>
                <w:szCs w:val="24"/>
              </w:rPr>
            </w:pPr>
            <w:r>
              <w:rPr>
                <w:rFonts w:ascii="Times New Roman" w:hAnsi="Times New Roman" w:cs="Times New Roman"/>
                <w:b/>
                <w:bCs/>
                <w:sz w:val="24"/>
                <w:szCs w:val="24"/>
                <w:lang w:val="es-ES"/>
              </w:rPr>
              <w:t>“</w:t>
            </w:r>
            <w:r>
              <w:rPr>
                <w:rFonts w:ascii="Times New Roman" w:hAnsi="Times New Roman" w:cs="Times New Roman"/>
                <w:b/>
                <w:bCs/>
                <w:sz w:val="24"/>
                <w:szCs w:val="24"/>
                <w:lang w:val="es-ES"/>
              </w:rPr>
              <w:t xml:space="preserve">Artículo 4.- </w:t>
            </w:r>
            <w:r>
              <w:rPr>
                <w:rFonts w:ascii="Times New Roman" w:hAnsi="Times New Roman" w:cs="Times New Roman"/>
                <w:sz w:val="24"/>
                <w:szCs w:val="24"/>
              </w:rPr>
              <w:t xml:space="preserve">Sustitúyase el artículo 806 del Código Municipal </w:t>
            </w:r>
            <w:r>
              <w:rPr>
                <w:rFonts w:ascii="Times New Roman" w:hAnsi="Times New Roman" w:cs="Times New Roman"/>
                <w:sz w:val="24"/>
                <w:szCs w:val="24"/>
              </w:rPr>
              <w:lastRenderedPageBreak/>
              <w:t>para el Distrito Metropolitano de Quito, por el siguiente:</w:t>
            </w:r>
          </w:p>
          <w:p w14:paraId="21F6656F" w14:textId="55F1B04B" w:rsidR="005523E7" w:rsidRDefault="005523E7" w:rsidP="00BF56E6">
            <w:pPr>
              <w:spacing w:after="120"/>
              <w:jc w:val="both"/>
              <w:rPr>
                <w:rFonts w:ascii="Times New Roman" w:hAnsi="Times New Roman" w:cs="Times New Roman"/>
                <w:i/>
                <w:iCs/>
                <w:sz w:val="24"/>
                <w:szCs w:val="24"/>
              </w:rPr>
            </w:pPr>
            <w:r w:rsidRPr="00FD6EE8">
              <w:rPr>
                <w:rFonts w:ascii="Times New Roman" w:hAnsi="Times New Roman" w:cs="Times New Roman"/>
                <w:b/>
                <w:bCs/>
                <w:i/>
                <w:iCs/>
                <w:sz w:val="24"/>
                <w:szCs w:val="24"/>
              </w:rPr>
              <w:t>“Artículo 8</w:t>
            </w:r>
            <w:r>
              <w:rPr>
                <w:rFonts w:ascii="Times New Roman" w:hAnsi="Times New Roman" w:cs="Times New Roman"/>
                <w:b/>
                <w:bCs/>
                <w:i/>
                <w:iCs/>
                <w:sz w:val="24"/>
                <w:szCs w:val="24"/>
              </w:rPr>
              <w:t>06</w:t>
            </w:r>
            <w:r w:rsidRPr="00FD6EE8">
              <w:rPr>
                <w:rFonts w:ascii="Times New Roman" w:hAnsi="Times New Roman" w:cs="Times New Roman"/>
                <w:b/>
                <w:bCs/>
                <w:i/>
                <w:iCs/>
                <w:sz w:val="24"/>
                <w:szCs w:val="24"/>
              </w:rPr>
              <w:t xml:space="preserve">.- Comisión Técnica de Aforo.- </w:t>
            </w:r>
            <w:r w:rsidRPr="00FD6EE8">
              <w:rPr>
                <w:rFonts w:ascii="Times New Roman" w:hAnsi="Times New Roman" w:cs="Times New Roman"/>
                <w:i/>
                <w:iCs/>
                <w:sz w:val="24"/>
                <w:szCs w:val="24"/>
              </w:rPr>
              <w:t>Créase la Comisión Técnica de Aforo, que será la encargada de determinar el aforo de los escenarios deportivos masivos del Distrito Metropolitano de Quito. La Comisión Técnica de Aforo estará conformada por un delegado la Secretaría</w:t>
            </w:r>
            <w:r>
              <w:rPr>
                <w:rFonts w:ascii="Times New Roman" w:hAnsi="Times New Roman" w:cs="Times New Roman"/>
                <w:i/>
                <w:iCs/>
                <w:sz w:val="24"/>
                <w:szCs w:val="24"/>
              </w:rPr>
              <w:t xml:space="preserve"> metropolitana</w:t>
            </w:r>
            <w:r w:rsidRPr="00FD6EE8">
              <w:rPr>
                <w:rFonts w:ascii="Times New Roman" w:hAnsi="Times New Roman" w:cs="Times New Roman"/>
                <w:i/>
                <w:iCs/>
                <w:sz w:val="24"/>
                <w:szCs w:val="24"/>
              </w:rPr>
              <w:t xml:space="preserve"> </w:t>
            </w:r>
            <w:r>
              <w:rPr>
                <w:rFonts w:ascii="Times New Roman" w:hAnsi="Times New Roman" w:cs="Times New Roman"/>
                <w:i/>
                <w:iCs/>
                <w:sz w:val="24"/>
                <w:szCs w:val="24"/>
              </w:rPr>
              <w:t>competente en materia de seguridad ciudadana y gestión de riesgos</w:t>
            </w:r>
            <w:r w:rsidRPr="00FD6EE8">
              <w:rPr>
                <w:rFonts w:ascii="Times New Roman" w:hAnsi="Times New Roman" w:cs="Times New Roman"/>
                <w:i/>
                <w:iCs/>
                <w:sz w:val="24"/>
                <w:szCs w:val="24"/>
              </w:rPr>
              <w:t>, un delegado designado por el propietario del escenario deportivo, y un delegado del Cuerpo de Bomberos del Distrito Metropolitano de Quito, quien la presidirá.</w:t>
            </w:r>
          </w:p>
          <w:p w14:paraId="58C80158" w14:textId="53A324A5" w:rsidR="005523E7" w:rsidRPr="00BF56E6" w:rsidRDefault="005523E7" w:rsidP="00BF56E6">
            <w:pPr>
              <w:spacing w:after="120"/>
              <w:jc w:val="both"/>
              <w:rPr>
                <w:rFonts w:ascii="Times New Roman" w:hAnsi="Times New Roman" w:cs="Times New Roman"/>
                <w:b/>
                <w:i/>
                <w:iCs/>
                <w:sz w:val="24"/>
                <w:szCs w:val="24"/>
                <w:u w:val="single"/>
              </w:rPr>
            </w:pPr>
            <w:r w:rsidRPr="00BF56E6">
              <w:rPr>
                <w:rFonts w:ascii="Times New Roman" w:hAnsi="Times New Roman" w:cs="Times New Roman"/>
                <w:b/>
                <w:i/>
                <w:iCs/>
                <w:sz w:val="24"/>
                <w:szCs w:val="24"/>
                <w:u w:val="single"/>
              </w:rPr>
              <w:t>Para la determinación de aforo autorizado la Comisión utilizará la metodología determinada por la secretaría encargada de la seguridad ciudadana y la gestión de riesgos.</w:t>
            </w:r>
            <w:r w:rsidRPr="00BF56E6">
              <w:rPr>
                <w:rFonts w:ascii="Times New Roman" w:hAnsi="Times New Roman" w:cs="Times New Roman"/>
                <w:bCs/>
                <w:sz w:val="24"/>
                <w:szCs w:val="24"/>
              </w:rPr>
              <w:t>”</w:t>
            </w:r>
          </w:p>
        </w:tc>
      </w:tr>
      <w:tr w:rsidR="005523E7" w:rsidRPr="00952511" w14:paraId="43A04E73" w14:textId="77777777" w:rsidTr="005523E7">
        <w:trPr>
          <w:trHeight w:val="2923"/>
          <w:jc w:val="center"/>
        </w:trPr>
        <w:tc>
          <w:tcPr>
            <w:tcW w:w="2337" w:type="dxa"/>
            <w:vMerge/>
          </w:tcPr>
          <w:p w14:paraId="6C74541D" w14:textId="77777777" w:rsidR="005523E7" w:rsidRDefault="005523E7" w:rsidP="00426BD8">
            <w:pPr>
              <w:jc w:val="both"/>
              <w:rPr>
                <w:rFonts w:ascii="Times New Roman" w:hAnsi="Times New Roman" w:cs="Times New Roman"/>
                <w:sz w:val="24"/>
                <w:szCs w:val="24"/>
              </w:rPr>
            </w:pPr>
          </w:p>
        </w:tc>
        <w:tc>
          <w:tcPr>
            <w:tcW w:w="1344" w:type="dxa"/>
            <w:vMerge/>
          </w:tcPr>
          <w:p w14:paraId="45CBD279" w14:textId="77777777" w:rsidR="005523E7" w:rsidRDefault="005523E7" w:rsidP="00426BD8">
            <w:pPr>
              <w:jc w:val="both"/>
              <w:rPr>
                <w:rFonts w:ascii="Times New Roman" w:hAnsi="Times New Roman" w:cs="Times New Roman"/>
                <w:sz w:val="24"/>
                <w:szCs w:val="24"/>
              </w:rPr>
            </w:pPr>
          </w:p>
        </w:tc>
        <w:tc>
          <w:tcPr>
            <w:tcW w:w="3331" w:type="dxa"/>
            <w:vMerge/>
          </w:tcPr>
          <w:p w14:paraId="3756420D" w14:textId="77777777" w:rsidR="005523E7" w:rsidRDefault="005523E7" w:rsidP="00426BD8">
            <w:pPr>
              <w:jc w:val="both"/>
              <w:rPr>
                <w:rFonts w:ascii="Times New Roman" w:hAnsi="Times New Roman" w:cs="Times New Roman"/>
                <w:sz w:val="24"/>
                <w:szCs w:val="24"/>
              </w:rPr>
            </w:pPr>
          </w:p>
        </w:tc>
        <w:tc>
          <w:tcPr>
            <w:tcW w:w="3615" w:type="dxa"/>
          </w:tcPr>
          <w:p w14:paraId="0330BB40" w14:textId="51943AD3" w:rsidR="005523E7" w:rsidRPr="00BF56E6" w:rsidRDefault="005523E7" w:rsidP="007B7F71">
            <w:pPr>
              <w:jc w:val="both"/>
              <w:rPr>
                <w:rFonts w:ascii="Times New Roman" w:hAnsi="Times New Roman" w:cs="Times New Roman"/>
                <w:bCs/>
                <w:sz w:val="24"/>
                <w:szCs w:val="24"/>
              </w:rPr>
            </w:pPr>
            <w:r>
              <w:rPr>
                <w:rFonts w:ascii="Times New Roman" w:hAnsi="Times New Roman" w:cs="Times New Roman"/>
                <w:bCs/>
                <w:sz w:val="24"/>
                <w:szCs w:val="24"/>
              </w:rPr>
              <w:t xml:space="preserve">En el artículo 5, </w:t>
            </w:r>
            <w:r w:rsidRPr="00BF56E6">
              <w:rPr>
                <w:rFonts w:ascii="Times New Roman" w:hAnsi="Times New Roman" w:cs="Times New Roman"/>
                <w:bCs/>
                <w:sz w:val="24"/>
                <w:szCs w:val="24"/>
              </w:rPr>
              <w:t>remplazar "pancartas" por "mapas informativos"</w:t>
            </w:r>
            <w:r>
              <w:rPr>
                <w:rFonts w:ascii="Times New Roman" w:hAnsi="Times New Roman" w:cs="Times New Roman"/>
                <w:bCs/>
                <w:sz w:val="24"/>
                <w:szCs w:val="24"/>
              </w:rPr>
              <w:t>.</w:t>
            </w:r>
          </w:p>
        </w:tc>
        <w:tc>
          <w:tcPr>
            <w:tcW w:w="3615" w:type="dxa"/>
          </w:tcPr>
          <w:p w14:paraId="39F2E39E" w14:textId="129C083C" w:rsidR="005523E7" w:rsidRDefault="005523E7" w:rsidP="00BF56E6">
            <w:pPr>
              <w:jc w:val="both"/>
              <w:rPr>
                <w:rFonts w:ascii="Times New Roman" w:hAnsi="Times New Roman" w:cs="Times New Roman"/>
                <w:sz w:val="24"/>
                <w:szCs w:val="24"/>
              </w:rPr>
            </w:pPr>
            <w:r>
              <w:rPr>
                <w:rFonts w:ascii="Times New Roman" w:hAnsi="Times New Roman" w:cs="Times New Roman"/>
                <w:b/>
                <w:bCs/>
                <w:sz w:val="24"/>
                <w:szCs w:val="24"/>
              </w:rPr>
              <w:t>4</w:t>
            </w:r>
            <w:r w:rsidRPr="009869D6">
              <w:rPr>
                <w:rFonts w:ascii="Times New Roman" w:hAnsi="Times New Roman" w:cs="Times New Roman"/>
                <w:b/>
                <w:bCs/>
                <w:sz w:val="24"/>
                <w:szCs w:val="24"/>
              </w:rPr>
              <w:t>. Se acoge,</w:t>
            </w:r>
            <w:r>
              <w:rPr>
                <w:rFonts w:ascii="Times New Roman" w:hAnsi="Times New Roman" w:cs="Times New Roman"/>
                <w:sz w:val="24"/>
                <w:szCs w:val="24"/>
              </w:rPr>
              <w:t xml:space="preserve"> se modifica el texto en el siguiente sentido:</w:t>
            </w:r>
          </w:p>
          <w:p w14:paraId="1C499402" w14:textId="77777777" w:rsidR="005523E7" w:rsidRDefault="005523E7" w:rsidP="00BF56E6">
            <w:pPr>
              <w:spacing w:after="120"/>
              <w:jc w:val="both"/>
              <w:rPr>
                <w:rFonts w:ascii="Times New Roman" w:hAnsi="Times New Roman" w:cs="Times New Roman"/>
                <w:sz w:val="24"/>
                <w:szCs w:val="24"/>
              </w:rPr>
            </w:pPr>
            <w:r>
              <w:rPr>
                <w:rFonts w:ascii="Times New Roman" w:hAnsi="Times New Roman" w:cs="Times New Roman"/>
                <w:b/>
                <w:bCs/>
                <w:sz w:val="24"/>
                <w:szCs w:val="24"/>
                <w:lang w:val="es-ES"/>
              </w:rPr>
              <w:t xml:space="preserve">Artículo 5.- </w:t>
            </w:r>
            <w:r>
              <w:rPr>
                <w:rFonts w:ascii="Times New Roman" w:hAnsi="Times New Roman" w:cs="Times New Roman"/>
                <w:sz w:val="24"/>
                <w:szCs w:val="24"/>
              </w:rPr>
              <w:t>Sustitúyase el inciso segundo del artículo 809 del Código Municipal para el Distrito Metropolitano de Quito, por el siguiente:</w:t>
            </w:r>
          </w:p>
          <w:p w14:paraId="7F8C4782" w14:textId="11C7236C" w:rsidR="005523E7" w:rsidRDefault="005523E7" w:rsidP="005523E7">
            <w:pPr>
              <w:spacing w:after="120"/>
              <w:jc w:val="both"/>
              <w:rPr>
                <w:rFonts w:ascii="Times New Roman" w:hAnsi="Times New Roman" w:cs="Times New Roman"/>
                <w:b/>
                <w:bCs/>
                <w:sz w:val="24"/>
                <w:szCs w:val="24"/>
              </w:rPr>
            </w:pPr>
            <w:r>
              <w:rPr>
                <w:rFonts w:ascii="Times New Roman" w:hAnsi="Times New Roman" w:cs="Times New Roman"/>
                <w:b/>
                <w:bCs/>
                <w:sz w:val="24"/>
                <w:szCs w:val="24"/>
                <w:lang w:val="es-ES"/>
              </w:rPr>
              <w:t>“</w:t>
            </w:r>
            <w:r w:rsidRPr="004E5ED0">
              <w:rPr>
                <w:rFonts w:ascii="Times New Roman" w:hAnsi="Times New Roman" w:cs="Times New Roman"/>
                <w:i/>
                <w:iCs/>
                <w:sz w:val="24"/>
                <w:szCs w:val="24"/>
                <w:lang w:val="es-ES"/>
              </w:rPr>
              <w:t xml:space="preserve">El organizador o responsable del evento deberá colocar </w:t>
            </w:r>
            <w:r w:rsidRPr="00BF56E6">
              <w:rPr>
                <w:rFonts w:ascii="Times New Roman" w:hAnsi="Times New Roman" w:cs="Times New Roman"/>
                <w:b/>
                <w:bCs/>
                <w:i/>
                <w:iCs/>
                <w:sz w:val="24"/>
                <w:szCs w:val="24"/>
                <w:u w:val="single"/>
                <w:lang w:val="es-ES"/>
              </w:rPr>
              <w:t>mapas</w:t>
            </w:r>
            <w:r>
              <w:rPr>
                <w:rFonts w:ascii="Times New Roman" w:hAnsi="Times New Roman" w:cs="Times New Roman"/>
                <w:b/>
                <w:bCs/>
                <w:i/>
                <w:iCs/>
                <w:sz w:val="24"/>
                <w:szCs w:val="24"/>
                <w:u w:val="single"/>
                <w:lang w:val="es-ES"/>
              </w:rPr>
              <w:t xml:space="preserve"> informativos</w:t>
            </w:r>
            <w:r>
              <w:rPr>
                <w:rFonts w:ascii="Times New Roman" w:hAnsi="Times New Roman" w:cs="Times New Roman"/>
                <w:i/>
                <w:iCs/>
                <w:sz w:val="24"/>
                <w:szCs w:val="24"/>
                <w:u w:val="single"/>
                <w:lang w:val="es-ES"/>
              </w:rPr>
              <w:t xml:space="preserve"> </w:t>
            </w:r>
            <w:r w:rsidRPr="004E5ED0">
              <w:rPr>
                <w:rFonts w:ascii="Times New Roman" w:hAnsi="Times New Roman" w:cs="Times New Roman"/>
                <w:i/>
                <w:iCs/>
                <w:sz w:val="24"/>
                <w:szCs w:val="24"/>
                <w:lang w:val="es-ES"/>
              </w:rPr>
              <w:t>en los exteriores de cada acceso para indicar con claridad a qu</w:t>
            </w:r>
            <w:r>
              <w:rPr>
                <w:rFonts w:ascii="Times New Roman" w:hAnsi="Times New Roman" w:cs="Times New Roman"/>
                <w:i/>
                <w:iCs/>
                <w:sz w:val="24"/>
                <w:szCs w:val="24"/>
                <w:lang w:val="es-ES"/>
              </w:rPr>
              <w:t>é</w:t>
            </w:r>
            <w:r w:rsidRPr="004E5ED0">
              <w:rPr>
                <w:rFonts w:ascii="Times New Roman" w:hAnsi="Times New Roman" w:cs="Times New Roman"/>
                <w:i/>
                <w:iCs/>
                <w:sz w:val="24"/>
                <w:szCs w:val="24"/>
                <w:lang w:val="es-ES"/>
              </w:rPr>
              <w:t xml:space="preserve"> localidad y puestos conduce</w:t>
            </w:r>
            <w:r>
              <w:rPr>
                <w:rFonts w:ascii="Times New Roman" w:hAnsi="Times New Roman" w:cs="Times New Roman"/>
                <w:i/>
                <w:iCs/>
                <w:sz w:val="24"/>
                <w:szCs w:val="24"/>
                <w:lang w:val="es-ES"/>
              </w:rPr>
              <w:t>. Las dimensiones y características de las pancartas de señalización serán definidas por la Comisión Técnica de Seguridad</w:t>
            </w:r>
            <w:r w:rsidRPr="004E5ED0">
              <w:rPr>
                <w:rFonts w:ascii="Times New Roman" w:hAnsi="Times New Roman" w:cs="Times New Roman"/>
                <w:i/>
                <w:iCs/>
                <w:sz w:val="24"/>
                <w:szCs w:val="24"/>
                <w:lang w:val="es-ES"/>
              </w:rPr>
              <w:t>.</w:t>
            </w:r>
            <w:r>
              <w:rPr>
                <w:rFonts w:ascii="Times New Roman" w:hAnsi="Times New Roman" w:cs="Times New Roman"/>
                <w:b/>
                <w:bCs/>
                <w:sz w:val="24"/>
                <w:szCs w:val="24"/>
                <w:lang w:val="es-ES"/>
              </w:rPr>
              <w:t>”</w:t>
            </w:r>
          </w:p>
        </w:tc>
      </w:tr>
      <w:tr w:rsidR="005523E7" w:rsidRPr="00952511" w14:paraId="4467C634" w14:textId="77777777" w:rsidTr="005523E7">
        <w:trPr>
          <w:trHeight w:val="557"/>
          <w:jc w:val="center"/>
        </w:trPr>
        <w:tc>
          <w:tcPr>
            <w:tcW w:w="2337" w:type="dxa"/>
            <w:vMerge/>
          </w:tcPr>
          <w:p w14:paraId="49EA7E8D" w14:textId="77777777" w:rsidR="005523E7" w:rsidRDefault="005523E7" w:rsidP="00426BD8">
            <w:pPr>
              <w:jc w:val="both"/>
              <w:rPr>
                <w:rFonts w:ascii="Times New Roman" w:hAnsi="Times New Roman" w:cs="Times New Roman"/>
                <w:sz w:val="24"/>
                <w:szCs w:val="24"/>
              </w:rPr>
            </w:pPr>
          </w:p>
        </w:tc>
        <w:tc>
          <w:tcPr>
            <w:tcW w:w="1344" w:type="dxa"/>
            <w:vMerge/>
          </w:tcPr>
          <w:p w14:paraId="4405BD17" w14:textId="77777777" w:rsidR="005523E7" w:rsidRDefault="005523E7" w:rsidP="00426BD8">
            <w:pPr>
              <w:jc w:val="both"/>
              <w:rPr>
                <w:rFonts w:ascii="Times New Roman" w:hAnsi="Times New Roman" w:cs="Times New Roman"/>
                <w:sz w:val="24"/>
                <w:szCs w:val="24"/>
              </w:rPr>
            </w:pPr>
          </w:p>
        </w:tc>
        <w:tc>
          <w:tcPr>
            <w:tcW w:w="3331" w:type="dxa"/>
            <w:vMerge/>
          </w:tcPr>
          <w:p w14:paraId="2B33FB57" w14:textId="77777777" w:rsidR="005523E7" w:rsidRDefault="005523E7" w:rsidP="00426BD8">
            <w:pPr>
              <w:jc w:val="both"/>
              <w:rPr>
                <w:rFonts w:ascii="Times New Roman" w:hAnsi="Times New Roman" w:cs="Times New Roman"/>
                <w:sz w:val="24"/>
                <w:szCs w:val="24"/>
              </w:rPr>
            </w:pPr>
          </w:p>
        </w:tc>
        <w:tc>
          <w:tcPr>
            <w:tcW w:w="3615" w:type="dxa"/>
          </w:tcPr>
          <w:p w14:paraId="3B8B1516" w14:textId="7CECB7C5" w:rsidR="005523E7" w:rsidRPr="005523E7" w:rsidRDefault="005523E7" w:rsidP="005523E7">
            <w:pPr>
              <w:jc w:val="both"/>
              <w:rPr>
                <w:rFonts w:ascii="Times New Roman" w:hAnsi="Times New Roman" w:cs="Times New Roman"/>
                <w:bCs/>
                <w:sz w:val="24"/>
                <w:szCs w:val="24"/>
              </w:rPr>
            </w:pPr>
            <w:r>
              <w:rPr>
                <w:rFonts w:ascii="Times New Roman" w:hAnsi="Times New Roman" w:cs="Times New Roman"/>
                <w:bCs/>
                <w:sz w:val="24"/>
                <w:szCs w:val="24"/>
              </w:rPr>
              <w:t>En el artículo 6 r</w:t>
            </w:r>
            <w:r w:rsidRPr="005523E7">
              <w:rPr>
                <w:rFonts w:ascii="Times New Roman" w:hAnsi="Times New Roman" w:cs="Times New Roman"/>
                <w:bCs/>
                <w:sz w:val="24"/>
                <w:szCs w:val="24"/>
              </w:rPr>
              <w:t xml:space="preserve">eemplazar al inicio del artículo "Los propietarios", por "Los propietarios o responsables" a fin de guardar armonía con el art. 7 de la refoma y debido a que no siempre los propietarios de escenarios deportivos son responsables de su administación o mantenimiento, por ejemplo: </w:t>
            </w:r>
            <w:r>
              <w:rPr>
                <w:rFonts w:ascii="Times New Roman" w:hAnsi="Times New Roman" w:cs="Times New Roman"/>
                <w:bCs/>
                <w:sz w:val="24"/>
                <w:szCs w:val="24"/>
              </w:rPr>
              <w:t>c</w:t>
            </w:r>
            <w:r w:rsidRPr="005523E7">
              <w:rPr>
                <w:rFonts w:ascii="Times New Roman" w:hAnsi="Times New Roman" w:cs="Times New Roman"/>
                <w:bCs/>
                <w:sz w:val="24"/>
                <w:szCs w:val="24"/>
              </w:rPr>
              <w:t xml:space="preserve">omodato. </w:t>
            </w:r>
          </w:p>
          <w:p w14:paraId="043E063C" w14:textId="28070AED" w:rsidR="005523E7" w:rsidRDefault="005523E7" w:rsidP="005523E7">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Así mismo, </w:t>
            </w:r>
            <w:r w:rsidRPr="005523E7">
              <w:rPr>
                <w:rFonts w:ascii="Times New Roman" w:hAnsi="Times New Roman" w:cs="Times New Roman"/>
                <w:bCs/>
                <w:sz w:val="24"/>
                <w:szCs w:val="24"/>
              </w:rPr>
              <w:t>agregar luego de "monitores" "y demás recursos tecnológicos definidos conforme a la normativa correspondiente"</w:t>
            </w:r>
            <w:r>
              <w:rPr>
                <w:rFonts w:ascii="Times New Roman" w:hAnsi="Times New Roman" w:cs="Times New Roman"/>
                <w:bCs/>
                <w:sz w:val="24"/>
                <w:szCs w:val="24"/>
              </w:rPr>
              <w:t>.</w:t>
            </w:r>
          </w:p>
        </w:tc>
        <w:tc>
          <w:tcPr>
            <w:tcW w:w="3615" w:type="dxa"/>
          </w:tcPr>
          <w:p w14:paraId="7020FDAC" w14:textId="5E87E4C1" w:rsidR="005523E7" w:rsidRDefault="005523E7" w:rsidP="005523E7">
            <w:pPr>
              <w:jc w:val="both"/>
              <w:rPr>
                <w:rFonts w:ascii="Times New Roman" w:hAnsi="Times New Roman" w:cs="Times New Roman"/>
                <w:sz w:val="24"/>
                <w:szCs w:val="24"/>
              </w:rPr>
            </w:pPr>
            <w:r>
              <w:rPr>
                <w:rFonts w:ascii="Times New Roman" w:hAnsi="Times New Roman" w:cs="Times New Roman"/>
                <w:b/>
                <w:bCs/>
                <w:sz w:val="24"/>
                <w:szCs w:val="24"/>
              </w:rPr>
              <w:lastRenderedPageBreak/>
              <w:t>5</w:t>
            </w:r>
            <w:r w:rsidRPr="009869D6">
              <w:rPr>
                <w:rFonts w:ascii="Times New Roman" w:hAnsi="Times New Roman" w:cs="Times New Roman"/>
                <w:b/>
                <w:bCs/>
                <w:sz w:val="24"/>
                <w:szCs w:val="24"/>
              </w:rPr>
              <w:t>. Se acoge,</w:t>
            </w:r>
            <w:r>
              <w:rPr>
                <w:rFonts w:ascii="Times New Roman" w:hAnsi="Times New Roman" w:cs="Times New Roman"/>
                <w:sz w:val="24"/>
                <w:szCs w:val="24"/>
              </w:rPr>
              <w:t xml:space="preserve"> se modifica el texto en el siguiente sentido:</w:t>
            </w:r>
          </w:p>
          <w:p w14:paraId="52C7FA43" w14:textId="28BF3A14" w:rsidR="005523E7" w:rsidRDefault="005523E7" w:rsidP="005523E7">
            <w:pPr>
              <w:spacing w:after="120"/>
              <w:jc w:val="both"/>
              <w:rPr>
                <w:rFonts w:ascii="Times New Roman" w:hAnsi="Times New Roman" w:cs="Times New Roman"/>
                <w:sz w:val="24"/>
                <w:szCs w:val="24"/>
              </w:rPr>
            </w:pPr>
            <w:r>
              <w:rPr>
                <w:rFonts w:ascii="Times New Roman" w:hAnsi="Times New Roman" w:cs="Times New Roman"/>
                <w:b/>
                <w:bCs/>
                <w:sz w:val="24"/>
                <w:szCs w:val="24"/>
                <w:lang w:val="es-ES"/>
              </w:rPr>
              <w:t>“</w:t>
            </w:r>
            <w:r>
              <w:rPr>
                <w:rFonts w:ascii="Times New Roman" w:hAnsi="Times New Roman" w:cs="Times New Roman"/>
                <w:b/>
                <w:bCs/>
                <w:sz w:val="24"/>
                <w:szCs w:val="24"/>
                <w:lang w:val="es-ES"/>
              </w:rPr>
              <w:t xml:space="preserve">Artículo 6.- </w:t>
            </w:r>
            <w:r>
              <w:rPr>
                <w:rFonts w:ascii="Times New Roman" w:hAnsi="Times New Roman" w:cs="Times New Roman"/>
                <w:sz w:val="24"/>
                <w:szCs w:val="24"/>
              </w:rPr>
              <w:t>Sustitúyase el inciso segundo del artículo 812 del Código Municipal para el Distrito Metropolitano de Quito, por el siguiente:</w:t>
            </w:r>
          </w:p>
          <w:p w14:paraId="5A81E62A" w14:textId="6EFD934E" w:rsidR="005523E7" w:rsidRPr="005523E7" w:rsidRDefault="005523E7" w:rsidP="005523E7">
            <w:pPr>
              <w:spacing w:after="120"/>
              <w:jc w:val="both"/>
              <w:rPr>
                <w:rFonts w:ascii="Times New Roman" w:hAnsi="Times New Roman" w:cs="Times New Roman"/>
                <w:i/>
                <w:iCs/>
                <w:sz w:val="24"/>
                <w:szCs w:val="24"/>
              </w:rPr>
            </w:pPr>
            <w:r w:rsidRPr="004E5ED0">
              <w:rPr>
                <w:rFonts w:ascii="Times New Roman" w:hAnsi="Times New Roman" w:cs="Times New Roman"/>
                <w:i/>
                <w:iCs/>
                <w:sz w:val="24"/>
                <w:szCs w:val="24"/>
              </w:rPr>
              <w:t xml:space="preserve">“Los propietarios </w:t>
            </w:r>
            <w:r w:rsidRPr="005523E7">
              <w:rPr>
                <w:rFonts w:ascii="Times New Roman" w:hAnsi="Times New Roman" w:cs="Times New Roman"/>
                <w:b/>
                <w:bCs/>
                <w:i/>
                <w:iCs/>
                <w:sz w:val="24"/>
                <w:szCs w:val="24"/>
                <w:u w:val="single"/>
              </w:rPr>
              <w:t>o responsables</w:t>
            </w:r>
            <w:r>
              <w:rPr>
                <w:rFonts w:ascii="Times New Roman" w:hAnsi="Times New Roman" w:cs="Times New Roman"/>
                <w:i/>
                <w:iCs/>
                <w:sz w:val="24"/>
                <w:szCs w:val="24"/>
              </w:rPr>
              <w:t xml:space="preserve"> </w:t>
            </w:r>
            <w:r w:rsidRPr="004E5ED0">
              <w:rPr>
                <w:rFonts w:ascii="Times New Roman" w:hAnsi="Times New Roman" w:cs="Times New Roman"/>
                <w:i/>
                <w:iCs/>
                <w:sz w:val="24"/>
                <w:szCs w:val="24"/>
              </w:rPr>
              <w:t xml:space="preserve">de los escenarios </w:t>
            </w:r>
            <w:r>
              <w:rPr>
                <w:rFonts w:ascii="Times New Roman" w:hAnsi="Times New Roman" w:cs="Times New Roman"/>
                <w:i/>
                <w:iCs/>
                <w:sz w:val="24"/>
                <w:szCs w:val="24"/>
              </w:rPr>
              <w:t xml:space="preserve">deportivos </w:t>
            </w:r>
            <w:r w:rsidRPr="004E5ED0">
              <w:rPr>
                <w:rFonts w:ascii="Times New Roman" w:hAnsi="Times New Roman" w:cs="Times New Roman"/>
                <w:i/>
                <w:iCs/>
                <w:sz w:val="24"/>
                <w:szCs w:val="24"/>
              </w:rPr>
              <w:t xml:space="preserve">deberán instalar una sala de control, accesible para los </w:t>
            </w:r>
            <w:r w:rsidRPr="004E5ED0">
              <w:rPr>
                <w:rFonts w:ascii="Times New Roman" w:hAnsi="Times New Roman" w:cs="Times New Roman"/>
                <w:i/>
                <w:iCs/>
                <w:sz w:val="24"/>
                <w:szCs w:val="24"/>
              </w:rPr>
              <w:lastRenderedPageBreak/>
              <w:t>organizadores y autoridades de control local</w:t>
            </w:r>
            <w:r>
              <w:rPr>
                <w:rFonts w:ascii="Times New Roman" w:hAnsi="Times New Roman" w:cs="Times New Roman"/>
                <w:i/>
                <w:iCs/>
                <w:sz w:val="24"/>
                <w:szCs w:val="24"/>
              </w:rPr>
              <w:t xml:space="preserve"> y nacional</w:t>
            </w:r>
            <w:r w:rsidRPr="004E5ED0">
              <w:rPr>
                <w:rFonts w:ascii="Times New Roman" w:hAnsi="Times New Roman" w:cs="Times New Roman"/>
                <w:i/>
                <w:iCs/>
                <w:sz w:val="24"/>
                <w:szCs w:val="24"/>
              </w:rPr>
              <w:t>, equipada con monitores</w:t>
            </w:r>
            <w:r>
              <w:rPr>
                <w:rFonts w:ascii="Times New Roman" w:hAnsi="Times New Roman" w:cs="Times New Roman"/>
                <w:i/>
                <w:iCs/>
                <w:sz w:val="24"/>
                <w:szCs w:val="24"/>
              </w:rPr>
              <w:t xml:space="preserve"> </w:t>
            </w:r>
            <w:r w:rsidRPr="005523E7">
              <w:rPr>
                <w:rFonts w:ascii="Times New Roman" w:hAnsi="Times New Roman" w:cs="Times New Roman"/>
                <w:b/>
                <w:i/>
                <w:iCs/>
                <w:sz w:val="24"/>
                <w:szCs w:val="24"/>
                <w:u w:val="single"/>
              </w:rPr>
              <w:t>y demás recursos tecnológicos definidos conforme a la normativa correspondiente</w:t>
            </w:r>
            <w:r w:rsidRPr="004E5ED0">
              <w:rPr>
                <w:rFonts w:ascii="Times New Roman" w:hAnsi="Times New Roman" w:cs="Times New Roman"/>
                <w:i/>
                <w:iCs/>
                <w:sz w:val="24"/>
                <w:szCs w:val="24"/>
              </w:rPr>
              <w:t xml:space="preserve"> para observar las actividades que reproducen todas las cámaras durante todo el espectáculo deportivo, enlazada con el </w:t>
            </w:r>
            <w:r>
              <w:rPr>
                <w:rFonts w:ascii="Times New Roman" w:hAnsi="Times New Roman" w:cs="Times New Roman"/>
                <w:i/>
                <w:iCs/>
                <w:sz w:val="24"/>
                <w:szCs w:val="24"/>
              </w:rPr>
              <w:t xml:space="preserve">Servicio Integrado de Seguridad ECU </w:t>
            </w:r>
            <w:r w:rsidRPr="004E5ED0">
              <w:rPr>
                <w:rFonts w:ascii="Times New Roman" w:hAnsi="Times New Roman" w:cs="Times New Roman"/>
                <w:i/>
                <w:iCs/>
                <w:sz w:val="24"/>
                <w:szCs w:val="24"/>
              </w:rPr>
              <w:t>911.</w:t>
            </w:r>
            <w:r>
              <w:rPr>
                <w:rFonts w:ascii="Times New Roman" w:hAnsi="Times New Roman" w:cs="Times New Roman"/>
                <w:i/>
                <w:iCs/>
                <w:sz w:val="24"/>
                <w:szCs w:val="24"/>
              </w:rPr>
              <w:t>”</w:t>
            </w:r>
          </w:p>
        </w:tc>
      </w:tr>
      <w:tr w:rsidR="005523E7" w:rsidRPr="00952511" w14:paraId="417D3FA8" w14:textId="77777777" w:rsidTr="005523E7">
        <w:trPr>
          <w:trHeight w:val="416"/>
          <w:jc w:val="center"/>
        </w:trPr>
        <w:tc>
          <w:tcPr>
            <w:tcW w:w="2337" w:type="dxa"/>
            <w:vMerge/>
          </w:tcPr>
          <w:p w14:paraId="2D83CA5B" w14:textId="77777777" w:rsidR="005523E7" w:rsidRDefault="005523E7" w:rsidP="00426BD8">
            <w:pPr>
              <w:jc w:val="both"/>
              <w:rPr>
                <w:rFonts w:ascii="Times New Roman" w:hAnsi="Times New Roman" w:cs="Times New Roman"/>
                <w:sz w:val="24"/>
                <w:szCs w:val="24"/>
              </w:rPr>
            </w:pPr>
          </w:p>
        </w:tc>
        <w:tc>
          <w:tcPr>
            <w:tcW w:w="1344" w:type="dxa"/>
            <w:vMerge/>
          </w:tcPr>
          <w:p w14:paraId="33F6D4C9" w14:textId="77777777" w:rsidR="005523E7" w:rsidRDefault="005523E7" w:rsidP="00426BD8">
            <w:pPr>
              <w:jc w:val="both"/>
              <w:rPr>
                <w:rFonts w:ascii="Times New Roman" w:hAnsi="Times New Roman" w:cs="Times New Roman"/>
                <w:sz w:val="24"/>
                <w:szCs w:val="24"/>
              </w:rPr>
            </w:pPr>
          </w:p>
        </w:tc>
        <w:tc>
          <w:tcPr>
            <w:tcW w:w="3331" w:type="dxa"/>
            <w:vMerge/>
          </w:tcPr>
          <w:p w14:paraId="1F4DE0B0" w14:textId="77777777" w:rsidR="005523E7" w:rsidRDefault="005523E7" w:rsidP="00426BD8">
            <w:pPr>
              <w:jc w:val="both"/>
              <w:rPr>
                <w:rFonts w:ascii="Times New Roman" w:hAnsi="Times New Roman" w:cs="Times New Roman"/>
                <w:sz w:val="24"/>
                <w:szCs w:val="24"/>
              </w:rPr>
            </w:pPr>
          </w:p>
        </w:tc>
        <w:tc>
          <w:tcPr>
            <w:tcW w:w="3615" w:type="dxa"/>
          </w:tcPr>
          <w:p w14:paraId="09B18639" w14:textId="71B82033" w:rsidR="005523E7" w:rsidRDefault="005523E7" w:rsidP="005523E7">
            <w:pPr>
              <w:jc w:val="both"/>
              <w:rPr>
                <w:rFonts w:ascii="Times New Roman" w:hAnsi="Times New Roman" w:cs="Times New Roman"/>
                <w:bCs/>
                <w:sz w:val="24"/>
                <w:szCs w:val="24"/>
              </w:rPr>
            </w:pPr>
            <w:r>
              <w:rPr>
                <w:rFonts w:ascii="Times New Roman" w:hAnsi="Times New Roman" w:cs="Times New Roman"/>
                <w:bCs/>
                <w:sz w:val="24"/>
                <w:szCs w:val="24"/>
              </w:rPr>
              <w:t>En el artículo 7, i</w:t>
            </w:r>
            <w:r w:rsidRPr="005523E7">
              <w:rPr>
                <w:rFonts w:ascii="Times New Roman" w:hAnsi="Times New Roman" w:cs="Times New Roman"/>
                <w:bCs/>
                <w:sz w:val="24"/>
                <w:szCs w:val="24"/>
              </w:rPr>
              <w:t>nclur al final: "o ante las instancias insternacionales correspondientes (FIFA y COMEBOL) a fin de verificar el número de periodistas acreditados y descontar esta cantidad del aforo total autorizado".</w:t>
            </w:r>
          </w:p>
        </w:tc>
        <w:tc>
          <w:tcPr>
            <w:tcW w:w="3615" w:type="dxa"/>
          </w:tcPr>
          <w:p w14:paraId="7D5B95B8" w14:textId="041EA070" w:rsidR="005523E7" w:rsidRPr="005523E7" w:rsidRDefault="005523E7" w:rsidP="005523E7">
            <w:pPr>
              <w:jc w:val="both"/>
              <w:rPr>
                <w:rFonts w:ascii="Times New Roman" w:hAnsi="Times New Roman" w:cs="Times New Roman"/>
                <w:sz w:val="24"/>
                <w:szCs w:val="24"/>
              </w:rPr>
            </w:pPr>
            <w:r>
              <w:rPr>
                <w:rFonts w:ascii="Times New Roman" w:hAnsi="Times New Roman" w:cs="Times New Roman"/>
                <w:b/>
                <w:bCs/>
                <w:sz w:val="24"/>
                <w:szCs w:val="24"/>
              </w:rPr>
              <w:t>6</w:t>
            </w:r>
            <w:r w:rsidRPr="009869D6">
              <w:rPr>
                <w:rFonts w:ascii="Times New Roman" w:hAnsi="Times New Roman" w:cs="Times New Roman"/>
                <w:b/>
                <w:bCs/>
                <w:sz w:val="24"/>
                <w:szCs w:val="24"/>
              </w:rPr>
              <w:t>. Se acoge,</w:t>
            </w:r>
            <w:r>
              <w:rPr>
                <w:rFonts w:ascii="Times New Roman" w:hAnsi="Times New Roman" w:cs="Times New Roman"/>
                <w:sz w:val="24"/>
                <w:szCs w:val="24"/>
              </w:rPr>
              <w:t xml:space="preserve"> se modifica el texto en el siguiente sentido:</w:t>
            </w:r>
          </w:p>
          <w:p w14:paraId="095A35B5" w14:textId="5062E798" w:rsidR="005523E7" w:rsidRDefault="005523E7" w:rsidP="005523E7">
            <w:pPr>
              <w:spacing w:after="120"/>
              <w:jc w:val="both"/>
              <w:rPr>
                <w:rFonts w:ascii="Times New Roman" w:hAnsi="Times New Roman" w:cs="Times New Roman"/>
                <w:sz w:val="24"/>
                <w:szCs w:val="24"/>
              </w:rPr>
            </w:pPr>
            <w:r>
              <w:rPr>
                <w:rFonts w:ascii="Times New Roman" w:hAnsi="Times New Roman" w:cs="Times New Roman"/>
                <w:b/>
                <w:bCs/>
                <w:sz w:val="24"/>
                <w:szCs w:val="24"/>
                <w:lang w:val="es-ES"/>
              </w:rPr>
              <w:t xml:space="preserve">Artículo 7.- </w:t>
            </w:r>
            <w:r>
              <w:rPr>
                <w:rFonts w:ascii="Times New Roman" w:hAnsi="Times New Roman" w:cs="Times New Roman"/>
                <w:sz w:val="24"/>
                <w:szCs w:val="24"/>
              </w:rPr>
              <w:t>Sustitúyase el artículo 816 del Código Municipal para el Distrito Metropolitano de Quito, por el siguiente:</w:t>
            </w:r>
          </w:p>
          <w:p w14:paraId="7A76FAB7" w14:textId="2A9654E8" w:rsidR="005523E7" w:rsidRPr="005523E7" w:rsidRDefault="005523E7" w:rsidP="005523E7">
            <w:pPr>
              <w:spacing w:after="120"/>
              <w:jc w:val="both"/>
              <w:rPr>
                <w:rFonts w:ascii="Times New Roman" w:hAnsi="Times New Roman" w:cs="Times New Roman"/>
                <w:i/>
                <w:iCs/>
                <w:sz w:val="24"/>
                <w:szCs w:val="24"/>
              </w:rPr>
            </w:pPr>
            <w:r w:rsidRPr="00CD06F4">
              <w:rPr>
                <w:rFonts w:ascii="Times New Roman" w:hAnsi="Times New Roman" w:cs="Times New Roman"/>
                <w:b/>
                <w:bCs/>
                <w:i/>
                <w:iCs/>
                <w:sz w:val="24"/>
                <w:szCs w:val="24"/>
                <w:lang w:val="es-ES"/>
              </w:rPr>
              <w:t>“Artículo 8</w:t>
            </w:r>
            <w:r>
              <w:rPr>
                <w:rFonts w:ascii="Times New Roman" w:hAnsi="Times New Roman" w:cs="Times New Roman"/>
                <w:b/>
                <w:bCs/>
                <w:i/>
                <w:iCs/>
                <w:sz w:val="24"/>
                <w:szCs w:val="24"/>
                <w:lang w:val="es-ES"/>
              </w:rPr>
              <w:t>16</w:t>
            </w:r>
            <w:r w:rsidRPr="00CD06F4">
              <w:rPr>
                <w:rFonts w:ascii="Times New Roman" w:hAnsi="Times New Roman" w:cs="Times New Roman"/>
                <w:b/>
                <w:bCs/>
                <w:i/>
                <w:iCs/>
                <w:sz w:val="24"/>
                <w:szCs w:val="24"/>
                <w:lang w:val="es-ES"/>
              </w:rPr>
              <w:t xml:space="preserve">.- Condiciones para las áreas de transmisión.- </w:t>
            </w:r>
            <w:r w:rsidRPr="00CD06F4">
              <w:rPr>
                <w:rFonts w:ascii="Times New Roman" w:hAnsi="Times New Roman" w:cs="Times New Roman"/>
                <w:i/>
                <w:iCs/>
                <w:sz w:val="24"/>
                <w:szCs w:val="24"/>
                <w:lang w:val="es-ES"/>
              </w:rPr>
              <w:t xml:space="preserve">Los propietarios o responsables de los escenarios deportivos deberán brindar al personal de prensa acreditado las facilidades necesarias para su ingreso, ubicación, y acceso a tecnologías de la información y comunicación para el desarrollo de su labor, en todos los sectores del escenario, para lo cual entregarán una </w:t>
            </w:r>
            <w:r w:rsidRPr="00CD06F4">
              <w:rPr>
                <w:rFonts w:ascii="Times New Roman" w:hAnsi="Times New Roman" w:cs="Times New Roman"/>
                <w:i/>
                <w:iCs/>
                <w:sz w:val="24"/>
                <w:szCs w:val="24"/>
                <w:lang w:val="es-ES"/>
              </w:rPr>
              <w:lastRenderedPageBreak/>
              <w:t xml:space="preserve">acreditación registrada con anticipación ante la Secretaría </w:t>
            </w:r>
            <w:r>
              <w:rPr>
                <w:rFonts w:ascii="Times New Roman" w:hAnsi="Times New Roman" w:cs="Times New Roman"/>
                <w:i/>
                <w:iCs/>
                <w:sz w:val="24"/>
                <w:szCs w:val="24"/>
                <w:lang w:val="es-ES"/>
              </w:rPr>
              <w:t>metropolitana responsable en materia de seguridad ciudadana y gestión de riesgos</w:t>
            </w:r>
            <w:r>
              <w:rPr>
                <w:rFonts w:ascii="Times New Roman" w:hAnsi="Times New Roman" w:cs="Times New Roman"/>
                <w:i/>
                <w:iCs/>
                <w:sz w:val="24"/>
                <w:szCs w:val="24"/>
                <w:lang w:val="es-ES"/>
              </w:rPr>
              <w:t xml:space="preserve"> </w:t>
            </w:r>
            <w:r w:rsidRPr="005523E7">
              <w:rPr>
                <w:rFonts w:ascii="Times New Roman" w:hAnsi="Times New Roman" w:cs="Times New Roman"/>
                <w:b/>
                <w:i/>
                <w:iCs/>
                <w:sz w:val="24"/>
                <w:szCs w:val="24"/>
                <w:u w:val="single"/>
              </w:rPr>
              <w:t>o ante las instancias insternacionales correspondientes (FIFA y COMEBOL) a fin de verificar el número de periodistas acreditados y descontar esta cantidad del aforo total autorizado</w:t>
            </w:r>
            <w:r>
              <w:rPr>
                <w:rFonts w:ascii="Times New Roman" w:hAnsi="Times New Roman" w:cs="Times New Roman"/>
                <w:b/>
                <w:i/>
                <w:iCs/>
                <w:sz w:val="24"/>
                <w:szCs w:val="24"/>
                <w:u w:val="single"/>
              </w:rPr>
              <w:t>.”</w:t>
            </w:r>
          </w:p>
        </w:tc>
      </w:tr>
      <w:tr w:rsidR="005523E7" w:rsidRPr="00952511" w14:paraId="211CC31E" w14:textId="77777777" w:rsidTr="005523E7">
        <w:trPr>
          <w:trHeight w:val="4659"/>
          <w:jc w:val="center"/>
        </w:trPr>
        <w:tc>
          <w:tcPr>
            <w:tcW w:w="2337" w:type="dxa"/>
            <w:vMerge/>
          </w:tcPr>
          <w:p w14:paraId="4CCD9B50" w14:textId="77777777" w:rsidR="005523E7" w:rsidRDefault="005523E7" w:rsidP="00426BD8">
            <w:pPr>
              <w:jc w:val="both"/>
              <w:rPr>
                <w:rFonts w:ascii="Times New Roman" w:hAnsi="Times New Roman" w:cs="Times New Roman"/>
                <w:sz w:val="24"/>
                <w:szCs w:val="24"/>
              </w:rPr>
            </w:pPr>
          </w:p>
        </w:tc>
        <w:tc>
          <w:tcPr>
            <w:tcW w:w="1344" w:type="dxa"/>
            <w:vMerge/>
          </w:tcPr>
          <w:p w14:paraId="06CC1D24" w14:textId="77777777" w:rsidR="005523E7" w:rsidRDefault="005523E7" w:rsidP="00426BD8">
            <w:pPr>
              <w:jc w:val="both"/>
              <w:rPr>
                <w:rFonts w:ascii="Times New Roman" w:hAnsi="Times New Roman" w:cs="Times New Roman"/>
                <w:sz w:val="24"/>
                <w:szCs w:val="24"/>
              </w:rPr>
            </w:pPr>
          </w:p>
        </w:tc>
        <w:tc>
          <w:tcPr>
            <w:tcW w:w="3331" w:type="dxa"/>
            <w:vMerge/>
          </w:tcPr>
          <w:p w14:paraId="5F868FB8" w14:textId="77777777" w:rsidR="005523E7" w:rsidRDefault="005523E7" w:rsidP="00426BD8">
            <w:pPr>
              <w:jc w:val="both"/>
              <w:rPr>
                <w:rFonts w:ascii="Times New Roman" w:hAnsi="Times New Roman" w:cs="Times New Roman"/>
                <w:sz w:val="24"/>
                <w:szCs w:val="24"/>
              </w:rPr>
            </w:pPr>
          </w:p>
        </w:tc>
        <w:tc>
          <w:tcPr>
            <w:tcW w:w="3615" w:type="dxa"/>
          </w:tcPr>
          <w:p w14:paraId="4844750A" w14:textId="4352880F" w:rsidR="005523E7" w:rsidRDefault="005523E7" w:rsidP="005523E7">
            <w:pPr>
              <w:jc w:val="both"/>
              <w:rPr>
                <w:rFonts w:ascii="Times New Roman" w:hAnsi="Times New Roman" w:cs="Times New Roman"/>
                <w:bCs/>
                <w:sz w:val="24"/>
                <w:szCs w:val="24"/>
              </w:rPr>
            </w:pPr>
            <w:r>
              <w:rPr>
                <w:rFonts w:ascii="Times New Roman" w:hAnsi="Times New Roman" w:cs="Times New Roman"/>
                <w:bCs/>
                <w:sz w:val="24"/>
                <w:szCs w:val="24"/>
              </w:rPr>
              <w:t xml:space="preserve">En el artículo 11 </w:t>
            </w:r>
            <w:r w:rsidRPr="005523E7">
              <w:rPr>
                <w:rFonts w:ascii="Times New Roman" w:hAnsi="Times New Roman" w:cs="Times New Roman"/>
                <w:bCs/>
                <w:sz w:val="24"/>
                <w:szCs w:val="24"/>
              </w:rPr>
              <w:t>considerar la posibiilidad de que la gratuidad se de solo a partir de los 2 años de edad o menos, por razones de distorción de aforo por presencia de niños y niñas ocupando asientos. Además, los escenarios deportivos son sitios donde se consumen bebidas de moderación, en otros países más desarrollados se evita que en los lugares donde haya menores de edad se pueda comprar alcohol.</w:t>
            </w:r>
          </w:p>
        </w:tc>
        <w:tc>
          <w:tcPr>
            <w:tcW w:w="3615" w:type="dxa"/>
          </w:tcPr>
          <w:p w14:paraId="760B7022" w14:textId="46C6FE44" w:rsidR="005523E7" w:rsidRPr="005523E7" w:rsidRDefault="00E27B25" w:rsidP="005523E7">
            <w:pPr>
              <w:jc w:val="both"/>
              <w:rPr>
                <w:rFonts w:ascii="Times New Roman" w:hAnsi="Times New Roman" w:cs="Times New Roman"/>
                <w:sz w:val="24"/>
                <w:szCs w:val="24"/>
              </w:rPr>
            </w:pPr>
            <w:r>
              <w:rPr>
                <w:rFonts w:ascii="Times New Roman" w:hAnsi="Times New Roman" w:cs="Times New Roman"/>
                <w:b/>
                <w:bCs/>
                <w:sz w:val="24"/>
                <w:szCs w:val="24"/>
              </w:rPr>
              <w:t>7</w:t>
            </w:r>
            <w:r w:rsidR="005523E7" w:rsidRPr="009869D6">
              <w:rPr>
                <w:rFonts w:ascii="Times New Roman" w:hAnsi="Times New Roman" w:cs="Times New Roman"/>
                <w:b/>
                <w:bCs/>
                <w:sz w:val="24"/>
                <w:szCs w:val="24"/>
              </w:rPr>
              <w:t>. Se acoge</w:t>
            </w:r>
            <w:r w:rsidR="005523E7">
              <w:rPr>
                <w:rFonts w:ascii="Times New Roman" w:hAnsi="Times New Roman" w:cs="Times New Roman"/>
                <w:b/>
                <w:bCs/>
                <w:sz w:val="24"/>
                <w:szCs w:val="24"/>
              </w:rPr>
              <w:t xml:space="preserve"> parcialmente</w:t>
            </w:r>
            <w:r w:rsidR="005523E7" w:rsidRPr="009869D6">
              <w:rPr>
                <w:rFonts w:ascii="Times New Roman" w:hAnsi="Times New Roman" w:cs="Times New Roman"/>
                <w:b/>
                <w:bCs/>
                <w:sz w:val="24"/>
                <w:szCs w:val="24"/>
              </w:rPr>
              <w:t>,</w:t>
            </w:r>
            <w:r w:rsidR="005523E7">
              <w:rPr>
                <w:rFonts w:ascii="Times New Roman" w:hAnsi="Times New Roman" w:cs="Times New Roman"/>
                <w:sz w:val="24"/>
                <w:szCs w:val="24"/>
              </w:rPr>
              <w:t xml:space="preserve"> se modifica el texto en el siguiente sentido:</w:t>
            </w:r>
          </w:p>
          <w:p w14:paraId="6BA006C3" w14:textId="5448971E" w:rsidR="005523E7" w:rsidRDefault="005523E7" w:rsidP="005523E7">
            <w:pPr>
              <w:spacing w:after="12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sz w:val="24"/>
                <w:szCs w:val="24"/>
                <w:lang w:val="es-ES"/>
              </w:rPr>
              <w:t xml:space="preserve">Artículo 11.- </w:t>
            </w:r>
            <w:r>
              <w:rPr>
                <w:rFonts w:ascii="Times New Roman" w:hAnsi="Times New Roman" w:cs="Times New Roman"/>
                <w:sz w:val="24"/>
                <w:szCs w:val="24"/>
              </w:rPr>
              <w:t>Sustitúyase el inciso primero artículo 826 del Código Municipal para el Distrito Metropolitano de Quito, por el siguiente:</w:t>
            </w:r>
          </w:p>
          <w:p w14:paraId="054AC964" w14:textId="4D4ABE47" w:rsidR="005523E7" w:rsidRPr="005523E7" w:rsidRDefault="005523E7" w:rsidP="005523E7">
            <w:pPr>
              <w:spacing w:after="120"/>
              <w:jc w:val="both"/>
              <w:rPr>
                <w:rFonts w:ascii="Times New Roman" w:hAnsi="Times New Roman" w:cs="Times New Roman"/>
                <w:i/>
                <w:iCs/>
                <w:sz w:val="24"/>
                <w:szCs w:val="24"/>
              </w:rPr>
            </w:pPr>
            <w:r w:rsidRPr="005523E7">
              <w:rPr>
                <w:rFonts w:ascii="Times New Roman" w:hAnsi="Times New Roman" w:cs="Times New Roman"/>
                <w:b/>
                <w:bCs/>
                <w:i/>
                <w:iCs/>
                <w:sz w:val="24"/>
                <w:szCs w:val="24"/>
                <w:lang w:val="es-ES"/>
              </w:rPr>
              <w:t xml:space="preserve">“Artículo 826.- Ingreso gratuito de menores de </w:t>
            </w:r>
            <w:r w:rsidRPr="005523E7">
              <w:rPr>
                <w:rFonts w:ascii="Times New Roman" w:hAnsi="Times New Roman" w:cs="Times New Roman"/>
                <w:b/>
                <w:bCs/>
                <w:i/>
                <w:iCs/>
                <w:sz w:val="24"/>
                <w:szCs w:val="24"/>
                <w:lang w:val="es-ES"/>
              </w:rPr>
              <w:t>3</w:t>
            </w:r>
            <w:r w:rsidRPr="005523E7">
              <w:rPr>
                <w:rFonts w:ascii="Times New Roman" w:hAnsi="Times New Roman" w:cs="Times New Roman"/>
                <w:b/>
                <w:bCs/>
                <w:i/>
                <w:iCs/>
                <w:sz w:val="24"/>
                <w:szCs w:val="24"/>
                <w:lang w:val="es-ES"/>
              </w:rPr>
              <w:t xml:space="preserve"> años.-</w:t>
            </w:r>
            <w:r w:rsidRPr="005523E7">
              <w:rPr>
                <w:rFonts w:ascii="Times New Roman" w:hAnsi="Times New Roman" w:cs="Times New Roman"/>
                <w:i/>
                <w:iCs/>
                <w:sz w:val="24"/>
                <w:szCs w:val="24"/>
                <w:lang w:val="es-ES"/>
              </w:rPr>
              <w:t xml:space="preserve"> Los organizadores de espectáculos deportivos masivos </w:t>
            </w:r>
            <w:r w:rsidRPr="005523E7">
              <w:rPr>
                <w:rFonts w:ascii="Times New Roman" w:hAnsi="Times New Roman" w:cs="Times New Roman"/>
                <w:b/>
                <w:bCs/>
                <w:i/>
                <w:iCs/>
                <w:sz w:val="24"/>
                <w:szCs w:val="24"/>
                <w:u w:val="single"/>
                <w:lang w:val="es-ES"/>
              </w:rPr>
              <w:t>podrán</w:t>
            </w:r>
            <w:r w:rsidRPr="005523E7">
              <w:rPr>
                <w:rFonts w:ascii="Times New Roman" w:hAnsi="Times New Roman" w:cs="Times New Roman"/>
                <w:i/>
                <w:iCs/>
                <w:sz w:val="24"/>
                <w:szCs w:val="24"/>
                <w:lang w:val="es-ES"/>
              </w:rPr>
              <w:t xml:space="preserve"> </w:t>
            </w:r>
            <w:r w:rsidRPr="005523E7">
              <w:rPr>
                <w:rFonts w:ascii="Times New Roman" w:hAnsi="Times New Roman" w:cs="Times New Roman"/>
                <w:i/>
                <w:iCs/>
                <w:sz w:val="24"/>
                <w:szCs w:val="24"/>
                <w:lang w:val="es-ES"/>
              </w:rPr>
              <w:t xml:space="preserve">permitir el ingreso gratuito de </w:t>
            </w:r>
            <w:proofErr w:type="gramStart"/>
            <w:r w:rsidRPr="005523E7">
              <w:rPr>
                <w:rFonts w:ascii="Times New Roman" w:hAnsi="Times New Roman" w:cs="Times New Roman"/>
                <w:i/>
                <w:iCs/>
                <w:sz w:val="24"/>
                <w:szCs w:val="24"/>
                <w:lang w:val="es-ES"/>
              </w:rPr>
              <w:t>niños y niñas</w:t>
            </w:r>
            <w:proofErr w:type="gramEnd"/>
            <w:r w:rsidRPr="005523E7">
              <w:rPr>
                <w:rFonts w:ascii="Times New Roman" w:hAnsi="Times New Roman" w:cs="Times New Roman"/>
                <w:i/>
                <w:iCs/>
                <w:sz w:val="24"/>
                <w:szCs w:val="24"/>
                <w:lang w:val="es-ES"/>
              </w:rPr>
              <w:t xml:space="preserve"> </w:t>
            </w:r>
            <w:r w:rsidRPr="005523E7">
              <w:rPr>
                <w:rFonts w:ascii="Times New Roman" w:hAnsi="Times New Roman" w:cs="Times New Roman"/>
                <w:b/>
                <w:bCs/>
                <w:i/>
                <w:iCs/>
                <w:sz w:val="24"/>
                <w:szCs w:val="24"/>
                <w:u w:val="single"/>
                <w:lang w:val="es-ES"/>
              </w:rPr>
              <w:t>de hasta 2 años de edad</w:t>
            </w:r>
            <w:r w:rsidRPr="005523E7">
              <w:rPr>
                <w:rFonts w:ascii="Times New Roman" w:hAnsi="Times New Roman" w:cs="Times New Roman"/>
                <w:i/>
                <w:iCs/>
                <w:sz w:val="24"/>
                <w:szCs w:val="24"/>
                <w:lang w:val="es-ES"/>
              </w:rPr>
              <w:t>, acompañados de un adulto.”</w:t>
            </w:r>
          </w:p>
        </w:tc>
      </w:tr>
      <w:tr w:rsidR="00FB496B" w:rsidRPr="00952511" w14:paraId="0C321071" w14:textId="77777777" w:rsidTr="005523E7">
        <w:trPr>
          <w:trHeight w:val="4659"/>
          <w:jc w:val="center"/>
        </w:trPr>
        <w:tc>
          <w:tcPr>
            <w:tcW w:w="2337" w:type="dxa"/>
          </w:tcPr>
          <w:p w14:paraId="34D06F94" w14:textId="4D58E0C9" w:rsidR="00FB496B" w:rsidRDefault="00FB496B" w:rsidP="00426BD8">
            <w:pPr>
              <w:jc w:val="both"/>
              <w:rPr>
                <w:rFonts w:ascii="Times New Roman" w:hAnsi="Times New Roman" w:cs="Times New Roman"/>
                <w:sz w:val="24"/>
                <w:szCs w:val="24"/>
              </w:rPr>
            </w:pPr>
            <w:r>
              <w:rPr>
                <w:rFonts w:ascii="Times New Roman" w:hAnsi="Times New Roman" w:cs="Times New Roman"/>
                <w:sz w:val="24"/>
                <w:szCs w:val="24"/>
              </w:rPr>
              <w:lastRenderedPageBreak/>
              <w:t>Secretaría de Movilidad</w:t>
            </w:r>
          </w:p>
        </w:tc>
        <w:tc>
          <w:tcPr>
            <w:tcW w:w="1344" w:type="dxa"/>
          </w:tcPr>
          <w:p w14:paraId="3B553D9C" w14:textId="687F2EC7" w:rsidR="00FB496B" w:rsidRDefault="00E27B25" w:rsidP="00426BD8">
            <w:pPr>
              <w:jc w:val="both"/>
              <w:rPr>
                <w:rFonts w:ascii="Times New Roman" w:hAnsi="Times New Roman" w:cs="Times New Roman"/>
                <w:sz w:val="24"/>
                <w:szCs w:val="24"/>
              </w:rPr>
            </w:pPr>
            <w:r>
              <w:rPr>
                <w:rFonts w:ascii="Times New Roman" w:hAnsi="Times New Roman" w:cs="Times New Roman"/>
                <w:sz w:val="24"/>
                <w:szCs w:val="24"/>
              </w:rPr>
              <w:t>9 de julio de 2024</w:t>
            </w:r>
          </w:p>
        </w:tc>
        <w:tc>
          <w:tcPr>
            <w:tcW w:w="3331" w:type="dxa"/>
          </w:tcPr>
          <w:p w14:paraId="50295007" w14:textId="74DD5E22" w:rsidR="00FB496B" w:rsidRDefault="00E27B25" w:rsidP="00426BD8">
            <w:pPr>
              <w:jc w:val="both"/>
              <w:rPr>
                <w:rFonts w:ascii="Times New Roman" w:hAnsi="Times New Roman" w:cs="Times New Roman"/>
                <w:sz w:val="24"/>
                <w:szCs w:val="24"/>
              </w:rPr>
            </w:pPr>
            <w:r>
              <w:rPr>
                <w:rFonts w:ascii="Times New Roman" w:hAnsi="Times New Roman" w:cs="Times New Roman"/>
                <w:sz w:val="24"/>
                <w:szCs w:val="24"/>
              </w:rPr>
              <w:t xml:space="preserve">Informe técnico No. </w:t>
            </w:r>
            <w:r w:rsidRPr="00E27B25">
              <w:rPr>
                <w:rFonts w:ascii="Times New Roman" w:hAnsi="Times New Roman" w:cs="Times New Roman"/>
                <w:sz w:val="24"/>
                <w:szCs w:val="24"/>
              </w:rPr>
              <w:t>IT-SM-DMPPM-081</w:t>
            </w:r>
            <w:r>
              <w:rPr>
                <w:rFonts w:ascii="Times New Roman" w:hAnsi="Times New Roman" w:cs="Times New Roman"/>
                <w:sz w:val="24"/>
                <w:szCs w:val="24"/>
              </w:rPr>
              <w:t>.</w:t>
            </w:r>
          </w:p>
        </w:tc>
        <w:tc>
          <w:tcPr>
            <w:tcW w:w="3615" w:type="dxa"/>
          </w:tcPr>
          <w:p w14:paraId="5BF00BE3" w14:textId="0EAE6294" w:rsidR="00FB496B" w:rsidRDefault="00E27B25" w:rsidP="005523E7">
            <w:pPr>
              <w:jc w:val="both"/>
              <w:rPr>
                <w:rFonts w:ascii="Times New Roman" w:hAnsi="Times New Roman" w:cs="Times New Roman"/>
                <w:bCs/>
                <w:sz w:val="24"/>
                <w:szCs w:val="24"/>
              </w:rPr>
            </w:pPr>
            <w:r>
              <w:rPr>
                <w:rFonts w:ascii="Times New Roman" w:hAnsi="Times New Roman" w:cs="Times New Roman"/>
                <w:bCs/>
                <w:sz w:val="24"/>
                <w:szCs w:val="24"/>
              </w:rPr>
              <w:t>S</w:t>
            </w:r>
            <w:r w:rsidRPr="00E27B25">
              <w:rPr>
                <w:rFonts w:ascii="Times New Roman" w:hAnsi="Times New Roman" w:cs="Times New Roman"/>
                <w:bCs/>
                <w:sz w:val="24"/>
                <w:szCs w:val="24"/>
              </w:rPr>
              <w:t>e debe analizar la posibilidad de que la Agencia Metropolitana de Tránsito, o la instancia pertinente, cuantifique y valore los costos del operativo de tránsito asociado a la congestión y estos valores sean cargador a los promotores de los eventos. La AMT junto a la EPMTP presentará un análisis económico financiero, de los gastos adicionales que representa el despliegue operacional para el control y gestión en estos espectáculos, mismo que deberá ser proporcional a la magnitud del evento y al efecto del tráfico sobre la zona.</w:t>
            </w:r>
          </w:p>
        </w:tc>
        <w:tc>
          <w:tcPr>
            <w:tcW w:w="3615" w:type="dxa"/>
          </w:tcPr>
          <w:p w14:paraId="2304DA29" w14:textId="595165C8" w:rsidR="00FB496B" w:rsidRPr="00E27B25" w:rsidRDefault="00E27B25" w:rsidP="005523E7">
            <w:pPr>
              <w:jc w:val="both"/>
              <w:rPr>
                <w:rFonts w:ascii="Times New Roman" w:hAnsi="Times New Roman" w:cs="Times New Roman"/>
                <w:sz w:val="24"/>
                <w:szCs w:val="24"/>
              </w:rPr>
            </w:pPr>
            <w:r>
              <w:rPr>
                <w:rFonts w:ascii="Times New Roman" w:hAnsi="Times New Roman" w:cs="Times New Roman"/>
                <w:b/>
                <w:bCs/>
                <w:sz w:val="24"/>
                <w:szCs w:val="24"/>
              </w:rPr>
              <w:t xml:space="preserve">8. No se acoge, </w:t>
            </w:r>
            <w:r>
              <w:rPr>
                <w:rFonts w:ascii="Times New Roman" w:hAnsi="Times New Roman" w:cs="Times New Roman"/>
                <w:sz w:val="24"/>
                <w:szCs w:val="24"/>
              </w:rPr>
              <w:t>toda vez que la propuesta implicaría la generación de una tasa a través de la cual se retribuyan los costos en los que incurre la ciudad por la prestación del servicio, sin embargo, esto al tratarse de un asunto tributario solo podría ser planteado por iniciativa del señor Alcalde.</w:t>
            </w:r>
          </w:p>
        </w:tc>
      </w:tr>
      <w:tr w:rsidR="004B703E" w:rsidRPr="00952511" w14:paraId="5B09236F" w14:textId="77777777" w:rsidTr="005523E7">
        <w:trPr>
          <w:trHeight w:val="4659"/>
          <w:jc w:val="center"/>
        </w:trPr>
        <w:tc>
          <w:tcPr>
            <w:tcW w:w="2337" w:type="dxa"/>
          </w:tcPr>
          <w:p w14:paraId="7D1ED8AD" w14:textId="42A05E04" w:rsidR="004B703E" w:rsidRDefault="004B703E" w:rsidP="00426BD8">
            <w:pPr>
              <w:jc w:val="both"/>
              <w:rPr>
                <w:rFonts w:ascii="Times New Roman" w:hAnsi="Times New Roman" w:cs="Times New Roman"/>
                <w:sz w:val="24"/>
                <w:szCs w:val="24"/>
              </w:rPr>
            </w:pPr>
            <w:r>
              <w:rPr>
                <w:rFonts w:ascii="Times New Roman" w:hAnsi="Times New Roman" w:cs="Times New Roman"/>
                <w:sz w:val="24"/>
                <w:szCs w:val="24"/>
              </w:rPr>
              <w:lastRenderedPageBreak/>
              <w:t>Concejal Bernardo Abad Merchán</w:t>
            </w:r>
          </w:p>
        </w:tc>
        <w:tc>
          <w:tcPr>
            <w:tcW w:w="1344" w:type="dxa"/>
          </w:tcPr>
          <w:p w14:paraId="236B4D13" w14:textId="29A6379C" w:rsidR="004B703E" w:rsidRDefault="004B703E" w:rsidP="00426BD8">
            <w:pPr>
              <w:jc w:val="both"/>
              <w:rPr>
                <w:rFonts w:ascii="Times New Roman" w:hAnsi="Times New Roman" w:cs="Times New Roman"/>
                <w:sz w:val="24"/>
                <w:szCs w:val="24"/>
              </w:rPr>
            </w:pPr>
            <w:r>
              <w:rPr>
                <w:rFonts w:ascii="Times New Roman" w:hAnsi="Times New Roman" w:cs="Times New Roman"/>
                <w:sz w:val="24"/>
                <w:szCs w:val="24"/>
              </w:rPr>
              <w:t>2 de septiembre de 2024</w:t>
            </w:r>
          </w:p>
        </w:tc>
        <w:tc>
          <w:tcPr>
            <w:tcW w:w="3331" w:type="dxa"/>
          </w:tcPr>
          <w:p w14:paraId="66789EDA" w14:textId="41A1BC13" w:rsidR="004B703E" w:rsidRDefault="004B703E" w:rsidP="00426BD8">
            <w:pPr>
              <w:jc w:val="both"/>
              <w:rPr>
                <w:rFonts w:ascii="Times New Roman" w:hAnsi="Times New Roman" w:cs="Times New Roman"/>
                <w:sz w:val="24"/>
                <w:szCs w:val="24"/>
              </w:rPr>
            </w:pPr>
            <w:r>
              <w:rPr>
                <w:rFonts w:ascii="Times New Roman" w:hAnsi="Times New Roman" w:cs="Times New Roman"/>
                <w:sz w:val="24"/>
                <w:szCs w:val="24"/>
              </w:rPr>
              <w:t>Sesión Ordinaria No. 025 de la Comisión de Deporte y Recreación.</w:t>
            </w:r>
          </w:p>
        </w:tc>
        <w:tc>
          <w:tcPr>
            <w:tcW w:w="3615" w:type="dxa"/>
          </w:tcPr>
          <w:p w14:paraId="3C72FFF1" w14:textId="02992796" w:rsidR="004B703E" w:rsidRDefault="004B703E" w:rsidP="005523E7">
            <w:pPr>
              <w:jc w:val="both"/>
              <w:rPr>
                <w:rFonts w:ascii="Times New Roman" w:hAnsi="Times New Roman" w:cs="Times New Roman"/>
                <w:bCs/>
                <w:sz w:val="24"/>
                <w:szCs w:val="24"/>
              </w:rPr>
            </w:pPr>
            <w:r>
              <w:rPr>
                <w:rFonts w:ascii="Times New Roman" w:hAnsi="Times New Roman" w:cs="Times New Roman"/>
                <w:bCs/>
                <w:sz w:val="24"/>
                <w:szCs w:val="24"/>
              </w:rPr>
              <w:t>El 12 de agosto de 2024 se emitió la Resolución No. SISECU911-DG-2024-005, de la Dirección General del Servicio Integrado de Seguridad ECU 911</w:t>
            </w:r>
            <w:r w:rsidR="0060350D">
              <w:rPr>
                <w:rFonts w:ascii="Times New Roman" w:hAnsi="Times New Roman" w:cs="Times New Roman"/>
                <w:bCs/>
                <w:sz w:val="24"/>
                <w:szCs w:val="24"/>
              </w:rPr>
              <w:t>, que</w:t>
            </w:r>
            <w:r>
              <w:rPr>
                <w:rFonts w:ascii="Times New Roman" w:hAnsi="Times New Roman" w:cs="Times New Roman"/>
                <w:bCs/>
                <w:sz w:val="24"/>
                <w:szCs w:val="24"/>
              </w:rPr>
              <w:t xml:space="preserve"> establece la interoperabilidad de los sistemas y plataformas </w:t>
            </w:r>
            <w:r w:rsidRPr="004B703E">
              <w:rPr>
                <w:rFonts w:ascii="Times New Roman" w:hAnsi="Times New Roman" w:cs="Times New Roman"/>
                <w:bCs/>
                <w:sz w:val="24"/>
                <w:szCs w:val="24"/>
              </w:rPr>
              <w:t>tecnológicas públicas nacionales y locales, y privadas con el Servicio Integrado de Seguridad ECU 911 para la prestación de servicios de emergencias</w:t>
            </w:r>
            <w:r>
              <w:rPr>
                <w:rFonts w:ascii="Times New Roman" w:hAnsi="Times New Roman" w:cs="Times New Roman"/>
                <w:bCs/>
                <w:sz w:val="24"/>
                <w:szCs w:val="24"/>
              </w:rPr>
              <w:t>, por lo que es importante incorporar esta norma en considerandos como base normativa justificativa de la propuesta de interoperabilidad de los sistemas de videovigilancia en escenarios deportivos con el ECU911.</w:t>
            </w:r>
          </w:p>
        </w:tc>
        <w:tc>
          <w:tcPr>
            <w:tcW w:w="3615" w:type="dxa"/>
          </w:tcPr>
          <w:p w14:paraId="4788E962" w14:textId="77777777" w:rsidR="004B703E" w:rsidRDefault="004B703E" w:rsidP="005523E7">
            <w:pPr>
              <w:jc w:val="both"/>
              <w:rPr>
                <w:rFonts w:ascii="Times New Roman" w:hAnsi="Times New Roman" w:cs="Times New Roman"/>
                <w:sz w:val="24"/>
                <w:szCs w:val="24"/>
              </w:rPr>
            </w:pPr>
            <w:r>
              <w:rPr>
                <w:rFonts w:ascii="Times New Roman" w:hAnsi="Times New Roman" w:cs="Times New Roman"/>
                <w:b/>
                <w:bCs/>
                <w:sz w:val="24"/>
                <w:szCs w:val="24"/>
              </w:rPr>
              <w:t>9</w:t>
            </w:r>
            <w:r>
              <w:rPr>
                <w:rFonts w:ascii="Times New Roman" w:hAnsi="Times New Roman" w:cs="Times New Roman"/>
                <w:b/>
                <w:bCs/>
                <w:sz w:val="24"/>
                <w:szCs w:val="24"/>
              </w:rPr>
              <w:t xml:space="preserve">. </w:t>
            </w:r>
            <w:r>
              <w:rPr>
                <w:rFonts w:ascii="Times New Roman" w:hAnsi="Times New Roman" w:cs="Times New Roman"/>
                <w:b/>
                <w:bCs/>
                <w:sz w:val="24"/>
                <w:szCs w:val="24"/>
              </w:rPr>
              <w:t>S</w:t>
            </w:r>
            <w:r>
              <w:rPr>
                <w:rFonts w:ascii="Times New Roman" w:hAnsi="Times New Roman" w:cs="Times New Roman"/>
                <w:b/>
                <w:bCs/>
                <w:sz w:val="24"/>
                <w:szCs w:val="24"/>
              </w:rPr>
              <w:t xml:space="preserve">e acoge, </w:t>
            </w:r>
            <w:r>
              <w:rPr>
                <w:rFonts w:ascii="Times New Roman" w:hAnsi="Times New Roman" w:cs="Times New Roman"/>
                <w:sz w:val="24"/>
                <w:szCs w:val="24"/>
              </w:rPr>
              <w:t>se incorpora modificación en el sentido propuesto:</w:t>
            </w:r>
          </w:p>
          <w:p w14:paraId="22D185DD" w14:textId="3AF94435" w:rsidR="004B703E" w:rsidRPr="0060350D" w:rsidRDefault="004B703E" w:rsidP="005523E7">
            <w:pPr>
              <w:jc w:val="both"/>
              <w:rPr>
                <w:rFonts w:ascii="Times New Roman" w:hAnsi="Times New Roman" w:cs="Times New Roman"/>
                <w:b/>
                <w:bCs/>
                <w:i/>
                <w:iCs/>
                <w:sz w:val="24"/>
                <w:szCs w:val="24"/>
                <w:u w:val="single"/>
              </w:rPr>
            </w:pPr>
            <w:r w:rsidRPr="0060350D">
              <w:rPr>
                <w:rFonts w:ascii="Times New Roman" w:hAnsi="Times New Roman" w:cs="Times New Roman"/>
                <w:b/>
                <w:bCs/>
                <w:i/>
                <w:iCs/>
                <w:sz w:val="24"/>
                <w:szCs w:val="24"/>
                <w:u w:val="single"/>
              </w:rPr>
              <w:t>“</w:t>
            </w:r>
            <w:r w:rsidR="0060350D" w:rsidRPr="0060350D">
              <w:rPr>
                <w:rFonts w:ascii="Times New Roman" w:hAnsi="Times New Roman" w:cs="Times New Roman"/>
                <w:b/>
                <w:bCs/>
                <w:i/>
                <w:iCs/>
                <w:sz w:val="24"/>
                <w:szCs w:val="24"/>
                <w:u w:val="single"/>
              </w:rPr>
              <w:t xml:space="preserve">Que, </w:t>
            </w:r>
            <w:r w:rsidR="0060350D" w:rsidRPr="0060350D">
              <w:rPr>
                <w:rFonts w:ascii="Times New Roman" w:hAnsi="Times New Roman" w:cs="Times New Roman"/>
                <w:b/>
                <w:bCs/>
                <w:i/>
                <w:iCs/>
                <w:sz w:val="24"/>
                <w:szCs w:val="24"/>
                <w:u w:val="single"/>
              </w:rPr>
              <w:t>12 de agosto de 2024 se emitió la Resolución No. SISECU911-DG-2024-005, de la Dirección General del Servicio Integrado de Seguridad ECU 911</w:t>
            </w:r>
            <w:r w:rsidR="0060350D" w:rsidRPr="0060350D">
              <w:rPr>
                <w:rFonts w:ascii="Times New Roman" w:hAnsi="Times New Roman" w:cs="Times New Roman"/>
                <w:b/>
                <w:bCs/>
                <w:i/>
                <w:iCs/>
                <w:sz w:val="24"/>
                <w:szCs w:val="24"/>
                <w:u w:val="single"/>
              </w:rPr>
              <w:t>, que</w:t>
            </w:r>
            <w:r w:rsidR="0060350D" w:rsidRPr="0060350D">
              <w:rPr>
                <w:rFonts w:ascii="Times New Roman" w:hAnsi="Times New Roman" w:cs="Times New Roman"/>
                <w:b/>
                <w:bCs/>
                <w:i/>
                <w:iCs/>
                <w:sz w:val="24"/>
                <w:szCs w:val="24"/>
                <w:u w:val="single"/>
              </w:rPr>
              <w:t xml:space="preserve"> establece la interoperabilidad de los sistemas y plataformas tecnológicas públicas nacionales y locales, y privadas con el Servicio Integrado de Seguridad ECU 911 para la prestación de servicios de emergencias</w:t>
            </w:r>
            <w:r w:rsidR="0060350D" w:rsidRPr="0060350D">
              <w:rPr>
                <w:rFonts w:ascii="Times New Roman" w:hAnsi="Times New Roman" w:cs="Times New Roman"/>
                <w:b/>
                <w:bCs/>
                <w:i/>
                <w:iCs/>
                <w:sz w:val="24"/>
                <w:szCs w:val="24"/>
                <w:u w:val="single"/>
              </w:rPr>
              <w:t>;”</w:t>
            </w:r>
          </w:p>
        </w:tc>
      </w:tr>
    </w:tbl>
    <w:p w14:paraId="0A6E7ABB" w14:textId="2473CC95" w:rsidR="00426BD8" w:rsidRDefault="00426BD8" w:rsidP="00952511"/>
    <w:sectPr w:rsidR="00426BD8" w:rsidSect="0095251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11"/>
    <w:rsid w:val="00027D53"/>
    <w:rsid w:val="0004386E"/>
    <w:rsid w:val="000454D7"/>
    <w:rsid w:val="0006003C"/>
    <w:rsid w:val="000662C9"/>
    <w:rsid w:val="000677F3"/>
    <w:rsid w:val="000B1991"/>
    <w:rsid w:val="000D6953"/>
    <w:rsid w:val="000E1F60"/>
    <w:rsid w:val="001909D6"/>
    <w:rsid w:val="001F09A6"/>
    <w:rsid w:val="002064B0"/>
    <w:rsid w:val="00211E37"/>
    <w:rsid w:val="00254FC8"/>
    <w:rsid w:val="002A3127"/>
    <w:rsid w:val="002C5AB3"/>
    <w:rsid w:val="00336401"/>
    <w:rsid w:val="00347663"/>
    <w:rsid w:val="003F64C4"/>
    <w:rsid w:val="00410D9E"/>
    <w:rsid w:val="00426BD8"/>
    <w:rsid w:val="00431E27"/>
    <w:rsid w:val="00466FAF"/>
    <w:rsid w:val="004B703E"/>
    <w:rsid w:val="004E1A12"/>
    <w:rsid w:val="005523E7"/>
    <w:rsid w:val="0060350D"/>
    <w:rsid w:val="006336AB"/>
    <w:rsid w:val="006373F9"/>
    <w:rsid w:val="006A0EF5"/>
    <w:rsid w:val="006C370A"/>
    <w:rsid w:val="006F16E1"/>
    <w:rsid w:val="00703780"/>
    <w:rsid w:val="007812D5"/>
    <w:rsid w:val="007B7F71"/>
    <w:rsid w:val="00807007"/>
    <w:rsid w:val="00835C64"/>
    <w:rsid w:val="008521FA"/>
    <w:rsid w:val="008A1071"/>
    <w:rsid w:val="008A7864"/>
    <w:rsid w:val="00901BF9"/>
    <w:rsid w:val="009447A9"/>
    <w:rsid w:val="00952511"/>
    <w:rsid w:val="009869D6"/>
    <w:rsid w:val="009B5C5C"/>
    <w:rsid w:val="00A01804"/>
    <w:rsid w:val="00A27744"/>
    <w:rsid w:val="00A30B11"/>
    <w:rsid w:val="00A52DB7"/>
    <w:rsid w:val="00AB1F96"/>
    <w:rsid w:val="00AE71D7"/>
    <w:rsid w:val="00B75796"/>
    <w:rsid w:val="00B951DA"/>
    <w:rsid w:val="00BA1065"/>
    <w:rsid w:val="00BD5B59"/>
    <w:rsid w:val="00BF56E6"/>
    <w:rsid w:val="00C1445E"/>
    <w:rsid w:val="00C22943"/>
    <w:rsid w:val="00C36FBE"/>
    <w:rsid w:val="00C403AF"/>
    <w:rsid w:val="00C5260D"/>
    <w:rsid w:val="00CB2902"/>
    <w:rsid w:val="00CB62D6"/>
    <w:rsid w:val="00CD16E9"/>
    <w:rsid w:val="00CD3D2B"/>
    <w:rsid w:val="00D371F2"/>
    <w:rsid w:val="00D61F3B"/>
    <w:rsid w:val="00D712C4"/>
    <w:rsid w:val="00D71CE7"/>
    <w:rsid w:val="00D73C76"/>
    <w:rsid w:val="00D762B4"/>
    <w:rsid w:val="00D7780A"/>
    <w:rsid w:val="00DE1094"/>
    <w:rsid w:val="00DE584A"/>
    <w:rsid w:val="00E02184"/>
    <w:rsid w:val="00E27B25"/>
    <w:rsid w:val="00E72E68"/>
    <w:rsid w:val="00E92DC5"/>
    <w:rsid w:val="00EB5D46"/>
    <w:rsid w:val="00EE4E8A"/>
    <w:rsid w:val="00F076E6"/>
    <w:rsid w:val="00FA0C6F"/>
    <w:rsid w:val="00FB0223"/>
    <w:rsid w:val="00FB4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4517"/>
  <w15:chartTrackingRefBased/>
  <w15:docId w15:val="{F60E0CD2-83EB-42B3-BF8B-D0E9ADAF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11"/>
    <w:pPr>
      <w:spacing w:after="200" w:line="276" w:lineRule="auto"/>
    </w:pPr>
    <w:rPr>
      <w:rFonts w:eastAsiaTheme="minorEastAsia"/>
      <w:lang w:val="es-EC" w:eastAsia="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52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2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TotalTime>
  <Pages>9</Pages>
  <Words>1577</Words>
  <Characters>8679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Sebastián Cevallos Salgado</dc:creator>
  <cp:keywords/>
  <dc:description/>
  <cp:lastModifiedBy>Diego Cevallos</cp:lastModifiedBy>
  <cp:revision>42</cp:revision>
  <dcterms:created xsi:type="dcterms:W3CDTF">2021-11-16T14:10:00Z</dcterms:created>
  <dcterms:modified xsi:type="dcterms:W3CDTF">2024-09-02T13:20:00Z</dcterms:modified>
</cp:coreProperties>
</file>