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1984" w14:textId="77777777" w:rsidR="006A65D2" w:rsidRPr="00DB75C1" w:rsidRDefault="006939C8" w:rsidP="00DB75C1">
      <w:pPr>
        <w:spacing w:after="0" w:line="240" w:lineRule="auto"/>
        <w:jc w:val="center"/>
        <w:rPr>
          <w:rFonts w:ascii="Palatino Linotype" w:eastAsia="Times New Roman" w:hAnsi="Palatino Linotype" w:cs="Times New Roman"/>
          <w:b/>
        </w:rPr>
      </w:pPr>
      <w:r w:rsidRPr="00DB75C1">
        <w:rPr>
          <w:rFonts w:ascii="Palatino Linotype" w:eastAsia="Times New Roman" w:hAnsi="Palatino Linotype" w:cs="Times New Roman"/>
          <w:b/>
        </w:rPr>
        <w:t>EL CONCEJO METROPOLITANO DE QUITO</w:t>
      </w:r>
    </w:p>
    <w:p w14:paraId="4FF79C7E" w14:textId="77777777" w:rsidR="006A65D2" w:rsidRPr="00DB75C1" w:rsidRDefault="006A65D2" w:rsidP="00DB75C1">
      <w:pPr>
        <w:pStyle w:val="Sinespaciado"/>
        <w:jc w:val="center"/>
        <w:rPr>
          <w:rFonts w:ascii="Palatino Linotype" w:eastAsiaTheme="minorHAnsi" w:hAnsi="Palatino Linotype"/>
          <w:b/>
          <w:sz w:val="22"/>
          <w:szCs w:val="22"/>
          <w:lang w:val="es-EC" w:eastAsia="en-US"/>
        </w:rPr>
      </w:pPr>
    </w:p>
    <w:p w14:paraId="693B68CF" w14:textId="77777777"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CONSIDERANDO:</w:t>
      </w:r>
    </w:p>
    <w:p w14:paraId="2730C1A4" w14:textId="77777777" w:rsidR="006A65D2" w:rsidRPr="00DB75C1" w:rsidRDefault="006A65D2" w:rsidP="00DB75C1">
      <w:pPr>
        <w:pStyle w:val="Sinespaciado"/>
        <w:jc w:val="both"/>
        <w:rPr>
          <w:rFonts w:ascii="Palatino Linotype" w:eastAsiaTheme="minorHAnsi" w:hAnsi="Palatino Linotype"/>
          <w:b/>
          <w:sz w:val="22"/>
          <w:szCs w:val="22"/>
          <w:lang w:val="es-EC" w:eastAsia="en-US"/>
        </w:rPr>
      </w:pPr>
    </w:p>
    <w:p w14:paraId="14816E66" w14:textId="77777777" w:rsidR="006A65D2" w:rsidRPr="00DB75C1" w:rsidRDefault="003E5AE2"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Pr="00DB75C1">
        <w:rPr>
          <w:rFonts w:ascii="Palatino Linotype" w:hAnsi="Palatino Linotype"/>
        </w:rPr>
        <w:tab/>
      </w:r>
      <w:r w:rsidR="006939C8" w:rsidRPr="00DB75C1">
        <w:rPr>
          <w:rFonts w:ascii="Palatino Linotype" w:hAnsi="Palatino Linotype"/>
        </w:rPr>
        <w:t>la Constitución de la República del Ecuador, en el artículo 238, establece que: “</w:t>
      </w:r>
      <w:r w:rsidR="006939C8" w:rsidRPr="00DB75C1">
        <w:rPr>
          <w:rFonts w:ascii="Palatino Linotype" w:hAnsi="Palatino Linotype"/>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6939C8" w:rsidRPr="00DB75C1">
        <w:rPr>
          <w:rFonts w:ascii="Palatino Linotype" w:hAnsi="Palatino Linotype"/>
        </w:rPr>
        <w:t>;</w:t>
      </w:r>
      <w:r w:rsidR="006939C8" w:rsidRPr="00DB75C1">
        <w:rPr>
          <w:rFonts w:ascii="Palatino Linotype" w:hAnsi="Palatino Linotype"/>
          <w:i/>
        </w:rPr>
        <w:t xml:space="preserve"> </w:t>
      </w:r>
    </w:p>
    <w:p w14:paraId="4474ECE9" w14:textId="77777777" w:rsidR="006A65D2" w:rsidRPr="00DB75C1" w:rsidRDefault="006A65D2" w:rsidP="00DB75C1">
      <w:pPr>
        <w:pStyle w:val="Sinespaciado"/>
        <w:jc w:val="both"/>
        <w:rPr>
          <w:rFonts w:ascii="Palatino Linotype" w:eastAsiaTheme="minorHAnsi" w:hAnsi="Palatino Linotype"/>
          <w:b/>
          <w:sz w:val="22"/>
          <w:szCs w:val="22"/>
          <w:lang w:val="es-EC" w:eastAsia="en-US"/>
        </w:rPr>
      </w:pPr>
    </w:p>
    <w:p w14:paraId="54B186C7" w14:textId="77777777" w:rsidR="006A65D2" w:rsidRPr="00DB75C1" w:rsidRDefault="00A975FB"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240, señala que: “</w:t>
      </w:r>
      <w:r w:rsidR="006939C8" w:rsidRPr="00DB75C1">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006939C8" w:rsidRPr="00DB75C1">
        <w:rPr>
          <w:rFonts w:ascii="Palatino Linotype" w:hAnsi="Palatino Linotype"/>
        </w:rPr>
        <w:t>;</w:t>
      </w:r>
      <w:r w:rsidR="006939C8" w:rsidRPr="00DB75C1">
        <w:rPr>
          <w:rFonts w:ascii="Palatino Linotype" w:hAnsi="Palatino Linotype"/>
          <w:i/>
        </w:rPr>
        <w:t xml:space="preserve"> </w:t>
      </w:r>
    </w:p>
    <w:p w14:paraId="398C5BDB" w14:textId="77777777" w:rsidR="006A65D2" w:rsidRPr="00DB75C1" w:rsidRDefault="006A65D2" w:rsidP="00DB75C1">
      <w:pPr>
        <w:spacing w:after="0" w:line="240" w:lineRule="auto"/>
        <w:ind w:left="708" w:hanging="708"/>
        <w:jc w:val="both"/>
        <w:rPr>
          <w:rFonts w:ascii="Palatino Linotype" w:hAnsi="Palatino Linotype"/>
          <w:i/>
        </w:rPr>
      </w:pPr>
    </w:p>
    <w:p w14:paraId="58ACB90C" w14:textId="77777777" w:rsidR="006A65D2" w:rsidRPr="00DB75C1" w:rsidRDefault="00A975FB" w:rsidP="00DB75C1">
      <w:pPr>
        <w:spacing w:after="0" w:line="240" w:lineRule="auto"/>
        <w:ind w:left="705" w:hanging="705"/>
        <w:jc w:val="both"/>
        <w:rPr>
          <w:rFonts w:ascii="Palatino Linotype" w:hAnsi="Palatino Linotype"/>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266, determina que: “</w:t>
      </w:r>
      <w:r w:rsidR="006939C8" w:rsidRPr="00DB75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6939C8" w:rsidRPr="00DB75C1">
        <w:rPr>
          <w:rFonts w:ascii="Palatino Linotype" w:hAnsi="Palatino Linotype"/>
        </w:rPr>
        <w:t xml:space="preserve">; </w:t>
      </w:r>
    </w:p>
    <w:p w14:paraId="7543EF0D" w14:textId="77777777" w:rsidR="006A65D2" w:rsidRPr="00DB75C1" w:rsidRDefault="006A65D2" w:rsidP="00DB75C1">
      <w:pPr>
        <w:spacing w:after="0" w:line="240" w:lineRule="auto"/>
        <w:ind w:left="705" w:hanging="705"/>
        <w:jc w:val="both"/>
        <w:rPr>
          <w:rFonts w:ascii="Palatino Linotype" w:hAnsi="Palatino Linotype"/>
        </w:rPr>
      </w:pPr>
    </w:p>
    <w:p w14:paraId="4A36C2ED" w14:textId="77777777" w:rsidR="0046232F" w:rsidRPr="00DB75C1" w:rsidRDefault="00A975FB" w:rsidP="00DB75C1">
      <w:pPr>
        <w:spacing w:after="0" w:line="240" w:lineRule="auto"/>
        <w:ind w:left="705" w:hanging="705"/>
        <w:jc w:val="both"/>
        <w:rPr>
          <w:rFonts w:ascii="Palatino Linotype" w:hAnsi="Palatino Linotype" w:cs="Times New Roman"/>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r>
      <w:r w:rsidR="006939C8" w:rsidRPr="00DB75C1">
        <w:rPr>
          <w:rFonts w:ascii="Palatino Linotype" w:hAnsi="Palatino Linotype" w:cs="Times New Roman"/>
        </w:rPr>
        <w:t>el Código Orgánico de Organización Territorial, Auto</w:t>
      </w:r>
      <w:r w:rsidR="005B6958" w:rsidRPr="00DB75C1">
        <w:rPr>
          <w:rFonts w:ascii="Palatino Linotype" w:hAnsi="Palatino Linotype" w:cs="Times New Roman"/>
        </w:rPr>
        <w:t>nomía y Descentralización, en el</w:t>
      </w:r>
      <w:r w:rsidR="006939C8" w:rsidRPr="00DB75C1">
        <w:rPr>
          <w:rFonts w:ascii="Palatino Linotype" w:hAnsi="Palatino Linotype" w:cs="Times New Roman"/>
        </w:rPr>
        <w:t xml:space="preserve"> artículo 87, establece las atribuciones del Concejo Metrop</w:t>
      </w:r>
      <w:r w:rsidR="00C46EB1" w:rsidRPr="00DB75C1">
        <w:rPr>
          <w:rFonts w:ascii="Palatino Linotype" w:hAnsi="Palatino Linotype" w:cs="Times New Roman"/>
        </w:rPr>
        <w:t xml:space="preserve">olitano, conforme el literal a), que </w:t>
      </w:r>
      <w:r w:rsidR="006939C8" w:rsidRPr="00DB75C1">
        <w:rPr>
          <w:rFonts w:ascii="Palatino Linotype" w:hAnsi="Palatino Linotype" w:cs="Times New Roman"/>
        </w:rPr>
        <w:t xml:space="preserve">indica: </w:t>
      </w:r>
      <w:r w:rsidR="006939C8" w:rsidRPr="00DB75C1">
        <w:rPr>
          <w:rFonts w:ascii="Palatino Linotype" w:hAnsi="Palatino Linotype" w:cs="Times New Roman"/>
          <w:i/>
        </w:rPr>
        <w:t>“</w:t>
      </w:r>
      <w:r w:rsidR="006939C8" w:rsidRPr="00DB75C1">
        <w:rPr>
          <w:rFonts w:ascii="Palatino Linotype" w:hAnsi="Palatino Linotype"/>
          <w:i/>
        </w:rPr>
        <w:t>Ejercer la facultad normativa en las materias de competencia del gobierno autónomo descentralizado metropolitano, mediante la expedición de ordenanzas metropolit</w:t>
      </w:r>
      <w:r w:rsidR="00F9688F" w:rsidRPr="00DB75C1">
        <w:rPr>
          <w:rFonts w:ascii="Palatino Linotype" w:hAnsi="Palatino Linotype"/>
          <w:i/>
        </w:rPr>
        <w:t>anas, acuerdos y resoluciones”</w:t>
      </w:r>
      <w:r w:rsidR="00F9688F" w:rsidRPr="00DB75C1">
        <w:rPr>
          <w:rFonts w:ascii="Palatino Linotype" w:hAnsi="Palatino Linotype"/>
        </w:rPr>
        <w:t>;</w:t>
      </w:r>
      <w:r w:rsidR="00842087" w:rsidRPr="00DB75C1">
        <w:rPr>
          <w:rFonts w:ascii="Palatino Linotype" w:hAnsi="Palatino Linotype"/>
        </w:rPr>
        <w:t xml:space="preserve"> el literal d)</w:t>
      </w:r>
      <w:r w:rsidR="003E4232" w:rsidRPr="00DB75C1">
        <w:rPr>
          <w:rFonts w:ascii="Palatino Linotype" w:hAnsi="Palatino Linotype"/>
        </w:rPr>
        <w:t>,</w:t>
      </w:r>
      <w:r w:rsidR="00842087" w:rsidRPr="00DB75C1">
        <w:rPr>
          <w:rFonts w:ascii="Palatino Linotype" w:hAnsi="Palatino Linotype"/>
        </w:rPr>
        <w:t xml:space="preserve"> </w:t>
      </w:r>
      <w:r w:rsidR="00A300EF" w:rsidRPr="00DB75C1">
        <w:rPr>
          <w:rFonts w:ascii="Palatino Linotype" w:hAnsi="Palatino Linotype"/>
        </w:rPr>
        <w:t xml:space="preserve">que </w:t>
      </w:r>
      <w:r w:rsidR="00842087" w:rsidRPr="00DB75C1">
        <w:rPr>
          <w:rFonts w:ascii="Palatino Linotype" w:hAnsi="Palatino Linotype"/>
        </w:rPr>
        <w:t>establece que</w:t>
      </w:r>
      <w:r w:rsidR="006939C8" w:rsidRPr="00DB75C1">
        <w:rPr>
          <w:rFonts w:ascii="Palatino Linotype" w:hAnsi="Palatino Linotype"/>
        </w:rPr>
        <w:t>:</w:t>
      </w:r>
      <w:r w:rsidR="006939C8" w:rsidRPr="00DB75C1">
        <w:rPr>
          <w:rFonts w:ascii="Palatino Linotype" w:hAnsi="Palatino Linotype"/>
          <w:i/>
        </w:rPr>
        <w:t xml:space="preserve"> “El expedir acuerdos o resoluciones en el ámbito de sus competencias para regular temas institucionales específicos o reconocer derechos particulares</w:t>
      </w:r>
      <w:r w:rsidR="00076E77">
        <w:rPr>
          <w:rFonts w:ascii="Palatino Linotype" w:hAnsi="Palatino Linotype"/>
          <w:i/>
        </w:rPr>
        <w:t xml:space="preserve">”; </w:t>
      </w:r>
      <w:r w:rsidR="00076E77" w:rsidRPr="00076E77">
        <w:rPr>
          <w:rFonts w:ascii="Palatino Linotype" w:hAnsi="Palatino Linotype"/>
        </w:rPr>
        <w:t xml:space="preserve">y, literal q), </w:t>
      </w:r>
      <w:r w:rsidR="002F2779">
        <w:rPr>
          <w:rFonts w:ascii="Palatino Linotype" w:hAnsi="Palatino Linotype"/>
        </w:rPr>
        <w:t>señala</w:t>
      </w:r>
      <w:r w:rsidR="00076E77" w:rsidRPr="00076E77">
        <w:rPr>
          <w:rFonts w:ascii="Palatino Linotype" w:hAnsi="Palatino Linotype"/>
        </w:rPr>
        <w:t>:</w:t>
      </w:r>
      <w:r w:rsidR="00076E77">
        <w:rPr>
          <w:sz w:val="20"/>
          <w:szCs w:val="20"/>
        </w:rPr>
        <w:t xml:space="preserve"> </w:t>
      </w:r>
      <w:r w:rsidR="00076E77" w:rsidRPr="00076E77">
        <w:rPr>
          <w:rFonts w:ascii="Palatino Linotype" w:hAnsi="Palatino Linotype"/>
          <w:i/>
        </w:rPr>
        <w:t>“Conformar las comisiones permanentes, especiales y técnicas que sean necesarias, respetando la proporcionalidad de la representación política y poblacional urbana y rural existente en su seno, y aprobar la conformación de comisiones ocasionales sugeridas por el al</w:t>
      </w:r>
      <w:r w:rsidR="00076E77">
        <w:rPr>
          <w:rFonts w:ascii="Palatino Linotype" w:hAnsi="Palatino Linotype"/>
          <w:i/>
        </w:rPr>
        <w:t>calde o alcaldesa metropolitana</w:t>
      </w:r>
      <w:r w:rsidR="006939C8" w:rsidRPr="00076E77">
        <w:rPr>
          <w:rFonts w:ascii="Palatino Linotype" w:hAnsi="Palatino Linotype" w:cs="Times New Roman"/>
          <w:i/>
        </w:rPr>
        <w:t>”</w:t>
      </w:r>
      <w:r w:rsidR="0046232F" w:rsidRPr="00076E77">
        <w:rPr>
          <w:rFonts w:ascii="Palatino Linotype" w:hAnsi="Palatino Linotype" w:cs="Times New Roman"/>
        </w:rPr>
        <w:t>;</w:t>
      </w:r>
      <w:r w:rsidR="0046232F" w:rsidRPr="00DB75C1">
        <w:rPr>
          <w:rFonts w:ascii="Palatino Linotype" w:hAnsi="Palatino Linotype" w:cs="Times New Roman"/>
        </w:rPr>
        <w:t xml:space="preserve"> </w:t>
      </w:r>
    </w:p>
    <w:p w14:paraId="31E0EC05" w14:textId="77777777" w:rsidR="00842087" w:rsidRPr="00DB75C1" w:rsidRDefault="00842087" w:rsidP="00DB75C1">
      <w:pPr>
        <w:spacing w:after="0" w:line="240" w:lineRule="auto"/>
        <w:ind w:left="705" w:hanging="705"/>
        <w:jc w:val="both"/>
        <w:rPr>
          <w:rFonts w:ascii="Palatino Linotype" w:hAnsi="Palatino Linotype" w:cs="Times New Roman"/>
        </w:rPr>
      </w:pPr>
    </w:p>
    <w:p w14:paraId="1CCB4134" w14:textId="77777777" w:rsidR="006A65D2" w:rsidRPr="00DB75C1" w:rsidRDefault="006939C8" w:rsidP="00DB75C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lastRenderedPageBreak/>
        <w:t>Que</w:t>
      </w:r>
      <w:r w:rsidR="003E5AE2" w:rsidRPr="00DB75C1">
        <w:rPr>
          <w:rFonts w:ascii="Palatino Linotype" w:hAnsi="Palatino Linotype"/>
          <w:b/>
        </w:rPr>
        <w:t>,</w:t>
      </w:r>
      <w:r w:rsidRPr="00DB75C1">
        <w:rPr>
          <w:rFonts w:ascii="Palatino Linotype" w:hAnsi="Palatino Linotype"/>
        </w:rPr>
        <w:t xml:space="preserve"> </w:t>
      </w:r>
      <w:r w:rsidRPr="00DB75C1">
        <w:rPr>
          <w:rFonts w:ascii="Palatino Linotype" w:hAnsi="Palatino Linotype"/>
        </w:rPr>
        <w:tab/>
      </w:r>
      <w:r w:rsidR="005B6958" w:rsidRPr="00DB75C1">
        <w:rPr>
          <w:rFonts w:ascii="Palatino Linotype" w:hAnsi="Palatino Linotype"/>
        </w:rPr>
        <w:t xml:space="preserve">el </w:t>
      </w:r>
      <w:r w:rsidRPr="00DB75C1">
        <w:rPr>
          <w:rFonts w:ascii="Palatino Linotype" w:hAnsi="Palatino Linotype" w:cs="Times New Roman"/>
        </w:rPr>
        <w:t>Código Orgánico de Organización Territorial, Autonomía y Descentralización</w:t>
      </w:r>
      <w:r w:rsidR="00F72A99">
        <w:rPr>
          <w:rFonts w:ascii="Palatino Linotype" w:hAnsi="Palatino Linotype"/>
        </w:rPr>
        <w:t>,</w:t>
      </w:r>
      <w:r w:rsidR="005B6958" w:rsidRPr="00DB75C1">
        <w:rPr>
          <w:rFonts w:ascii="Palatino Linotype" w:hAnsi="Palatino Linotype"/>
        </w:rPr>
        <w:t xml:space="preserve"> en el artículo 323</w:t>
      </w:r>
      <w:r w:rsidR="00E86853" w:rsidRPr="00DB75C1">
        <w:rPr>
          <w:rFonts w:ascii="Palatino Linotype" w:hAnsi="Palatino Linotype"/>
        </w:rPr>
        <w:t>,</w:t>
      </w:r>
      <w:r w:rsidR="005B6958" w:rsidRPr="00DB75C1">
        <w:rPr>
          <w:rFonts w:ascii="Palatino Linotype" w:hAnsi="Palatino Linotype"/>
        </w:rPr>
        <w:t xml:space="preserve"> </w:t>
      </w:r>
      <w:r w:rsidRPr="00DB75C1">
        <w:rPr>
          <w:rFonts w:ascii="Palatino Linotype" w:hAnsi="Palatino Linotype"/>
          <w:color w:val="000000"/>
          <w:shd w:val="clear" w:color="auto" w:fill="FFFFFF"/>
        </w:rPr>
        <w:t>dispone</w:t>
      </w:r>
      <w:r w:rsidR="005B6958" w:rsidRPr="00DB75C1">
        <w:rPr>
          <w:rFonts w:ascii="Palatino Linotype" w:hAnsi="Palatino Linotype"/>
          <w:color w:val="000000"/>
          <w:shd w:val="clear" w:color="auto" w:fill="FFFFFF"/>
        </w:rPr>
        <w:t xml:space="preserve"> que</w:t>
      </w:r>
      <w:r w:rsidRPr="00DB75C1">
        <w:rPr>
          <w:rFonts w:ascii="Palatino Linotype" w:hAnsi="Palatino Linotype"/>
          <w:color w:val="000000"/>
          <w:shd w:val="clear" w:color="auto" w:fill="FFFFFF"/>
        </w:rPr>
        <w:t xml:space="preserve">: </w:t>
      </w:r>
      <w:r w:rsidRPr="00DB75C1">
        <w:rPr>
          <w:rFonts w:ascii="Palatino Linotype" w:hAnsi="Palatino Linotype"/>
          <w:i/>
          <w:color w:val="000000"/>
          <w:shd w:val="clear" w:color="auto" w:fill="FFFFFF"/>
        </w:rPr>
        <w:t xml:space="preserve">“El órgano normativo del respectivo gobierno autónomo descentralizado podrá </w:t>
      </w:r>
      <w:r w:rsidR="00A975FB" w:rsidRPr="00DB75C1">
        <w:rPr>
          <w:rFonts w:ascii="Palatino Linotype" w:hAnsi="Palatino Linotype"/>
          <w:i/>
          <w:color w:val="000000"/>
          <w:shd w:val="clear" w:color="auto" w:fill="FFFFFF"/>
        </w:rPr>
        <w:t>expedir,</w:t>
      </w:r>
      <w:r w:rsidRPr="00DB75C1">
        <w:rPr>
          <w:rFonts w:ascii="Palatino Linotype" w:hAnsi="Palatino Linotype"/>
          <w:i/>
          <w:color w:val="000000"/>
          <w:shd w:val="clear" w:color="auto" w:fill="FFFFFF"/>
        </w:rPr>
        <w:t xml:space="preserve"> además, acuerdos y resoluciones sobre temas que tengan carácter especial o específico, los que serán aprobados por el órgano legislativo del gobierno autónomo, por simple mayoría, en un solo debate (…)”</w:t>
      </w:r>
      <w:r w:rsidR="003A7250" w:rsidRPr="00DB75C1">
        <w:rPr>
          <w:rFonts w:ascii="Palatino Linotype" w:hAnsi="Palatino Linotype"/>
          <w:color w:val="000000"/>
          <w:shd w:val="clear" w:color="auto" w:fill="FFFFFF"/>
        </w:rPr>
        <w:t>;</w:t>
      </w:r>
      <w:r w:rsidR="00A300EF" w:rsidRPr="00DB75C1">
        <w:rPr>
          <w:rFonts w:ascii="Palatino Linotype" w:hAnsi="Palatino Linotype"/>
          <w:color w:val="000000"/>
          <w:shd w:val="clear" w:color="auto" w:fill="FFFFFF"/>
        </w:rPr>
        <w:t xml:space="preserve"> </w:t>
      </w:r>
    </w:p>
    <w:p w14:paraId="3C912302" w14:textId="77777777" w:rsidR="005407A6" w:rsidRPr="00DB75C1" w:rsidRDefault="005407A6" w:rsidP="00F72A99">
      <w:pPr>
        <w:spacing w:after="0" w:line="240" w:lineRule="auto"/>
        <w:jc w:val="both"/>
        <w:rPr>
          <w:rFonts w:ascii="Palatino Linotype" w:hAnsi="Palatino Linotype"/>
          <w:color w:val="000000"/>
          <w:shd w:val="clear" w:color="auto" w:fill="FFFFFF"/>
        </w:rPr>
      </w:pPr>
    </w:p>
    <w:p w14:paraId="26F8E9A2" w14:textId="77777777" w:rsidR="005407A6" w:rsidRPr="00D800F2" w:rsidRDefault="005407A6" w:rsidP="00E24D5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t>Que,</w:t>
      </w:r>
      <w:r w:rsidRPr="00DB75C1">
        <w:rPr>
          <w:rFonts w:ascii="Palatino Linotype" w:hAnsi="Palatino Linotype"/>
        </w:rPr>
        <w:t xml:space="preserve"> </w:t>
      </w:r>
      <w:r w:rsidRPr="00DB75C1">
        <w:rPr>
          <w:rFonts w:ascii="Palatino Linotype" w:hAnsi="Palatino Linotype"/>
        </w:rPr>
        <w:tab/>
      </w:r>
      <w:r w:rsidR="00E24D51" w:rsidRPr="00DB75C1">
        <w:rPr>
          <w:rFonts w:ascii="Palatino Linotype" w:hAnsi="Palatino Linotype"/>
        </w:rPr>
        <w:t xml:space="preserve">el </w:t>
      </w:r>
      <w:r w:rsidR="00E24D51" w:rsidRPr="00DB75C1">
        <w:rPr>
          <w:rFonts w:ascii="Palatino Linotype" w:hAnsi="Palatino Linotype" w:cs="Times New Roman"/>
        </w:rPr>
        <w:t>Código Orgánico de Organización Territorial, Autonomía y Descentralización</w:t>
      </w:r>
      <w:r w:rsidR="00E24D51">
        <w:rPr>
          <w:rFonts w:ascii="Palatino Linotype" w:hAnsi="Palatino Linotype"/>
        </w:rPr>
        <w:t>, en el artículo 327</w:t>
      </w:r>
      <w:r w:rsidR="00E24D51" w:rsidRPr="00DB75C1">
        <w:rPr>
          <w:rFonts w:ascii="Palatino Linotype" w:hAnsi="Palatino Linotype"/>
        </w:rPr>
        <w:t xml:space="preserve">, </w:t>
      </w:r>
      <w:r w:rsidR="00E24D51" w:rsidRPr="00DB75C1">
        <w:rPr>
          <w:rFonts w:ascii="Palatino Linotype" w:hAnsi="Palatino Linotype"/>
          <w:color w:val="000000"/>
          <w:shd w:val="clear" w:color="auto" w:fill="FFFFFF"/>
        </w:rPr>
        <w:t>dispone que:</w:t>
      </w:r>
      <w:r w:rsidR="00E24D51">
        <w:rPr>
          <w:rFonts w:ascii="Palatino Linotype" w:hAnsi="Palatino Linotype"/>
          <w:color w:val="000000"/>
          <w:shd w:val="clear" w:color="auto" w:fill="FFFFFF"/>
        </w:rPr>
        <w:t xml:space="preserve"> </w:t>
      </w:r>
      <w:r w:rsidR="00E24D51" w:rsidRPr="00E24D51">
        <w:rPr>
          <w:rFonts w:ascii="Palatino Linotype" w:hAnsi="Palatino Linotype"/>
          <w:i/>
          <w:color w:val="000000"/>
          <w:shd w:val="clear" w:color="auto" w:fill="FFFFFF"/>
        </w:rPr>
        <w:t xml:space="preserve">“Las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 En lo posible, cada concejal o concejala, consejero o consejera pertenecerá al menos a una comisión permanente respetando el principio de equidad de género, generacional e intercultural en la dirección de </w:t>
      </w:r>
      <w:proofErr w:type="gramStart"/>
      <w:r w:rsidR="00E24D51" w:rsidRPr="00E24D51">
        <w:rPr>
          <w:rFonts w:ascii="Palatino Linotype" w:hAnsi="Palatino Linotype"/>
          <w:i/>
          <w:color w:val="000000"/>
          <w:shd w:val="clear" w:color="auto" w:fill="FFFFFF"/>
        </w:rPr>
        <w:t>las mismas</w:t>
      </w:r>
      <w:proofErr w:type="gramEnd"/>
      <w:r w:rsidR="00E24D51" w:rsidRPr="00E24D51">
        <w:rPr>
          <w:rFonts w:ascii="Palatino Linotype" w:hAnsi="Palatino Linotype"/>
          <w:i/>
          <w:color w:val="000000"/>
          <w:shd w:val="clear" w:color="auto" w:fill="FFFFFF"/>
        </w:rPr>
        <w:t>.”</w:t>
      </w:r>
      <w:r w:rsidR="00D800F2">
        <w:rPr>
          <w:rFonts w:ascii="Palatino Linotype" w:hAnsi="Palatino Linotype"/>
          <w:color w:val="000000"/>
          <w:shd w:val="clear" w:color="auto" w:fill="FFFFFF"/>
        </w:rPr>
        <w:t>;</w:t>
      </w:r>
    </w:p>
    <w:p w14:paraId="3627A087" w14:textId="77777777" w:rsidR="00E24D51" w:rsidRDefault="00E24D51" w:rsidP="00E24D51">
      <w:pPr>
        <w:spacing w:after="0" w:line="240" w:lineRule="auto"/>
        <w:ind w:left="709" w:hanging="709"/>
        <w:jc w:val="both"/>
        <w:rPr>
          <w:rFonts w:ascii="Palatino Linotype" w:hAnsi="Palatino Linotype"/>
          <w:color w:val="000000"/>
          <w:shd w:val="clear" w:color="auto" w:fill="FFFFFF"/>
        </w:rPr>
      </w:pPr>
    </w:p>
    <w:p w14:paraId="2946291F" w14:textId="77777777" w:rsidR="00E24D51" w:rsidRPr="00D800F2" w:rsidRDefault="00E24D51" w:rsidP="00E24D51">
      <w:pPr>
        <w:spacing w:after="0" w:line="240" w:lineRule="auto"/>
        <w:ind w:left="709" w:hanging="709"/>
        <w:jc w:val="both"/>
        <w:rPr>
          <w:rFonts w:ascii="Palatino Linotype" w:hAnsi="Palatino Linotype"/>
        </w:rPr>
      </w:pPr>
      <w:r w:rsidRPr="00E24D51">
        <w:rPr>
          <w:rFonts w:ascii="Palatino Linotype" w:hAnsi="Palatino Linotype"/>
          <w:b/>
          <w:color w:val="000000"/>
          <w:shd w:val="clear" w:color="auto" w:fill="FFFFFF"/>
        </w:rPr>
        <w:t>Que,</w:t>
      </w:r>
      <w:r w:rsidRPr="00E24D51">
        <w:rPr>
          <w:rFonts w:ascii="Palatino Linotype" w:hAnsi="Palatino Linotype"/>
          <w:b/>
          <w:color w:val="000000"/>
          <w:shd w:val="clear" w:color="auto" w:fill="FFFFFF"/>
        </w:rPr>
        <w:tab/>
      </w:r>
      <w:r w:rsidRPr="00E3743B">
        <w:rPr>
          <w:rFonts w:ascii="Palatino Linotype" w:hAnsi="Palatino Linotype"/>
          <w:color w:val="000000"/>
          <w:shd w:val="clear" w:color="auto" w:fill="FFFFFF"/>
        </w:rPr>
        <w:t xml:space="preserve">el artículo 20 de la Ordenanza Metropolitana No. 001 que contiene el Código Municipal para el Distrito Metropolitano de Quito, indica que: </w:t>
      </w:r>
      <w:r w:rsidR="00E3743B" w:rsidRPr="00E3743B">
        <w:rPr>
          <w:rFonts w:ascii="Palatino Linotype" w:hAnsi="Palatino Linotype"/>
          <w:b/>
          <w:i/>
          <w:color w:val="000000"/>
          <w:shd w:val="clear" w:color="auto" w:fill="FFFFFF"/>
        </w:rPr>
        <w:t>“</w:t>
      </w:r>
      <w:r w:rsidRPr="00E3743B">
        <w:rPr>
          <w:rFonts w:ascii="Palatino Linotype" w:hAnsi="Palatino Linotype"/>
          <w:i/>
        </w:rPr>
        <w:t xml:space="preserve">Las comisiones del Concejo Metropolitano son órganos asesores del Cuerpo </w:t>
      </w:r>
      <w:proofErr w:type="gramStart"/>
      <w:r w:rsidRPr="00E3743B">
        <w:rPr>
          <w:rFonts w:ascii="Palatino Linotype" w:hAnsi="Palatino Linotype"/>
          <w:i/>
        </w:rPr>
        <w:t>Edilicio</w:t>
      </w:r>
      <w:proofErr w:type="gramEnd"/>
      <w:r w:rsidRPr="00E3743B">
        <w:rPr>
          <w:rFonts w:ascii="Palatino Linotype" w:hAnsi="Palatino Linotype"/>
          <w:i/>
        </w:rPr>
        <w:t>, conformados por concejalas y concejales metropolitanos, cuya principal función consiste en emitir antecedentes, conclusiones, recomendaciones y dictámenes para resolución del Concejo Metropolitano sobre los temas puestos en su conocimiento.</w:t>
      </w:r>
      <w:r w:rsidR="00E3743B" w:rsidRPr="00E3743B">
        <w:rPr>
          <w:rFonts w:ascii="Palatino Linotype" w:hAnsi="Palatino Linotype"/>
          <w:i/>
        </w:rPr>
        <w:t>”</w:t>
      </w:r>
      <w:r w:rsidR="00D800F2">
        <w:rPr>
          <w:rFonts w:ascii="Palatino Linotype" w:hAnsi="Palatino Linotype"/>
        </w:rPr>
        <w:t>;</w:t>
      </w:r>
    </w:p>
    <w:p w14:paraId="03A44815" w14:textId="77777777" w:rsidR="00E3743B" w:rsidRDefault="00E3743B" w:rsidP="00E24D51">
      <w:pPr>
        <w:spacing w:after="0" w:line="240" w:lineRule="auto"/>
        <w:ind w:left="709" w:hanging="709"/>
        <w:jc w:val="both"/>
        <w:rPr>
          <w:rFonts w:ascii="Palatino Linotype" w:hAnsi="Palatino Linotype"/>
          <w:i/>
        </w:rPr>
      </w:pPr>
    </w:p>
    <w:p w14:paraId="506DFB7C" w14:textId="77777777" w:rsidR="00E3743B" w:rsidRDefault="00E3743B" w:rsidP="00E3743B">
      <w:pPr>
        <w:spacing w:after="0" w:line="240" w:lineRule="auto"/>
        <w:ind w:left="709" w:hanging="709"/>
        <w:jc w:val="both"/>
        <w:rPr>
          <w:rFonts w:ascii="Palatino Linotype" w:hAnsi="Palatino Linotype"/>
          <w:color w:val="000000"/>
          <w:shd w:val="clear" w:color="auto" w:fill="FFFFFF"/>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21</w:t>
      </w:r>
      <w:r w:rsidRPr="00E3743B">
        <w:rPr>
          <w:rFonts w:ascii="Palatino Linotype" w:hAnsi="Palatino Linotype"/>
          <w:color w:val="000000"/>
          <w:shd w:val="clear" w:color="auto" w:fill="FFFFFF"/>
        </w:rPr>
        <w:t xml:space="preserve"> de la Ordenanza Metropolitana No. 001 que contiene el Código Municipal para el Distrito Metropolitano de Qu</w:t>
      </w:r>
      <w:r>
        <w:rPr>
          <w:rFonts w:ascii="Palatino Linotype" w:hAnsi="Palatino Linotype"/>
          <w:color w:val="000000"/>
          <w:shd w:val="clear" w:color="auto" w:fill="FFFFFF"/>
        </w:rPr>
        <w:t>ito, determina</w:t>
      </w:r>
      <w:r w:rsidRPr="00E3743B">
        <w:rPr>
          <w:rFonts w:ascii="Palatino Linotype" w:hAnsi="Palatino Linotype"/>
          <w:color w:val="000000"/>
          <w:shd w:val="clear" w:color="auto" w:fill="FFFFFF"/>
        </w:rPr>
        <w:t xml:space="preserve"> que:</w:t>
      </w:r>
      <w:r w:rsidRPr="00E3743B">
        <w:t xml:space="preserve"> </w:t>
      </w:r>
      <w:r w:rsidRPr="00E3743B">
        <w:rPr>
          <w:i/>
        </w:rPr>
        <w:t>“</w:t>
      </w:r>
      <w:r w:rsidRPr="00E3743B">
        <w:rPr>
          <w:rFonts w:ascii="Palatino Linotype" w:hAnsi="Palatino Linotype"/>
          <w:i/>
          <w:color w:val="000000"/>
          <w:shd w:val="clear" w:color="auto" w:fill="FFFFFF"/>
        </w:rPr>
        <w:t>La organización de las comisiones y la designación de sus miembros se sujetarán a lo dispuesto en la Ley Orgánica de Régimen del Distrito Metropolitano de Quito, el Código Orgánico de Organización Territorial, Autonomía y Descentralización, y el presente Título.”</w:t>
      </w:r>
      <w:r w:rsidR="00D800F2">
        <w:rPr>
          <w:rFonts w:ascii="Palatino Linotype" w:hAnsi="Palatino Linotype"/>
          <w:color w:val="000000"/>
          <w:shd w:val="clear" w:color="auto" w:fill="FFFFFF"/>
        </w:rPr>
        <w:t>;</w:t>
      </w:r>
    </w:p>
    <w:p w14:paraId="2655A42F" w14:textId="77777777" w:rsidR="00D800F2" w:rsidRDefault="00D800F2" w:rsidP="00E3743B">
      <w:pPr>
        <w:spacing w:after="0" w:line="240" w:lineRule="auto"/>
        <w:ind w:left="709" w:hanging="709"/>
        <w:jc w:val="both"/>
        <w:rPr>
          <w:rFonts w:ascii="Palatino Linotype" w:hAnsi="Palatino Linotype"/>
          <w:color w:val="000000"/>
          <w:shd w:val="clear" w:color="auto" w:fill="FFFFFF"/>
        </w:rPr>
      </w:pPr>
    </w:p>
    <w:p w14:paraId="3E885446" w14:textId="77777777" w:rsidR="00D800F2" w:rsidRPr="00D800F2" w:rsidRDefault="00D800F2" w:rsidP="00D800F2">
      <w:pPr>
        <w:spacing w:after="0" w:line="240" w:lineRule="auto"/>
        <w:ind w:left="705" w:hanging="705"/>
        <w:jc w:val="both"/>
        <w:rPr>
          <w:rFonts w:ascii="Palatino Linotype" w:hAnsi="Palatino Linotype"/>
        </w:rPr>
      </w:pPr>
      <w:r w:rsidRPr="00D800F2">
        <w:rPr>
          <w:rFonts w:ascii="Palatino Linotype" w:hAnsi="Palatino Linotype"/>
          <w:b/>
        </w:rPr>
        <w:t>Que,</w:t>
      </w:r>
      <w:r>
        <w:rPr>
          <w:rFonts w:ascii="Palatino Linotype" w:hAnsi="Palatino Linotype"/>
        </w:rPr>
        <w:t xml:space="preserve"> </w:t>
      </w:r>
      <w:r>
        <w:rPr>
          <w:rFonts w:ascii="Palatino Linotype" w:hAnsi="Palatino Linotype"/>
        </w:rPr>
        <w:tab/>
        <w:t xml:space="preserve">El artículo 23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ito</w:t>
      </w:r>
      <w:r w:rsidRPr="00D800F2">
        <w:rPr>
          <w:rFonts w:ascii="Palatino Linotype" w:hAnsi="Palatino Linotype"/>
        </w:rPr>
        <w:t>, señala</w:t>
      </w:r>
      <w:r>
        <w:rPr>
          <w:rFonts w:ascii="Palatino Linotype" w:hAnsi="Palatino Linotype"/>
        </w:rPr>
        <w:t xml:space="preserve"> que son</w:t>
      </w:r>
      <w:r w:rsidRPr="00D800F2">
        <w:rPr>
          <w:rFonts w:ascii="Palatino Linotype" w:hAnsi="Palatino Linotype"/>
        </w:rPr>
        <w:t xml:space="preserve"> comisiones permanentes</w:t>
      </w:r>
      <w:r>
        <w:rPr>
          <w:rFonts w:ascii="Palatino Linotype" w:hAnsi="Palatino Linotype"/>
        </w:rPr>
        <w:t>, las siguientes</w:t>
      </w:r>
      <w:r w:rsidRPr="00D800F2">
        <w:rPr>
          <w:rFonts w:ascii="Palatino Linotype" w:hAnsi="Palatino Linotype"/>
        </w:rPr>
        <w:t xml:space="preserve">: </w:t>
      </w:r>
    </w:p>
    <w:p w14:paraId="0F15D9EC" w14:textId="77777777" w:rsidR="00D800F2" w:rsidRPr="009B47FE" w:rsidRDefault="00D800F2" w:rsidP="00D800F2">
      <w:pPr>
        <w:spacing w:after="0" w:line="240" w:lineRule="auto"/>
        <w:jc w:val="both"/>
        <w:rPr>
          <w:rFonts w:ascii="Palatino Linotype" w:hAnsi="Palatino Linotype"/>
        </w:rPr>
      </w:pPr>
    </w:p>
    <w:p w14:paraId="5455FA11"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económico:</w:t>
      </w:r>
      <w:r w:rsidRPr="009B47FE">
        <w:rPr>
          <w:rFonts w:ascii="Palatino Linotype" w:hAnsi="Palatino Linotype"/>
        </w:rPr>
        <w:t xml:space="preserve"> Comisión de Desarrollo Económico, Productividad, Competitividad y Economía Popular y Solidaria; Comisión de Conectividad; Comisión de Comercialización; y, Comisión de Turismo y Fiestas. </w:t>
      </w:r>
    </w:p>
    <w:p w14:paraId="01673506" w14:textId="77777777" w:rsidR="00D800F2" w:rsidRPr="009B47FE" w:rsidRDefault="00D800F2" w:rsidP="00D800F2">
      <w:pPr>
        <w:spacing w:after="0" w:line="240" w:lineRule="auto"/>
        <w:jc w:val="both"/>
        <w:rPr>
          <w:rFonts w:ascii="Palatino Linotype" w:hAnsi="Palatino Linotype"/>
        </w:rPr>
      </w:pPr>
    </w:p>
    <w:p w14:paraId="6F69C84C"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social:</w:t>
      </w:r>
      <w:r w:rsidRPr="009B47FE">
        <w:rPr>
          <w:rFonts w:ascii="Palatino Linotype" w:hAnsi="Palatino Linotype"/>
        </w:rPr>
        <w:t xml:space="preserve"> Comisión de Salud; Comisión de Educación y Cultura; Comisión de Deporte y Recreación; Comisión de Igualdad, Género e Inclusión social; y, Comisión de Seguridad, Convivencia Ciudadana y Gestión de Riesgos. </w:t>
      </w:r>
    </w:p>
    <w:p w14:paraId="4835F064" w14:textId="77777777" w:rsidR="00D800F2" w:rsidRPr="009B47FE" w:rsidRDefault="00D800F2" w:rsidP="00D800F2">
      <w:pPr>
        <w:spacing w:after="0" w:line="240" w:lineRule="auto"/>
        <w:jc w:val="both"/>
        <w:rPr>
          <w:rFonts w:ascii="Palatino Linotype" w:hAnsi="Palatino Linotype"/>
        </w:rPr>
      </w:pPr>
    </w:p>
    <w:p w14:paraId="283E8B29" w14:textId="20D3A2BA" w:rsidR="00D800F2" w:rsidRPr="009B47FE" w:rsidRDefault="00D800F2" w:rsidP="00E35C2F">
      <w:pPr>
        <w:spacing w:after="0" w:line="240" w:lineRule="auto"/>
        <w:ind w:left="705"/>
        <w:jc w:val="both"/>
        <w:rPr>
          <w:rFonts w:ascii="Palatino Linotype" w:hAnsi="Palatino Linotype"/>
        </w:rPr>
      </w:pPr>
      <w:r w:rsidRPr="009B47FE">
        <w:rPr>
          <w:rFonts w:ascii="Palatino Linotype" w:hAnsi="Palatino Linotype"/>
          <w:b/>
        </w:rPr>
        <w:t>Eje territorial:</w:t>
      </w:r>
      <w:r w:rsidRPr="009B47FE">
        <w:rPr>
          <w:rFonts w:ascii="Palatino Linotype" w:hAnsi="Palatino Linotype"/>
        </w:rPr>
        <w:t xml:space="preserve"> Comisión de Uso de Suelo; Comisión de Movilidad, Comisión de Ambiente; Comisión de Áreas Históricas y Patrimonio; Comisión de Vivienda y Hábitat; Comisión de Propiedad y Espacio Público; Comisión de Ordenamiento Territorial. </w:t>
      </w:r>
    </w:p>
    <w:p w14:paraId="026D6982" w14:textId="77777777" w:rsidR="00D800F2" w:rsidRPr="009B47FE" w:rsidRDefault="00D800F2" w:rsidP="00D800F2">
      <w:pPr>
        <w:spacing w:after="0" w:line="240" w:lineRule="auto"/>
        <w:jc w:val="both"/>
        <w:rPr>
          <w:rFonts w:ascii="Palatino Linotype" w:hAnsi="Palatino Linotype"/>
        </w:rPr>
      </w:pPr>
    </w:p>
    <w:p w14:paraId="3A7549E3"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de gobernabilidad e institucionalidad</w:t>
      </w:r>
      <w:r w:rsidRPr="009B47FE">
        <w:rPr>
          <w:rFonts w:ascii="Palatino Linotype" w:hAnsi="Palatino Linotype"/>
        </w:rPr>
        <w:t>: Comisión de Planificación Estratégica; Comisión de Participación Ciudadana y Gobierno Abierto; Comisión de Desarrollo Parroquial; Comisión de Presupuesto, Finanzas y Tributación; y, Comisión de Codificación Legislativa.</w:t>
      </w:r>
    </w:p>
    <w:p w14:paraId="40A06302" w14:textId="77777777" w:rsidR="00E3743B" w:rsidRDefault="00E3743B" w:rsidP="00D800F2">
      <w:pPr>
        <w:spacing w:after="0" w:line="240" w:lineRule="auto"/>
        <w:jc w:val="both"/>
        <w:rPr>
          <w:rFonts w:ascii="Palatino Linotype" w:hAnsi="Palatino Linotype"/>
          <w:i/>
          <w:color w:val="000000"/>
          <w:shd w:val="clear" w:color="auto" w:fill="FFFFFF"/>
        </w:rPr>
      </w:pPr>
    </w:p>
    <w:p w14:paraId="64031087" w14:textId="77777777" w:rsidR="00E3743B" w:rsidRDefault="00E3743B" w:rsidP="00E3743B">
      <w:pPr>
        <w:spacing w:after="0" w:line="240" w:lineRule="auto"/>
        <w:ind w:left="709" w:hanging="709"/>
        <w:jc w:val="both"/>
        <w:rPr>
          <w:rFonts w:ascii="Palatino Linotype" w:hAnsi="Palatino Linotype"/>
          <w:i/>
          <w:color w:val="000000"/>
          <w:shd w:val="clear" w:color="auto" w:fill="FFFFFF"/>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27</w:t>
      </w:r>
      <w:r w:rsidR="00FD6D04">
        <w:rPr>
          <w:rFonts w:ascii="Palatino Linotype" w:hAnsi="Palatino Linotype"/>
          <w:color w:val="000000"/>
          <w:shd w:val="clear" w:color="auto" w:fill="FFFFFF"/>
        </w:rPr>
        <w:t xml:space="preserve"> d</w:t>
      </w:r>
      <w:r w:rsidRPr="00E3743B">
        <w:rPr>
          <w:rFonts w:ascii="Palatino Linotype" w:hAnsi="Palatino Linotype"/>
          <w:color w:val="000000"/>
          <w:shd w:val="clear" w:color="auto" w:fill="FFFFFF"/>
        </w:rPr>
        <w:t>el Código Municipal para el Distrito Metropolitano de Qu</w:t>
      </w:r>
      <w:r>
        <w:rPr>
          <w:rFonts w:ascii="Palatino Linotype" w:hAnsi="Palatino Linotype"/>
          <w:color w:val="000000"/>
          <w:shd w:val="clear" w:color="auto" w:fill="FFFFFF"/>
        </w:rPr>
        <w:t>ito, en lo referente a la conformación de las comisiones del Concejo Metropolitano, establece que</w:t>
      </w:r>
      <w:r w:rsidRPr="00E3743B">
        <w:rPr>
          <w:rFonts w:ascii="Palatino Linotype" w:hAnsi="Palatino Linotype"/>
          <w:color w:val="000000"/>
          <w:shd w:val="clear" w:color="auto" w:fill="FFFFFF"/>
        </w:rPr>
        <w:t>:</w:t>
      </w:r>
      <w:r w:rsidRPr="00E3743B">
        <w:t xml:space="preserve"> </w:t>
      </w:r>
      <w:r w:rsidRPr="00E3743B">
        <w:rPr>
          <w:i/>
        </w:rPr>
        <w:t>“</w:t>
      </w:r>
      <w:r w:rsidRPr="00E3743B">
        <w:rPr>
          <w:rFonts w:ascii="Palatino Linotype" w:hAnsi="Palatino Linotype"/>
          <w:i/>
          <w:color w:val="000000"/>
          <w:shd w:val="clear" w:color="auto" w:fill="FFFFFF"/>
        </w:rPr>
        <w:t xml:space="preserve">La conformación total de las 21 comisiones se realizará </w:t>
      </w:r>
      <w:proofErr w:type="gramStart"/>
      <w:r w:rsidRPr="00E3743B">
        <w:rPr>
          <w:rFonts w:ascii="Palatino Linotype" w:hAnsi="Palatino Linotype"/>
          <w:i/>
          <w:color w:val="000000"/>
          <w:shd w:val="clear" w:color="auto" w:fill="FFFFFF"/>
        </w:rPr>
        <w:t>de acuerdo a</w:t>
      </w:r>
      <w:proofErr w:type="gramEnd"/>
      <w:r w:rsidRPr="00E3743B">
        <w:rPr>
          <w:rFonts w:ascii="Palatino Linotype" w:hAnsi="Palatino Linotype"/>
          <w:i/>
          <w:color w:val="000000"/>
          <w:shd w:val="clear" w:color="auto" w:fill="FFFFFF"/>
        </w:rPr>
        <w:t xml:space="preserve"> lo que establece el literal</w:t>
      </w:r>
      <w:r>
        <w:rPr>
          <w:rFonts w:ascii="Palatino Linotype" w:hAnsi="Palatino Linotype"/>
          <w:i/>
          <w:color w:val="000000"/>
          <w:shd w:val="clear" w:color="auto" w:fill="FFFFFF"/>
        </w:rPr>
        <w:t xml:space="preserve"> q) </w:t>
      </w:r>
      <w:r w:rsidRPr="00E3743B">
        <w:rPr>
          <w:rFonts w:ascii="Palatino Linotype" w:hAnsi="Palatino Linotype"/>
          <w:i/>
          <w:color w:val="000000"/>
          <w:shd w:val="clear" w:color="auto" w:fill="FFFFFF"/>
        </w:rPr>
        <w:t>del</w:t>
      </w:r>
      <w:r>
        <w:rPr>
          <w:rFonts w:ascii="Palatino Linotype" w:hAnsi="Palatino Linotype"/>
          <w:i/>
          <w:color w:val="000000"/>
          <w:shd w:val="clear" w:color="auto" w:fill="FFFFFF"/>
        </w:rPr>
        <w:t xml:space="preserve"> artículo 87 del </w:t>
      </w:r>
      <w:r w:rsidRPr="00E3743B">
        <w:rPr>
          <w:rFonts w:ascii="Palatino Linotype" w:hAnsi="Palatino Linotype"/>
          <w:i/>
          <w:color w:val="000000"/>
          <w:shd w:val="clear" w:color="auto" w:fill="FFFFFF"/>
        </w:rPr>
        <w:t>Código Orgánico</w:t>
      </w:r>
      <w:r>
        <w:rPr>
          <w:rFonts w:ascii="Palatino Linotype" w:hAnsi="Palatino Linotype"/>
          <w:i/>
          <w:color w:val="000000"/>
          <w:shd w:val="clear" w:color="auto" w:fill="FFFFFF"/>
        </w:rPr>
        <w:t xml:space="preserve"> de Organización, Territorial, </w:t>
      </w:r>
      <w:r w:rsidRPr="00E3743B">
        <w:rPr>
          <w:rFonts w:ascii="Palatino Linotype" w:hAnsi="Palatino Linotype"/>
          <w:i/>
          <w:color w:val="000000"/>
          <w:shd w:val="clear" w:color="auto" w:fill="FFFFFF"/>
        </w:rPr>
        <w:t>Autonomía y Descentralización; y, cada concejala o concejal tendrá un límite de participación de hasta en cuatro comisiones. Cada concejala o concejal, podrá ser presidente hasta de una comisión y cada concejala o concejal, podrá ser vicepresidente hasta de una comisión.”</w:t>
      </w:r>
      <w:r w:rsidR="00FD6D04">
        <w:rPr>
          <w:rFonts w:ascii="Palatino Linotype" w:hAnsi="Palatino Linotype"/>
          <w:i/>
          <w:color w:val="000000"/>
          <w:shd w:val="clear" w:color="auto" w:fill="FFFFFF"/>
        </w:rPr>
        <w:t>;</w:t>
      </w:r>
    </w:p>
    <w:p w14:paraId="649DEBD9" w14:textId="77777777" w:rsidR="00FD6D04" w:rsidRDefault="00FD6D04" w:rsidP="00E3743B">
      <w:pPr>
        <w:spacing w:after="0" w:line="240" w:lineRule="auto"/>
        <w:ind w:left="709" w:hanging="709"/>
        <w:jc w:val="both"/>
        <w:rPr>
          <w:rFonts w:ascii="Palatino Linotype" w:hAnsi="Palatino Linotype"/>
          <w:b/>
        </w:rPr>
      </w:pPr>
    </w:p>
    <w:p w14:paraId="196DD7C0" w14:textId="77777777" w:rsidR="00FD6D04" w:rsidRPr="00DC1018" w:rsidRDefault="00FD6D04" w:rsidP="00FD6D04">
      <w:pPr>
        <w:spacing w:after="0" w:line="240" w:lineRule="auto"/>
        <w:ind w:left="709" w:hanging="709"/>
        <w:jc w:val="both"/>
        <w:rPr>
          <w:rFonts w:ascii="Palatino Linotype" w:hAnsi="Palatino Linotype"/>
          <w:b/>
        </w:rPr>
      </w:pPr>
      <w:r w:rsidRPr="00DC1018">
        <w:rPr>
          <w:rFonts w:ascii="Palatino Linotype" w:hAnsi="Palatino Linotype"/>
          <w:b/>
        </w:rPr>
        <w:t>Que,</w:t>
      </w:r>
      <w:r w:rsidRPr="00DC1018">
        <w:rPr>
          <w:rFonts w:ascii="Palatino Linotype" w:hAnsi="Palatino Linotype"/>
          <w:b/>
        </w:rPr>
        <w:tab/>
      </w:r>
      <w:r w:rsidRPr="00DC1018">
        <w:rPr>
          <w:rFonts w:ascii="Palatino Linotype" w:hAnsi="Palatino Linotype"/>
          <w:color w:val="000000"/>
          <w:shd w:val="clear" w:color="auto" w:fill="FFFFFF"/>
        </w:rPr>
        <w:t>el artículo 27 del Código Municipal para el Distrito Metropolitano de Quito, en lo referente a la conformación de las comisiones del Concejo Metropolitano, establece que:</w:t>
      </w:r>
      <w:r w:rsidRPr="00DC1018">
        <w:rPr>
          <w:rFonts w:ascii="Palatino Linotype" w:hAnsi="Palatino Linotype"/>
        </w:rPr>
        <w:t xml:space="preserve"> </w:t>
      </w:r>
      <w:r w:rsidRPr="00DC1018">
        <w:rPr>
          <w:rFonts w:ascii="Palatino Linotype" w:hAnsi="Palatino Linotype"/>
          <w:i/>
        </w:rPr>
        <w:t>“</w:t>
      </w:r>
      <w:r w:rsidRPr="00DC1018">
        <w:rPr>
          <w:rFonts w:ascii="Palatino Linotype" w:hAnsi="Palatino Linotype"/>
          <w:i/>
          <w:color w:val="000000"/>
          <w:shd w:val="clear" w:color="auto" w:fill="FFFFFF"/>
        </w:rPr>
        <w:t xml:space="preserve">Una vez instalado, el Concejo Metropolitano conformará una comisión especial u ocasional, con el único propósito de acordar la integración de sus comisiones permanentes. La conformación total de las 21 comisiones se realizará </w:t>
      </w:r>
      <w:proofErr w:type="gramStart"/>
      <w:r w:rsidRPr="00DC1018">
        <w:rPr>
          <w:rFonts w:ascii="Palatino Linotype" w:hAnsi="Palatino Linotype"/>
          <w:i/>
          <w:color w:val="000000"/>
          <w:shd w:val="clear" w:color="auto" w:fill="FFFFFF"/>
        </w:rPr>
        <w:t>de acuerdo a</w:t>
      </w:r>
      <w:proofErr w:type="gramEnd"/>
      <w:r w:rsidRPr="00DC1018">
        <w:rPr>
          <w:rFonts w:ascii="Palatino Linotype" w:hAnsi="Palatino Linotype"/>
          <w:i/>
          <w:color w:val="000000"/>
          <w:shd w:val="clear" w:color="auto" w:fill="FFFFFF"/>
        </w:rPr>
        <w:t xml:space="preserve"> lo que establece el literal q) del artículo 87 del Código Orgánico de Organización, Territorial, Autonomía y Descentralización; y, cada concejala o concejal tendrá un límite de participación de hasta en cuatro comisiones. Cada concejala o concejal, podrá ser presidente hasta de una comisión y cada concejala o concejal, podrá ser vicepresidente hasta de una comisión. Si el Concejo Metropolitano no conformara las comisiones dentro de los 10 días subsiguientes de su instalación, la Comisión de Mesa será la encargada de hacerlo, respetando lo dispuesto en el inciso anterior”</w:t>
      </w:r>
      <w:r w:rsidRPr="00DC1018">
        <w:rPr>
          <w:rFonts w:ascii="Palatino Linotype" w:hAnsi="Palatino Linotype"/>
          <w:color w:val="000000"/>
          <w:shd w:val="clear" w:color="auto" w:fill="FFFFFF"/>
        </w:rPr>
        <w:t>;</w:t>
      </w:r>
    </w:p>
    <w:p w14:paraId="25FA9427" w14:textId="77777777" w:rsidR="00E3743B" w:rsidRDefault="00E3743B" w:rsidP="00E3743B">
      <w:pPr>
        <w:spacing w:after="0" w:line="240" w:lineRule="auto"/>
        <w:ind w:left="709" w:hanging="709"/>
        <w:jc w:val="both"/>
        <w:rPr>
          <w:rFonts w:ascii="Palatino Linotype" w:hAnsi="Palatino Linotype"/>
          <w:b/>
        </w:rPr>
      </w:pPr>
    </w:p>
    <w:p w14:paraId="191266E0" w14:textId="77777777" w:rsidR="00E3743B" w:rsidRDefault="00E3743B" w:rsidP="00E3743B">
      <w:pPr>
        <w:spacing w:after="0" w:line="240" w:lineRule="auto"/>
        <w:ind w:left="709" w:hanging="709"/>
        <w:jc w:val="both"/>
        <w:rPr>
          <w:rFonts w:ascii="Palatino Linotype" w:hAnsi="Palatino Linotype"/>
          <w:i/>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28 </w:t>
      </w:r>
      <w:r w:rsidR="00FD6D04">
        <w:rPr>
          <w:rFonts w:ascii="Palatino Linotype" w:hAnsi="Palatino Linotype"/>
          <w:color w:val="000000"/>
          <w:shd w:val="clear" w:color="auto" w:fill="FFFFFF"/>
        </w:rPr>
        <w:t>del</w:t>
      </w:r>
      <w:r w:rsidRPr="00E3743B">
        <w:rPr>
          <w:rFonts w:ascii="Palatino Linotype" w:hAnsi="Palatino Linotype"/>
          <w:color w:val="000000"/>
          <w:shd w:val="clear" w:color="auto" w:fill="FFFFFF"/>
        </w:rPr>
        <w:t xml:space="preserve"> Código Municipal para el Distrito Metropolitano de Qu</w:t>
      </w:r>
      <w:r>
        <w:rPr>
          <w:rFonts w:ascii="Palatino Linotype" w:hAnsi="Palatino Linotype"/>
          <w:color w:val="000000"/>
          <w:shd w:val="clear" w:color="auto" w:fill="FFFFFF"/>
        </w:rPr>
        <w:t>ito, en lo referente a la integración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w:t>
      </w:r>
      <w:r w:rsidR="00FD6D04">
        <w:rPr>
          <w:rFonts w:ascii="Palatino Linotype" w:hAnsi="Palatino Linotype"/>
          <w:i/>
        </w:rPr>
        <w:t>;</w:t>
      </w:r>
    </w:p>
    <w:p w14:paraId="72015685" w14:textId="77777777" w:rsidR="00A67FC7" w:rsidRDefault="00A67FC7" w:rsidP="00A67FC7">
      <w:pPr>
        <w:spacing w:after="0" w:line="240" w:lineRule="auto"/>
        <w:jc w:val="both"/>
        <w:rPr>
          <w:rFonts w:ascii="Palatino Linotype" w:hAnsi="Palatino Linotype"/>
          <w:b/>
        </w:rPr>
      </w:pPr>
    </w:p>
    <w:p w14:paraId="38612088" w14:textId="77777777" w:rsidR="00A67FC7" w:rsidRPr="00A67FC7" w:rsidRDefault="00A67FC7" w:rsidP="00A67FC7">
      <w:pPr>
        <w:spacing w:after="0" w:line="240" w:lineRule="auto"/>
        <w:ind w:left="709" w:hanging="709"/>
        <w:jc w:val="both"/>
        <w:rPr>
          <w:rFonts w:ascii="Palatino Linotype" w:hAnsi="Palatino Linotype"/>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36 </w:t>
      </w:r>
      <w:r w:rsidR="00FD6D04">
        <w:rPr>
          <w:rFonts w:ascii="Palatino Linotype" w:hAnsi="Palatino Linotype"/>
          <w:color w:val="000000"/>
          <w:shd w:val="clear" w:color="auto" w:fill="FFFFFF"/>
        </w:rPr>
        <w:t>del</w:t>
      </w:r>
      <w:r w:rsidRPr="00E3743B">
        <w:rPr>
          <w:rFonts w:ascii="Palatino Linotype" w:hAnsi="Palatino Linotype"/>
          <w:color w:val="000000"/>
          <w:shd w:val="clear" w:color="auto" w:fill="FFFFFF"/>
        </w:rPr>
        <w:t xml:space="preserve"> Código Municipal para el Distrito Metropolitano de Qu</w:t>
      </w:r>
      <w:r>
        <w:rPr>
          <w:rFonts w:ascii="Palatino Linotype" w:hAnsi="Palatino Linotype"/>
          <w:color w:val="000000"/>
          <w:shd w:val="clear" w:color="auto" w:fill="FFFFFF"/>
        </w:rPr>
        <w:t>ito, en lo referente a la presidencia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w:t>
      </w:r>
      <w:r w:rsidRPr="00A67FC7">
        <w:rPr>
          <w:rFonts w:ascii="Palatino Linotype" w:hAnsi="Palatino Linotype"/>
          <w:i/>
        </w:rPr>
        <w:t>Cada comisión permanente dispondrá de una presidenta o presidente y una vicepresidenta o vicepresidente quienes durarán la mitad del período en sus funciones.</w:t>
      </w:r>
      <w:r>
        <w:rPr>
          <w:rFonts w:ascii="Palatino Linotype" w:hAnsi="Palatino Linotype"/>
          <w:i/>
        </w:rPr>
        <w:t xml:space="preserve"> </w:t>
      </w:r>
      <w:r w:rsidRPr="00A67FC7">
        <w:rPr>
          <w:rFonts w:ascii="Palatino Linotype" w:hAnsi="Palatino Linotype"/>
          <w:i/>
        </w:rPr>
        <w:t xml:space="preserve">La presidenta o presidente de la comisión, de conformidad con la normativa vigente, será nombrado por el Concejo Metropolitano, </w:t>
      </w:r>
      <w:proofErr w:type="gramStart"/>
      <w:r w:rsidRPr="00A67FC7">
        <w:rPr>
          <w:rFonts w:ascii="Palatino Linotype" w:hAnsi="Palatino Linotype"/>
          <w:i/>
        </w:rPr>
        <w:t>conjuntamente con</w:t>
      </w:r>
      <w:proofErr w:type="gramEnd"/>
      <w:r w:rsidRPr="00A67FC7">
        <w:rPr>
          <w:rFonts w:ascii="Palatino Linotype" w:hAnsi="Palatino Linotype"/>
          <w:i/>
        </w:rPr>
        <w:t xml:space="preserve"> los otros integrantes de la misma</w:t>
      </w:r>
      <w:r w:rsidRPr="00E3743B">
        <w:rPr>
          <w:rFonts w:ascii="Palatino Linotype" w:hAnsi="Palatino Linotype"/>
          <w:i/>
        </w:rPr>
        <w:t>”</w:t>
      </w:r>
      <w:r>
        <w:rPr>
          <w:rFonts w:ascii="Palatino Linotype" w:hAnsi="Palatino Linotype"/>
        </w:rPr>
        <w:t>;</w:t>
      </w:r>
    </w:p>
    <w:p w14:paraId="0129D0C2" w14:textId="77777777" w:rsidR="0000542C" w:rsidRPr="00E3743B" w:rsidRDefault="0000542C" w:rsidP="00E3743B">
      <w:pPr>
        <w:spacing w:after="0" w:line="240" w:lineRule="auto"/>
        <w:jc w:val="both"/>
        <w:rPr>
          <w:rFonts w:ascii="Palatino Linotype" w:hAnsi="Palatino Linotype"/>
          <w:i/>
        </w:rPr>
      </w:pPr>
    </w:p>
    <w:p w14:paraId="3C3A63AA" w14:textId="77777777" w:rsidR="00E27C99" w:rsidRDefault="00E27C99" w:rsidP="00E27C99">
      <w:pPr>
        <w:spacing w:after="0" w:line="240" w:lineRule="auto"/>
        <w:ind w:left="709" w:hanging="709"/>
        <w:jc w:val="both"/>
        <w:rPr>
          <w:rFonts w:ascii="Palatino Linotype" w:hAnsi="Palatino Linotype"/>
          <w:color w:val="000000"/>
          <w:shd w:val="clear" w:color="auto" w:fill="FFFFFF"/>
        </w:rPr>
      </w:pPr>
      <w:r w:rsidRPr="00E27C99">
        <w:rPr>
          <w:rFonts w:ascii="Palatino Linotype" w:hAnsi="Palatino Linotype"/>
          <w:b/>
        </w:rPr>
        <w:t xml:space="preserve">Que, </w:t>
      </w:r>
      <w:r w:rsidRPr="00E27C99">
        <w:rPr>
          <w:rFonts w:ascii="Palatino Linotype" w:hAnsi="Palatino Linotype"/>
          <w:b/>
        </w:rPr>
        <w:tab/>
      </w:r>
      <w:r>
        <w:rPr>
          <w:rFonts w:ascii="Palatino Linotype" w:hAnsi="Palatino Linotype"/>
        </w:rPr>
        <w:t xml:space="preserve">El artículo 65 </w:t>
      </w:r>
      <w:r w:rsidR="00FD6D04">
        <w:rPr>
          <w:rFonts w:ascii="Palatino Linotype" w:hAnsi="Palatino Linotype"/>
          <w:color w:val="000000"/>
          <w:shd w:val="clear" w:color="auto" w:fill="FFFFFF"/>
        </w:rPr>
        <w:t>del</w:t>
      </w:r>
      <w:r w:rsidRPr="00E3743B">
        <w:rPr>
          <w:rFonts w:ascii="Palatino Linotype" w:hAnsi="Palatino Linotype"/>
          <w:color w:val="000000"/>
          <w:shd w:val="clear" w:color="auto" w:fill="FFFFFF"/>
        </w:rPr>
        <w:t xml:space="preserve"> Código Municipal para el Distrito Metropolitano de Qu</w:t>
      </w:r>
      <w:r>
        <w:rPr>
          <w:rFonts w:ascii="Palatino Linotype" w:hAnsi="Palatino Linotype"/>
          <w:color w:val="000000"/>
          <w:shd w:val="clear" w:color="auto" w:fill="FFFFFF"/>
        </w:rPr>
        <w:t xml:space="preserve">ito, establece que: </w:t>
      </w:r>
      <w:r w:rsidRPr="00E27C99">
        <w:rPr>
          <w:rFonts w:ascii="Palatino Linotype" w:hAnsi="Palatino Linotype"/>
          <w:i/>
          <w:color w:val="000000"/>
          <w:shd w:val="clear" w:color="auto" w:fill="FFFFFF"/>
        </w:rPr>
        <w:t xml:space="preserve">“La Comisión de Mesa estará conformada por dos concejalas o concejales designados por el Concejo Metropolitano, por la primera Vicealcaldesa o Vicealcalde, y la </w:t>
      </w:r>
      <w:proofErr w:type="gramStart"/>
      <w:r w:rsidRPr="00E27C99">
        <w:rPr>
          <w:rFonts w:ascii="Palatino Linotype" w:hAnsi="Palatino Linotype"/>
          <w:i/>
          <w:color w:val="000000"/>
          <w:shd w:val="clear" w:color="auto" w:fill="FFFFFF"/>
        </w:rPr>
        <w:t>Alcaldesa</w:t>
      </w:r>
      <w:proofErr w:type="gramEnd"/>
      <w:r w:rsidRPr="00E27C99">
        <w:rPr>
          <w:rFonts w:ascii="Palatino Linotype" w:hAnsi="Palatino Linotype"/>
          <w:i/>
          <w:color w:val="000000"/>
          <w:shd w:val="clear" w:color="auto" w:fill="FFFFFF"/>
        </w:rPr>
        <w:t xml:space="preserve"> o Alcalde quien la presidirá, tendrá voto dirimente, y suscribirá las actas de la misma.”</w:t>
      </w:r>
      <w:r w:rsidR="00FD6D04">
        <w:rPr>
          <w:rFonts w:ascii="Palatino Linotype" w:hAnsi="Palatino Linotype"/>
          <w:i/>
          <w:color w:val="000000"/>
          <w:shd w:val="clear" w:color="auto" w:fill="FFFFFF"/>
        </w:rPr>
        <w:t>; y,</w:t>
      </w:r>
    </w:p>
    <w:p w14:paraId="270E4BA6" w14:textId="77777777" w:rsidR="00E3743B" w:rsidRDefault="00E3743B" w:rsidP="0000542C">
      <w:pPr>
        <w:spacing w:after="0" w:line="240" w:lineRule="auto"/>
        <w:ind w:left="709" w:hanging="709"/>
        <w:jc w:val="both"/>
        <w:rPr>
          <w:rFonts w:ascii="Palatino Linotype" w:hAnsi="Palatino Linotype"/>
        </w:rPr>
      </w:pPr>
    </w:p>
    <w:p w14:paraId="6A78EAE8" w14:textId="77777777" w:rsidR="006A65D2" w:rsidRPr="00DB75C1" w:rsidRDefault="006939C8" w:rsidP="00DB75C1">
      <w:pPr>
        <w:spacing w:after="0" w:line="240" w:lineRule="auto"/>
        <w:jc w:val="both"/>
        <w:rPr>
          <w:rFonts w:ascii="Palatino Linotype" w:hAnsi="Palatino Linotype"/>
          <w:b/>
        </w:rPr>
      </w:pPr>
      <w:r w:rsidRPr="00DB75C1">
        <w:rPr>
          <w:rFonts w:ascii="Palatino Linotype" w:hAnsi="Palatino Linotype"/>
          <w:b/>
        </w:rPr>
        <w:t>En ejercicio de las atribuciones previstas en el artículo 240 de la Constitución de la República d</w:t>
      </w:r>
      <w:r w:rsidR="002B104E" w:rsidRPr="00DB75C1">
        <w:rPr>
          <w:rFonts w:ascii="Palatino Linotype" w:hAnsi="Palatino Linotype"/>
          <w:b/>
        </w:rPr>
        <w:t>el Ecuador; artículos 87 letra</w:t>
      </w:r>
      <w:r w:rsidRPr="00DB75C1">
        <w:rPr>
          <w:rFonts w:ascii="Palatino Linotype" w:hAnsi="Palatino Linotype"/>
          <w:b/>
        </w:rPr>
        <w:t xml:space="preserve"> a)</w:t>
      </w:r>
      <w:r w:rsidR="002B104E" w:rsidRPr="00DB75C1">
        <w:rPr>
          <w:rFonts w:ascii="Palatino Linotype" w:hAnsi="Palatino Linotype"/>
          <w:b/>
        </w:rPr>
        <w:t xml:space="preserve"> y d)</w:t>
      </w:r>
      <w:r w:rsidRPr="00DB75C1">
        <w:rPr>
          <w:rFonts w:ascii="Palatino Linotype" w:hAnsi="Palatino Linotype"/>
          <w:b/>
        </w:rPr>
        <w:t xml:space="preserve"> y 323 del Código Orgánico de Organización Territorial</w:t>
      </w:r>
      <w:r w:rsidR="002B104E" w:rsidRPr="00DB75C1">
        <w:rPr>
          <w:rFonts w:ascii="Palatino Linotype" w:hAnsi="Palatino Linotype"/>
          <w:b/>
        </w:rPr>
        <w:t>,</w:t>
      </w:r>
      <w:r w:rsidR="00FD6D04">
        <w:rPr>
          <w:rFonts w:ascii="Palatino Linotype" w:hAnsi="Palatino Linotype"/>
          <w:b/>
        </w:rPr>
        <w:t xml:space="preserve"> Autonomía y Descentralización,</w:t>
      </w:r>
    </w:p>
    <w:p w14:paraId="3BD8AAB0" w14:textId="77777777" w:rsidR="00711632" w:rsidRPr="00DB75C1" w:rsidRDefault="00711632" w:rsidP="00DB75C1">
      <w:pPr>
        <w:spacing w:after="0" w:line="240" w:lineRule="auto"/>
        <w:jc w:val="both"/>
        <w:rPr>
          <w:rFonts w:ascii="Palatino Linotype" w:hAnsi="Palatino Linotype"/>
          <w:b/>
        </w:rPr>
      </w:pPr>
    </w:p>
    <w:p w14:paraId="0218E4B4" w14:textId="77777777"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RESUELVE:</w:t>
      </w:r>
    </w:p>
    <w:p w14:paraId="100A7ACD" w14:textId="77777777" w:rsidR="006A65D2" w:rsidRPr="00DB75C1" w:rsidRDefault="006A65D2" w:rsidP="00DB75C1">
      <w:pPr>
        <w:pStyle w:val="Sinespaciado"/>
        <w:jc w:val="center"/>
        <w:rPr>
          <w:rFonts w:ascii="Palatino Linotype" w:eastAsiaTheme="minorHAnsi" w:hAnsi="Palatino Linotype"/>
          <w:b/>
          <w:sz w:val="22"/>
          <w:szCs w:val="22"/>
          <w:lang w:val="es-EC" w:eastAsia="en-US"/>
        </w:rPr>
      </w:pPr>
    </w:p>
    <w:p w14:paraId="7D15C0CB" w14:textId="77777777" w:rsidR="00D800F2" w:rsidRDefault="00D800F2" w:rsidP="00D800F2">
      <w:pPr>
        <w:spacing w:after="0" w:line="240" w:lineRule="auto"/>
        <w:jc w:val="both"/>
        <w:rPr>
          <w:rFonts w:ascii="Palatino Linotype" w:hAnsi="Palatino Linotype" w:cs="Arial"/>
          <w:bCs/>
        </w:rPr>
      </w:pPr>
      <w:r>
        <w:rPr>
          <w:rFonts w:ascii="Palatino Linotype" w:hAnsi="Palatino Linotype"/>
          <w:b/>
        </w:rPr>
        <w:t>Artículo 1.-</w:t>
      </w:r>
      <w:r w:rsidR="00DB75C1" w:rsidRPr="00DB75C1">
        <w:rPr>
          <w:rFonts w:ascii="Palatino Linotype" w:hAnsi="Palatino Linotype"/>
          <w:b/>
        </w:rPr>
        <w:t xml:space="preserve"> </w:t>
      </w:r>
      <w:r w:rsidR="00FD6D04" w:rsidRPr="00FD6D04">
        <w:rPr>
          <w:rFonts w:ascii="Palatino Linotype" w:hAnsi="Palatino Linotype"/>
        </w:rPr>
        <w:t xml:space="preserve">Conformar la integración y </w:t>
      </w:r>
      <w:proofErr w:type="gramStart"/>
      <w:r w:rsidR="00FD6D04" w:rsidRPr="00FD6D04">
        <w:rPr>
          <w:rFonts w:ascii="Palatino Linotype" w:hAnsi="Palatino Linotype"/>
        </w:rPr>
        <w:t>nombrar como</w:t>
      </w:r>
      <w:proofErr w:type="gramEnd"/>
      <w:r w:rsidR="00FD6D04" w:rsidRPr="00FD6D04">
        <w:rPr>
          <w:rFonts w:ascii="Palatino Linotype" w:hAnsi="Palatino Linotype"/>
        </w:rPr>
        <w:t xml:space="preserve"> presidenta o presidente, de las</w:t>
      </w:r>
      <w:r w:rsidR="00FD6D04">
        <w:rPr>
          <w:rFonts w:ascii="Palatino Linotype" w:hAnsi="Palatino Linotype"/>
        </w:rPr>
        <w:t xml:space="preserve"> </w:t>
      </w:r>
      <w:r w:rsidR="00FD6D04" w:rsidRPr="00FD6D04">
        <w:rPr>
          <w:rFonts w:ascii="Palatino Linotype" w:hAnsi="Palatino Linotype"/>
        </w:rPr>
        <w:t>comisiones permanentes del Concejo Metropolitano de Quito, de conformidad con el detalle</w:t>
      </w:r>
      <w:r w:rsidR="00FD6D04">
        <w:rPr>
          <w:rFonts w:ascii="Palatino Linotype" w:hAnsi="Palatino Linotype"/>
        </w:rPr>
        <w:t xml:space="preserve"> </w:t>
      </w:r>
      <w:r w:rsidR="00FD6D04" w:rsidRPr="00FD6D04">
        <w:rPr>
          <w:rFonts w:ascii="Palatino Linotype" w:hAnsi="Palatino Linotype"/>
        </w:rPr>
        <w:t>del documento adjunto a la presente resolución, denominado como Anexo 1.</w:t>
      </w:r>
      <w:r w:rsidR="00FD6D04" w:rsidRPr="00FD6D04">
        <w:rPr>
          <w:rFonts w:ascii="Palatino Linotype" w:hAnsi="Palatino Linotype"/>
        </w:rPr>
        <w:cr/>
      </w:r>
    </w:p>
    <w:p w14:paraId="4692370A" w14:textId="4D38A0C7" w:rsidR="00FD6D04" w:rsidRDefault="00D33AC4" w:rsidP="00D800F2">
      <w:pPr>
        <w:spacing w:after="0" w:line="240" w:lineRule="auto"/>
        <w:jc w:val="both"/>
        <w:rPr>
          <w:rFonts w:ascii="Palatino Linotype" w:hAnsi="Palatino Linotype" w:cs="Arial"/>
          <w:bCs/>
        </w:rPr>
      </w:pPr>
      <w:r>
        <w:rPr>
          <w:rFonts w:ascii="Palatino Linotype" w:hAnsi="Palatino Linotype" w:cs="Arial"/>
          <w:b/>
          <w:bCs/>
        </w:rPr>
        <w:t xml:space="preserve">Disposición </w:t>
      </w:r>
      <w:r w:rsidR="00E35C2F">
        <w:rPr>
          <w:rFonts w:ascii="Palatino Linotype" w:hAnsi="Palatino Linotype" w:cs="Arial"/>
          <w:b/>
          <w:bCs/>
        </w:rPr>
        <w:t>G</w:t>
      </w:r>
      <w:r>
        <w:rPr>
          <w:rFonts w:ascii="Palatino Linotype" w:hAnsi="Palatino Linotype" w:cs="Arial"/>
          <w:b/>
          <w:bCs/>
        </w:rPr>
        <w:t xml:space="preserve">eneral </w:t>
      </w:r>
      <w:r w:rsidR="00E35C2F">
        <w:rPr>
          <w:rFonts w:ascii="Palatino Linotype" w:hAnsi="Palatino Linotype" w:cs="Arial"/>
          <w:b/>
          <w:bCs/>
        </w:rPr>
        <w:t>Ú</w:t>
      </w:r>
      <w:r>
        <w:rPr>
          <w:rFonts w:ascii="Palatino Linotype" w:hAnsi="Palatino Linotype" w:cs="Arial"/>
          <w:b/>
          <w:bCs/>
        </w:rPr>
        <w:t xml:space="preserve">nica. - </w:t>
      </w:r>
      <w:r>
        <w:rPr>
          <w:rFonts w:ascii="Palatino Linotype" w:hAnsi="Palatino Linotype" w:cs="Arial"/>
          <w:bCs/>
        </w:rPr>
        <w:t>Encárguese</w:t>
      </w:r>
      <w:r w:rsidR="00FD6D04">
        <w:rPr>
          <w:rFonts w:ascii="Palatino Linotype" w:hAnsi="Palatino Linotype" w:cs="Arial"/>
          <w:bCs/>
        </w:rPr>
        <w:t xml:space="preserve"> a los presidentes de la Comisiones nombrados</w:t>
      </w:r>
      <w:r w:rsidR="00D800F2">
        <w:rPr>
          <w:rFonts w:ascii="Palatino Linotype" w:hAnsi="Palatino Linotype" w:cs="Arial"/>
          <w:bCs/>
        </w:rPr>
        <w:t xml:space="preserve"> </w:t>
      </w:r>
      <w:r w:rsidR="00FD6D04">
        <w:rPr>
          <w:rFonts w:ascii="Palatino Linotype" w:hAnsi="Palatino Linotype" w:cs="Arial"/>
          <w:bCs/>
        </w:rPr>
        <w:t>en la presente resolución, la ponencia de los informes de comisión emitidos en la anterior administración.</w:t>
      </w:r>
    </w:p>
    <w:p w14:paraId="725647E2" w14:textId="77777777" w:rsidR="00FD6D04" w:rsidRDefault="00FD6D04" w:rsidP="00D800F2">
      <w:pPr>
        <w:spacing w:after="0" w:line="240" w:lineRule="auto"/>
        <w:jc w:val="both"/>
        <w:rPr>
          <w:rFonts w:ascii="Palatino Linotype" w:hAnsi="Palatino Linotype" w:cs="Arial"/>
          <w:bCs/>
        </w:rPr>
      </w:pPr>
    </w:p>
    <w:p w14:paraId="73108D5A" w14:textId="77777777" w:rsidR="00FD6D04" w:rsidRDefault="00FD6D04" w:rsidP="00D800F2">
      <w:pPr>
        <w:spacing w:after="0" w:line="240" w:lineRule="auto"/>
        <w:jc w:val="both"/>
        <w:rPr>
          <w:rFonts w:ascii="Palatino Linotype" w:hAnsi="Palatino Linotype" w:cs="Arial"/>
          <w:bCs/>
        </w:rPr>
      </w:pPr>
    </w:p>
    <w:sectPr w:rsidR="00FD6D04" w:rsidSect="00F72A99">
      <w:headerReference w:type="even" r:id="rId8"/>
      <w:headerReference w:type="default" r:id="rId9"/>
      <w:footerReference w:type="default" r:id="rId10"/>
      <w:headerReference w:type="first" r:id="rId11"/>
      <w:pgSz w:w="12240" w:h="15840"/>
      <w:pgMar w:top="2883"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4AB4" w14:textId="77777777" w:rsidR="00B067E1" w:rsidRDefault="00B067E1">
      <w:pPr>
        <w:spacing w:line="240" w:lineRule="auto"/>
      </w:pPr>
      <w:r>
        <w:separator/>
      </w:r>
    </w:p>
  </w:endnote>
  <w:endnote w:type="continuationSeparator" w:id="0">
    <w:p w14:paraId="607E80EC" w14:textId="77777777" w:rsidR="00B067E1" w:rsidRDefault="00B06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4263" w14:textId="77777777" w:rsidR="006A65D2" w:rsidRDefault="006939C8">
    <w:pPr>
      <w:tabs>
        <w:tab w:val="center" w:pos="4320"/>
        <w:tab w:val="right" w:pos="8640"/>
      </w:tabs>
      <w:spacing w:after="0" w:line="240" w:lineRule="auto"/>
      <w:jc w:val="right"/>
      <w:rPr>
        <w:color w:val="000000"/>
        <w:sz w:val="20"/>
        <w:szCs w:val="20"/>
      </w:rPr>
    </w:pPr>
    <w:r>
      <w:rPr>
        <w:rFonts w:ascii="Palatino Linotype" w:eastAsia="Times New Roman" w:hAnsi="Palatino Linotype" w:cs="Times New Roman"/>
        <w:color w:val="000000"/>
        <w:sz w:val="20"/>
        <w:szCs w:val="20"/>
      </w:rPr>
      <w:t xml:space="preserve">Página </w:t>
    </w:r>
    <w:r>
      <w:rPr>
        <w:rFonts w:ascii="Palatino Linotype" w:eastAsia="Times New Roman" w:hAnsi="Palatino Linotype" w:cs="Times New Roman"/>
        <w:b/>
        <w:color w:val="000000"/>
        <w:sz w:val="20"/>
        <w:szCs w:val="20"/>
      </w:rPr>
      <w:fldChar w:fldCharType="begin"/>
    </w:r>
    <w:r>
      <w:rPr>
        <w:rFonts w:ascii="Palatino Linotype" w:eastAsia="Times New Roman" w:hAnsi="Palatino Linotype" w:cs="Times New Roman"/>
        <w:b/>
        <w:color w:val="000000"/>
        <w:sz w:val="20"/>
        <w:szCs w:val="20"/>
      </w:rPr>
      <w:instrText>PAGE</w:instrText>
    </w:r>
    <w:r>
      <w:rPr>
        <w:rFonts w:ascii="Palatino Linotype" w:eastAsia="Times New Roman" w:hAnsi="Palatino Linotype" w:cs="Times New Roman"/>
        <w:b/>
        <w:color w:val="000000"/>
        <w:sz w:val="20"/>
        <w:szCs w:val="20"/>
      </w:rPr>
      <w:fldChar w:fldCharType="separate"/>
    </w:r>
    <w:r w:rsidR="00FD6D04">
      <w:rPr>
        <w:rFonts w:ascii="Palatino Linotype" w:eastAsia="Times New Roman" w:hAnsi="Palatino Linotype" w:cs="Times New Roman"/>
        <w:b/>
        <w:noProof/>
        <w:color w:val="000000"/>
        <w:sz w:val="20"/>
        <w:szCs w:val="20"/>
      </w:rPr>
      <w:t>4</w:t>
    </w:r>
    <w:r>
      <w:rPr>
        <w:rFonts w:ascii="Palatino Linotype" w:eastAsia="Times New Roman" w:hAnsi="Palatino Linotype" w:cs="Times New Roman"/>
        <w:b/>
        <w:color w:val="000000"/>
        <w:sz w:val="20"/>
        <w:szCs w:val="20"/>
      </w:rPr>
      <w:fldChar w:fldCharType="end"/>
    </w:r>
    <w:r>
      <w:rPr>
        <w:rFonts w:ascii="Palatino Linotype" w:eastAsia="Times New Roman" w:hAnsi="Palatino Linotype" w:cs="Times New Roman"/>
        <w:color w:val="000000"/>
        <w:sz w:val="20"/>
        <w:szCs w:val="20"/>
      </w:rPr>
      <w:t xml:space="preserve"> de </w:t>
    </w:r>
    <w:r w:rsidR="00CD1C60">
      <w:rPr>
        <w:rFonts w:ascii="Palatino Linotype" w:eastAsia="Times New Roman" w:hAnsi="Palatino Linotype" w:cs="Times New Roman"/>
        <w:b/>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F404" w14:textId="77777777" w:rsidR="00B067E1" w:rsidRDefault="00B067E1">
      <w:pPr>
        <w:spacing w:after="0" w:line="240" w:lineRule="auto"/>
      </w:pPr>
      <w:r>
        <w:separator/>
      </w:r>
    </w:p>
  </w:footnote>
  <w:footnote w:type="continuationSeparator" w:id="0">
    <w:p w14:paraId="7D0A29B6" w14:textId="77777777" w:rsidR="00B067E1" w:rsidRDefault="00B0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B08" w14:textId="77777777" w:rsidR="00677BA5" w:rsidRDefault="00000000">
    <w:pPr>
      <w:pStyle w:val="Encabezado"/>
    </w:pPr>
    <w:r>
      <w:rPr>
        <w:noProof/>
      </w:rPr>
      <w:pict w14:anchorId="09270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5" o:spid="_x0000_s1026"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62AA" w14:textId="77777777" w:rsidR="00F72A99" w:rsidRDefault="00000000">
    <w:pPr>
      <w:pStyle w:val="Encabezado"/>
    </w:pPr>
    <w:r>
      <w:rPr>
        <w:noProof/>
      </w:rPr>
      <w:pict w14:anchorId="39A3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6" o:spid="_x0000_s1027"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F72A99">
      <w:rPr>
        <w:rFonts w:ascii="Palatino Linotype" w:hAnsi="Palatino Linotype"/>
        <w:b/>
        <w:noProof/>
        <w:lang w:eastAsia="es-EC"/>
      </w:rPr>
      <w:drawing>
        <wp:anchor distT="0" distB="0" distL="114300" distR="114300" simplePos="0" relativeHeight="251659264" behindDoc="0" locked="0" layoutInCell="1" allowOverlap="1" wp14:anchorId="61C70F14" wp14:editId="2C9A620F">
          <wp:simplePos x="0" y="0"/>
          <wp:positionH relativeFrom="margin">
            <wp:align>center</wp:align>
          </wp:positionH>
          <wp:positionV relativeFrom="paragraph">
            <wp:posOffset>2540</wp:posOffset>
          </wp:positionV>
          <wp:extent cx="673735" cy="990600"/>
          <wp:effectExtent l="0" t="0" r="0" b="0"/>
          <wp:wrapNone/>
          <wp:docPr id="6" name="Imagen 6"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3735" cy="990600"/>
                  </a:xfrm>
                  <a:prstGeom prst="rect">
                    <a:avLst/>
                  </a:prstGeom>
                  <a:noFill/>
                </pic:spPr>
              </pic:pic>
            </a:graphicData>
          </a:graphic>
        </wp:anchor>
      </w:drawing>
    </w:r>
  </w:p>
  <w:p w14:paraId="1F08D326" w14:textId="77777777" w:rsidR="006A65D2" w:rsidRDefault="006A65D2">
    <w:pPr>
      <w:pStyle w:val="Encabezado"/>
    </w:pPr>
  </w:p>
  <w:p w14:paraId="309925E8" w14:textId="77777777" w:rsidR="004A20F2" w:rsidRDefault="004A20F2">
    <w:pPr>
      <w:pStyle w:val="Encabezado"/>
    </w:pPr>
  </w:p>
  <w:p w14:paraId="7E500B98" w14:textId="77777777" w:rsidR="006A65D2" w:rsidRDefault="006A65D2">
    <w:pPr>
      <w:pStyle w:val="Encabezado"/>
    </w:pPr>
  </w:p>
  <w:p w14:paraId="5FD9D003" w14:textId="77777777" w:rsidR="006A65D2" w:rsidRDefault="006A65D2">
    <w:pPr>
      <w:pStyle w:val="Encabezado"/>
    </w:pPr>
  </w:p>
  <w:p w14:paraId="420DDE6D" w14:textId="77777777" w:rsidR="006A65D2" w:rsidRDefault="006A65D2">
    <w:pPr>
      <w:pStyle w:val="Encabezado"/>
    </w:pPr>
  </w:p>
  <w:p w14:paraId="291AE58C" w14:textId="77777777" w:rsidR="006A65D2" w:rsidRDefault="006A65D2">
    <w:pPr>
      <w:pStyle w:val="Encabezado"/>
    </w:pPr>
  </w:p>
  <w:p w14:paraId="07E4FF8F" w14:textId="77777777" w:rsidR="006A65D2" w:rsidRDefault="00E27C99">
    <w:pPr>
      <w:jc w:val="center"/>
      <w:rPr>
        <w:rFonts w:ascii="Palatino Linotype" w:hAnsi="Palatino Linotype" w:cs="Times New Roman"/>
        <w:b/>
        <w:bCs/>
      </w:rPr>
    </w:pPr>
    <w:r>
      <w:rPr>
        <w:rFonts w:ascii="Palatino Linotype" w:hAnsi="Palatino Linotype" w:cs="Times New Roman"/>
        <w:b/>
        <w:bCs/>
      </w:rPr>
      <w:t xml:space="preserve">RESOLUCIÓN No.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DE72" w14:textId="77777777" w:rsidR="00677BA5" w:rsidRDefault="00000000">
    <w:pPr>
      <w:pStyle w:val="Encabezado"/>
    </w:pPr>
    <w:r>
      <w:rPr>
        <w:noProof/>
      </w:rPr>
      <w:pict w14:anchorId="39B0B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4" o:spid="_x0000_s1025"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A36"/>
    <w:multiLevelType w:val="multilevel"/>
    <w:tmpl w:val="28C8FC1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435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58"/>
    <w:rsid w:val="0000325F"/>
    <w:rsid w:val="0000542C"/>
    <w:rsid w:val="00006A25"/>
    <w:rsid w:val="0000706E"/>
    <w:rsid w:val="00007AB7"/>
    <w:rsid w:val="00010E58"/>
    <w:rsid w:val="0003224B"/>
    <w:rsid w:val="00042207"/>
    <w:rsid w:val="00047C50"/>
    <w:rsid w:val="00053BF1"/>
    <w:rsid w:val="00055A97"/>
    <w:rsid w:val="00055CEB"/>
    <w:rsid w:val="00056629"/>
    <w:rsid w:val="000572D6"/>
    <w:rsid w:val="00063889"/>
    <w:rsid w:val="00076E77"/>
    <w:rsid w:val="000C04C2"/>
    <w:rsid w:val="000C3368"/>
    <w:rsid w:val="000C51D5"/>
    <w:rsid w:val="000D0F8D"/>
    <w:rsid w:val="000D6AC8"/>
    <w:rsid w:val="000E7CB9"/>
    <w:rsid w:val="000F37F8"/>
    <w:rsid w:val="000F460C"/>
    <w:rsid w:val="00100906"/>
    <w:rsid w:val="001220C8"/>
    <w:rsid w:val="00140F41"/>
    <w:rsid w:val="0014134F"/>
    <w:rsid w:val="00142317"/>
    <w:rsid w:val="00142857"/>
    <w:rsid w:val="0015469B"/>
    <w:rsid w:val="00155DDC"/>
    <w:rsid w:val="00187D5F"/>
    <w:rsid w:val="001943E0"/>
    <w:rsid w:val="00197F49"/>
    <w:rsid w:val="001A20A2"/>
    <w:rsid w:val="001A3105"/>
    <w:rsid w:val="001A3B8D"/>
    <w:rsid w:val="001A76AB"/>
    <w:rsid w:val="001B0C2E"/>
    <w:rsid w:val="001B3C7D"/>
    <w:rsid w:val="001C3883"/>
    <w:rsid w:val="001C40C2"/>
    <w:rsid w:val="001C5079"/>
    <w:rsid w:val="001C63BE"/>
    <w:rsid w:val="001F0F9A"/>
    <w:rsid w:val="001F17A7"/>
    <w:rsid w:val="00200E2A"/>
    <w:rsid w:val="002223F8"/>
    <w:rsid w:val="002246C0"/>
    <w:rsid w:val="00245095"/>
    <w:rsid w:val="002524C9"/>
    <w:rsid w:val="0028476E"/>
    <w:rsid w:val="00294D5F"/>
    <w:rsid w:val="002B104E"/>
    <w:rsid w:val="002E79BA"/>
    <w:rsid w:val="002F2779"/>
    <w:rsid w:val="002F659F"/>
    <w:rsid w:val="00314EB9"/>
    <w:rsid w:val="00331154"/>
    <w:rsid w:val="00371423"/>
    <w:rsid w:val="003842C3"/>
    <w:rsid w:val="003A7250"/>
    <w:rsid w:val="003C03B8"/>
    <w:rsid w:val="003C324B"/>
    <w:rsid w:val="003E27F2"/>
    <w:rsid w:val="003E4232"/>
    <w:rsid w:val="003E5AE2"/>
    <w:rsid w:val="003F5D35"/>
    <w:rsid w:val="003F7ADD"/>
    <w:rsid w:val="00407737"/>
    <w:rsid w:val="00413FCC"/>
    <w:rsid w:val="00414E62"/>
    <w:rsid w:val="00420B1C"/>
    <w:rsid w:val="00430BBE"/>
    <w:rsid w:val="00436340"/>
    <w:rsid w:val="004433D2"/>
    <w:rsid w:val="00452AD9"/>
    <w:rsid w:val="0046232F"/>
    <w:rsid w:val="004627E9"/>
    <w:rsid w:val="00465457"/>
    <w:rsid w:val="00475FB5"/>
    <w:rsid w:val="0049077D"/>
    <w:rsid w:val="004A20F2"/>
    <w:rsid w:val="004B3ADD"/>
    <w:rsid w:val="004B5CA0"/>
    <w:rsid w:val="004C07E5"/>
    <w:rsid w:val="004C25BA"/>
    <w:rsid w:val="00505E7F"/>
    <w:rsid w:val="005407A6"/>
    <w:rsid w:val="005435D1"/>
    <w:rsid w:val="005454CD"/>
    <w:rsid w:val="00546295"/>
    <w:rsid w:val="00553E1D"/>
    <w:rsid w:val="005A032F"/>
    <w:rsid w:val="005A1E22"/>
    <w:rsid w:val="005B54D4"/>
    <w:rsid w:val="005B6958"/>
    <w:rsid w:val="005E6E16"/>
    <w:rsid w:val="005F4349"/>
    <w:rsid w:val="00601899"/>
    <w:rsid w:val="00610DB7"/>
    <w:rsid w:val="00620EA8"/>
    <w:rsid w:val="00643073"/>
    <w:rsid w:val="00677BA5"/>
    <w:rsid w:val="006939C8"/>
    <w:rsid w:val="006A65D2"/>
    <w:rsid w:val="006B0B66"/>
    <w:rsid w:val="006B65A2"/>
    <w:rsid w:val="006B693B"/>
    <w:rsid w:val="006C07D5"/>
    <w:rsid w:val="006C3A91"/>
    <w:rsid w:val="006F04CE"/>
    <w:rsid w:val="00711632"/>
    <w:rsid w:val="00711903"/>
    <w:rsid w:val="00724745"/>
    <w:rsid w:val="00725847"/>
    <w:rsid w:val="00733A2A"/>
    <w:rsid w:val="00740771"/>
    <w:rsid w:val="007722FC"/>
    <w:rsid w:val="007B7B43"/>
    <w:rsid w:val="007C003D"/>
    <w:rsid w:val="007E5F66"/>
    <w:rsid w:val="007F3981"/>
    <w:rsid w:val="007F39E2"/>
    <w:rsid w:val="00842087"/>
    <w:rsid w:val="0084797F"/>
    <w:rsid w:val="008571FE"/>
    <w:rsid w:val="00870231"/>
    <w:rsid w:val="008738FB"/>
    <w:rsid w:val="008D033A"/>
    <w:rsid w:val="008E3F3D"/>
    <w:rsid w:val="008E510F"/>
    <w:rsid w:val="008F0381"/>
    <w:rsid w:val="0090078C"/>
    <w:rsid w:val="00926A0F"/>
    <w:rsid w:val="009420D3"/>
    <w:rsid w:val="009557B4"/>
    <w:rsid w:val="009613F0"/>
    <w:rsid w:val="0097626A"/>
    <w:rsid w:val="009820FF"/>
    <w:rsid w:val="00993ECE"/>
    <w:rsid w:val="009A15DE"/>
    <w:rsid w:val="009D4D0D"/>
    <w:rsid w:val="009F20FD"/>
    <w:rsid w:val="00A044DC"/>
    <w:rsid w:val="00A04C56"/>
    <w:rsid w:val="00A04D47"/>
    <w:rsid w:val="00A1438E"/>
    <w:rsid w:val="00A2271D"/>
    <w:rsid w:val="00A300EF"/>
    <w:rsid w:val="00A325F0"/>
    <w:rsid w:val="00A62058"/>
    <w:rsid w:val="00A67FC7"/>
    <w:rsid w:val="00A725DC"/>
    <w:rsid w:val="00A917A9"/>
    <w:rsid w:val="00A975FB"/>
    <w:rsid w:val="00AB11CA"/>
    <w:rsid w:val="00AB3CD8"/>
    <w:rsid w:val="00AD020A"/>
    <w:rsid w:val="00AD3B97"/>
    <w:rsid w:val="00AF000E"/>
    <w:rsid w:val="00B0094C"/>
    <w:rsid w:val="00B067E1"/>
    <w:rsid w:val="00B22FB0"/>
    <w:rsid w:val="00B23B45"/>
    <w:rsid w:val="00B34B04"/>
    <w:rsid w:val="00B37D47"/>
    <w:rsid w:val="00B445F1"/>
    <w:rsid w:val="00B44E07"/>
    <w:rsid w:val="00B709DE"/>
    <w:rsid w:val="00B75205"/>
    <w:rsid w:val="00B8777E"/>
    <w:rsid w:val="00BA46AC"/>
    <w:rsid w:val="00BB4867"/>
    <w:rsid w:val="00BB4BF6"/>
    <w:rsid w:val="00BB5E47"/>
    <w:rsid w:val="00BC0837"/>
    <w:rsid w:val="00BC5AC3"/>
    <w:rsid w:val="00BC7D54"/>
    <w:rsid w:val="00BE30FB"/>
    <w:rsid w:val="00BF64DB"/>
    <w:rsid w:val="00C012CC"/>
    <w:rsid w:val="00C0389A"/>
    <w:rsid w:val="00C166F5"/>
    <w:rsid w:val="00C44F0D"/>
    <w:rsid w:val="00C46EB1"/>
    <w:rsid w:val="00C52DFB"/>
    <w:rsid w:val="00C71D2F"/>
    <w:rsid w:val="00C72A77"/>
    <w:rsid w:val="00C92C59"/>
    <w:rsid w:val="00C962FD"/>
    <w:rsid w:val="00CC1D4F"/>
    <w:rsid w:val="00CC2A48"/>
    <w:rsid w:val="00CD1C60"/>
    <w:rsid w:val="00CD4785"/>
    <w:rsid w:val="00CE72CE"/>
    <w:rsid w:val="00D0330E"/>
    <w:rsid w:val="00D31F56"/>
    <w:rsid w:val="00D331F8"/>
    <w:rsid w:val="00D33AC4"/>
    <w:rsid w:val="00D33F51"/>
    <w:rsid w:val="00D55E35"/>
    <w:rsid w:val="00D631BA"/>
    <w:rsid w:val="00D6594E"/>
    <w:rsid w:val="00D800F2"/>
    <w:rsid w:val="00D83AA9"/>
    <w:rsid w:val="00D91F7C"/>
    <w:rsid w:val="00D942FB"/>
    <w:rsid w:val="00DA5AE1"/>
    <w:rsid w:val="00DB75C1"/>
    <w:rsid w:val="00E15D1C"/>
    <w:rsid w:val="00E16C11"/>
    <w:rsid w:val="00E213A4"/>
    <w:rsid w:val="00E22A06"/>
    <w:rsid w:val="00E24CE1"/>
    <w:rsid w:val="00E24D51"/>
    <w:rsid w:val="00E27C99"/>
    <w:rsid w:val="00E31A9F"/>
    <w:rsid w:val="00E35C2F"/>
    <w:rsid w:val="00E37131"/>
    <w:rsid w:val="00E3743B"/>
    <w:rsid w:val="00E57E9A"/>
    <w:rsid w:val="00E729A1"/>
    <w:rsid w:val="00E72AB6"/>
    <w:rsid w:val="00E769B7"/>
    <w:rsid w:val="00E77B87"/>
    <w:rsid w:val="00E86853"/>
    <w:rsid w:val="00E93FD6"/>
    <w:rsid w:val="00EA3D26"/>
    <w:rsid w:val="00EA4F90"/>
    <w:rsid w:val="00EE3F46"/>
    <w:rsid w:val="00EF6346"/>
    <w:rsid w:val="00F029E3"/>
    <w:rsid w:val="00F122E2"/>
    <w:rsid w:val="00F34942"/>
    <w:rsid w:val="00F6235A"/>
    <w:rsid w:val="00F63709"/>
    <w:rsid w:val="00F67BCA"/>
    <w:rsid w:val="00F72A99"/>
    <w:rsid w:val="00F77AA0"/>
    <w:rsid w:val="00F80152"/>
    <w:rsid w:val="00F9688F"/>
    <w:rsid w:val="00FC3EB9"/>
    <w:rsid w:val="00FD15E1"/>
    <w:rsid w:val="00FD6D04"/>
    <w:rsid w:val="00FE1C5F"/>
    <w:rsid w:val="00FE5744"/>
    <w:rsid w:val="05EE21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9B8B"/>
  <w15:docId w15:val="{52769621-BA5B-448E-AC1D-61D39DA9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sz w:val="22"/>
      <w:szCs w:val="22"/>
      <w:lang w:eastAsia="es-ES"/>
    </w:rPr>
  </w:style>
  <w:style w:type="paragraph" w:styleId="Ttulo1">
    <w:name w:val="heading 1"/>
    <w:next w:val="Normal"/>
    <w:link w:val="Ttulo1Car"/>
    <w:uiPriority w:val="9"/>
    <w:unhideWhenUsed/>
    <w:qFormat/>
    <w:pPr>
      <w:keepNext/>
      <w:keepLines/>
      <w:spacing w:line="259" w:lineRule="auto"/>
      <w:ind w:left="10" w:right="4" w:hanging="10"/>
      <w:jc w:val="center"/>
      <w:outlineLvl w:val="0"/>
    </w:pPr>
    <w:rPr>
      <w:rFonts w:ascii="Palatino Linotype" w:eastAsia="Palatino Linotype" w:hAnsi="Palatino Linotype" w:cs="Palatino Linotype"/>
      <w:b/>
      <w:color w:val="000000"/>
      <w:sz w:val="22"/>
      <w:szCs w:val="22"/>
    </w:rPr>
  </w:style>
  <w:style w:type="paragraph" w:styleId="Ttulo2">
    <w:name w:val="heading 2"/>
    <w:basedOn w:val="Normal"/>
    <w:next w:val="Normal"/>
    <w:link w:val="Ttulo2Car"/>
    <w:uiPriority w:val="9"/>
    <w:unhideWhenUsed/>
    <w:qFormat/>
    <w:rsid w:val="006B6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Ttulo1Car">
    <w:name w:val="Título 1 Car"/>
    <w:basedOn w:val="Fuentedeprrafopredeter"/>
    <w:link w:val="Ttulo1"/>
    <w:uiPriority w:val="9"/>
    <w:rPr>
      <w:rFonts w:ascii="Palatino Linotype" w:eastAsia="Palatino Linotype" w:hAnsi="Palatino Linotype" w:cs="Palatino Linotype"/>
      <w:b/>
      <w:color w:val="000000"/>
      <w:lang w:val="es-EC" w:eastAsia="es-EC"/>
    </w:rPr>
  </w:style>
  <w:style w:type="table" w:customStyle="1" w:styleId="TableGrid">
    <w:name w:val="TableGrid"/>
    <w:rPr>
      <w:rFonts w:eastAsia="Times New Roman"/>
    </w:rPr>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rPr>
      <w:rFonts w:ascii="Calibri" w:eastAsia="Calibri" w:hAnsi="Calibri" w:cs="Calibri"/>
      <w:lang w:val="es-EC" w:eastAsia="es-ES"/>
    </w:rPr>
  </w:style>
  <w:style w:type="paragraph" w:styleId="Sinespaciado">
    <w:name w:val="No Spacing"/>
    <w:basedOn w:val="Normal"/>
    <w:link w:val="SinespaciadoCar"/>
    <w:uiPriority w:val="1"/>
    <w:qFormat/>
    <w:pPr>
      <w:spacing w:after="0" w:line="240" w:lineRule="auto"/>
    </w:pPr>
    <w:rPr>
      <w:rFonts w:ascii="Times New Roman" w:eastAsia="Times New Roman" w:hAnsi="Times New Roman" w:cs="Times New Roman"/>
      <w:sz w:val="24"/>
      <w:szCs w:val="24"/>
      <w:lang w:val="es-ES"/>
    </w:rPr>
  </w:style>
  <w:style w:type="character" w:customStyle="1" w:styleId="SinespaciadoCar">
    <w:name w:val="Sin espaciado Car"/>
    <w:basedOn w:val="Fuentedeprrafopredeter"/>
    <w:link w:val="Sinespaciado"/>
    <w:uiPriority w:val="1"/>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Pr>
      <w:rFonts w:ascii="Calibri" w:eastAsia="Calibri" w:hAnsi="Calibri" w:cs="Calibri"/>
      <w:lang w:val="es-EC" w:eastAsia="es-ES"/>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s-EC" w:eastAsia="es-ES"/>
    </w:rPr>
  </w:style>
  <w:style w:type="table" w:customStyle="1" w:styleId="TableGrid2">
    <w:name w:val="TableGrid2"/>
    <w:rsid w:val="0014134F"/>
    <w:rPr>
      <w:rFonts w:eastAsia="Times New Roman"/>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6B693B"/>
    <w:rPr>
      <w:rFonts w:asciiTheme="majorHAnsi" w:eastAsiaTheme="majorEastAsia" w:hAnsiTheme="majorHAnsi" w:cstheme="majorBidi"/>
      <w:b/>
      <w:bCs/>
      <w:color w:val="4F81BD" w:themeColor="accent1"/>
      <w:sz w:val="26"/>
      <w:szCs w:val="26"/>
      <w:lang w:eastAsia="es-ES"/>
    </w:rPr>
  </w:style>
  <w:style w:type="table" w:customStyle="1" w:styleId="TableGrid21">
    <w:name w:val="TableGrid21"/>
    <w:rsid w:val="006B693B"/>
    <w:rPr>
      <w:rFonts w:eastAsia="Times New Roman"/>
    </w:rPr>
    <w:tblPr>
      <w:tblCellMar>
        <w:top w:w="0" w:type="dxa"/>
        <w:left w:w="0" w:type="dxa"/>
        <w:bottom w:w="0" w:type="dxa"/>
        <w:right w:w="0" w:type="dxa"/>
      </w:tblCellMar>
    </w:tblPr>
  </w:style>
  <w:style w:type="table" w:customStyle="1" w:styleId="TableGrid22">
    <w:name w:val="TableGrid22"/>
    <w:rsid w:val="001B3C7D"/>
    <w:rPr>
      <w:rFonts w:eastAsia="Times New Roman"/>
    </w:rPr>
    <w:tblPr>
      <w:tblCellMar>
        <w:top w:w="0" w:type="dxa"/>
        <w:left w:w="0" w:type="dxa"/>
        <w:bottom w:w="0" w:type="dxa"/>
        <w:right w:w="0" w:type="dxa"/>
      </w:tblCellMar>
    </w:tblPr>
  </w:style>
  <w:style w:type="table" w:customStyle="1" w:styleId="TableGrid23">
    <w:name w:val="TableGrid23"/>
    <w:rsid w:val="00CD1C60"/>
    <w:rPr>
      <w:rFonts w:eastAsia="Times New Roman"/>
    </w:rPr>
    <w:tblPr>
      <w:tblCellMar>
        <w:top w:w="0" w:type="dxa"/>
        <w:left w:w="0" w:type="dxa"/>
        <w:bottom w:w="0" w:type="dxa"/>
        <w:right w:w="0" w:type="dxa"/>
      </w:tblCellMar>
    </w:tblPr>
  </w:style>
  <w:style w:type="paragraph" w:styleId="Prrafodelista">
    <w:name w:val="List Paragraph"/>
    <w:aliases w:val="TIT 2 IND,Párrafo de lista SUBCAPITULO,Párrafo de lista1,Colorful List - Accent 11"/>
    <w:basedOn w:val="Normal"/>
    <w:link w:val="PrrafodelistaCar"/>
    <w:uiPriority w:val="34"/>
    <w:qFormat/>
    <w:rsid w:val="00D800F2"/>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TIT 2 IND Car,Párrafo de lista SUBCAPITULO Car,Párrafo de lista1 Car,Colorful List - Accent 11 Car"/>
    <w:link w:val="Prrafodelista"/>
    <w:uiPriority w:val="34"/>
    <w:rsid w:val="00D800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Paola Cosios</cp:lastModifiedBy>
  <cp:revision>3</cp:revision>
  <cp:lastPrinted>2021-08-19T17:58:00Z</cp:lastPrinted>
  <dcterms:created xsi:type="dcterms:W3CDTF">2023-05-18T15:05:00Z</dcterms:created>
  <dcterms:modified xsi:type="dcterms:W3CDTF">2023-05-18T15:53:00Z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