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TEXTOS ALTERNATIVOS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APORTES AL PROYECTO DE ORDENANZA PARA EL MANEJO INTEGRAL DEL FUEGO EN EL DMQ</w:t>
      </w:r>
    </w:p>
    <w:tbl>
      <w:tblPr>
        <w:tblStyle w:val="Table1"/>
        <w:tblW w:w="1048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56"/>
        <w:gridCol w:w="3261"/>
        <w:gridCol w:w="3968"/>
        <w:tblGridChange w:id="0">
          <w:tblGrid>
            <w:gridCol w:w="3256"/>
            <w:gridCol w:w="3261"/>
            <w:gridCol w:w="3968"/>
          </w:tblGrid>
        </w:tblGridChange>
      </w:tblGrid>
      <w:tr>
        <w:trPr>
          <w:cantSplit w:val="0"/>
          <w:tblHeader w:val="0"/>
        </w:trPr>
        <w:tc>
          <w:tcPr>
            <w:shd w:fill="deebf6" w:val="clear"/>
          </w:tcPr>
          <w:p w:rsidR="00000000" w:rsidDel="00000000" w:rsidP="00000000" w:rsidRDefault="00000000" w:rsidRPr="00000000" w14:paraId="0000000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TEXTO ORIGINAL</w:t>
            </w:r>
          </w:p>
        </w:tc>
        <w:tc>
          <w:tcPr>
            <w:shd w:fill="deebf6" w:val="clear"/>
          </w:tcPr>
          <w:p w:rsidR="00000000" w:rsidDel="00000000" w:rsidP="00000000" w:rsidRDefault="00000000" w:rsidRPr="00000000" w14:paraId="0000000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TEXTO SUGERIDO</w:t>
            </w:r>
          </w:p>
        </w:tc>
        <w:tc>
          <w:tcPr>
            <w:shd w:fill="deebf6" w:val="clear"/>
          </w:tcPr>
          <w:p w:rsidR="00000000" w:rsidDel="00000000" w:rsidP="00000000" w:rsidRDefault="00000000" w:rsidRPr="00000000" w14:paraId="0000000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JUSTIFICACIÓN</w:t>
            </w:r>
          </w:p>
          <w:p w:rsidR="00000000" w:rsidDel="00000000" w:rsidP="00000000" w:rsidRDefault="00000000" w:rsidRPr="00000000" w14:paraId="0000000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(técnica o jurídica)</w:t>
            </w:r>
          </w:p>
        </w:tc>
      </w:tr>
      <w:tr>
        <w:trPr>
          <w:cantSplit w:val="0"/>
          <w:trHeight w:val="240" w:hRule="atLeast"/>
          <w:tblHeader w:val="0"/>
        </w:trPr>
        <w:tc>
          <w:tcPr>
            <w:gridSpan w:val="3"/>
            <w:shd w:fill="deebf6"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CAPÍTULO XX</w:t>
            </w:r>
          </w:p>
        </w:tc>
      </w:tr>
      <w:tr>
        <w:trPr>
          <w:cantSplit w:val="0"/>
          <w:trHeight w:val="2769" w:hRule="atLeast"/>
          <w:tblHeader w:val="0"/>
        </w:trPr>
        <w:tc>
          <w:tcPr/>
          <w:p w:rsidR="00000000" w:rsidDel="00000000" w:rsidP="00000000" w:rsidRDefault="00000000" w:rsidRPr="00000000" w14:paraId="0000000A">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0B">
            <w:pPr>
              <w:spacing w:after="22" w:line="276" w:lineRule="auto"/>
              <w:ind w:left="427" w:firstLine="0"/>
              <w:jc w:val="both"/>
              <w:rPr>
                <w:sz w:val="24"/>
                <w:szCs w:val="24"/>
              </w:rPr>
            </w:pPr>
            <w:r w:rsidDel="00000000" w:rsidR="00000000" w:rsidRPr="00000000">
              <w:rPr>
                <w:rtl w:val="0"/>
              </w:rPr>
            </w:r>
          </w:p>
          <w:p w:rsidR="00000000" w:rsidDel="00000000" w:rsidP="00000000" w:rsidRDefault="00000000" w:rsidRPr="00000000" w14:paraId="0000000C">
            <w:pPr>
              <w:spacing w:after="22" w:line="276" w:lineRule="auto"/>
              <w:ind w:left="427" w:firstLine="0"/>
              <w:jc w:val="both"/>
              <w:rPr>
                <w:sz w:val="24"/>
                <w:szCs w:val="24"/>
              </w:rPr>
            </w:pPr>
            <w:r w:rsidDel="00000000" w:rsidR="00000000" w:rsidRPr="00000000">
              <w:rPr>
                <w:rtl w:val="0"/>
              </w:rPr>
            </w:r>
          </w:p>
          <w:p w:rsidR="00000000" w:rsidDel="00000000" w:rsidP="00000000" w:rsidRDefault="00000000" w:rsidRPr="00000000" w14:paraId="0000000D">
            <w:pPr>
              <w:spacing w:after="22" w:line="276" w:lineRule="auto"/>
              <w:ind w:left="427" w:firstLine="0"/>
              <w:jc w:val="both"/>
              <w:rPr>
                <w:sz w:val="24"/>
                <w:szCs w:val="24"/>
              </w:rPr>
            </w:pPr>
            <w:r w:rsidDel="00000000" w:rsidR="00000000" w:rsidRPr="00000000">
              <w:rPr>
                <w:rtl w:val="0"/>
              </w:rPr>
            </w:r>
          </w:p>
          <w:p w:rsidR="00000000" w:rsidDel="00000000" w:rsidP="00000000" w:rsidRDefault="00000000" w:rsidRPr="00000000" w14:paraId="0000000E">
            <w:pPr>
              <w:spacing w:after="22" w:line="276" w:lineRule="auto"/>
              <w:ind w:left="427" w:firstLine="0"/>
              <w:jc w:val="both"/>
              <w:rPr>
                <w:sz w:val="24"/>
                <w:szCs w:val="24"/>
              </w:rPr>
            </w:pPr>
            <w:r w:rsidDel="00000000" w:rsidR="00000000" w:rsidRPr="00000000">
              <w:rPr>
                <w:rtl w:val="0"/>
              </w:rPr>
            </w:r>
          </w:p>
          <w:p w:rsidR="00000000" w:rsidDel="00000000" w:rsidP="00000000" w:rsidRDefault="00000000" w:rsidRPr="00000000" w14:paraId="0000000F">
            <w:pPr>
              <w:spacing w:after="22" w:line="276" w:lineRule="auto"/>
              <w:ind w:left="427" w:firstLine="0"/>
              <w:jc w:val="both"/>
              <w:rPr>
                <w:sz w:val="24"/>
                <w:szCs w:val="24"/>
              </w:rPr>
            </w:pPr>
            <w:r w:rsidDel="00000000" w:rsidR="00000000" w:rsidRPr="00000000">
              <w:rPr>
                <w:rtl w:val="0"/>
              </w:rPr>
            </w:r>
          </w:p>
          <w:p w:rsidR="00000000" w:rsidDel="00000000" w:rsidP="00000000" w:rsidRDefault="00000000" w:rsidRPr="00000000" w14:paraId="00000010">
            <w:pPr>
              <w:spacing w:after="22" w:line="276" w:lineRule="auto"/>
              <w:jc w:val="both"/>
              <w:rPr>
                <w:sz w:val="24"/>
                <w:szCs w:val="24"/>
              </w:rPr>
            </w:pPr>
            <w:r w:rsidDel="00000000" w:rsidR="00000000" w:rsidRPr="00000000">
              <w:rPr>
                <w:rtl w:val="0"/>
              </w:rPr>
            </w:r>
          </w:p>
        </w:tc>
        <w:tc>
          <w:tcPr/>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EXPOSICION DE MOTIVOS</w:t>
            </w:r>
          </w:p>
        </w:tc>
        <w:tc>
          <w:tcPr/>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Procurar mantener un orden cronológico de la información en cuanto a los trabajos y o estudios realizados por la Secretaría de Ambiente, así como los hechos citados, con la finalidad de lograr una secuencia lógica y mayor claridad en la narrativa. </w:t>
            </w:r>
          </w:p>
        </w:tc>
      </w:tr>
      <w:tr>
        <w:trPr>
          <w:cantSplit w:val="0"/>
          <w:trHeight w:val="2769" w:hRule="atLeast"/>
          <w:tblHeader w:val="0"/>
        </w:trPr>
        <w:tc>
          <w:tcPr/>
          <w:p w:rsidR="00000000" w:rsidDel="00000000" w:rsidP="00000000" w:rsidRDefault="00000000" w:rsidRPr="00000000" w14:paraId="00000013">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14">
            <w:pPr>
              <w:spacing w:after="22" w:line="276" w:lineRule="auto"/>
              <w:ind w:left="22" w:firstLine="0"/>
              <w:jc w:val="both"/>
              <w:rPr>
                <w:sz w:val="24"/>
                <w:szCs w:val="24"/>
              </w:rPr>
            </w:pPr>
            <w:r w:rsidDel="00000000" w:rsidR="00000000" w:rsidRPr="00000000">
              <w:rPr>
                <w:rtl w:val="0"/>
              </w:rPr>
            </w:r>
          </w:p>
        </w:tc>
        <w:tc>
          <w:tcPr/>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EXPOSICION DE MOTIVOS</w:t>
            </w:r>
          </w:p>
        </w:tc>
        <w:tc>
          <w:tcPr/>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Usar el nombre completo del COE Metropolitano cuando se refiere al Centro de Operaciones de Emergencia Metropolitano, a fin de evitar confusiones con el Comité Operativo de Emergencias Metropolitano (mecanismo responsable de promover, mantener y planear la coordinación y operación conjunta en emergencias y/o desastres) que tienen las mismas siglas.</w:t>
            </w:r>
          </w:p>
        </w:tc>
      </w:tr>
      <w:tr>
        <w:trPr>
          <w:cantSplit w:val="0"/>
          <w:trHeight w:val="1764" w:hRule="atLeast"/>
          <w:tblHeader w:val="0"/>
        </w:trPr>
        <w:tc>
          <w:tcPr/>
          <w:p w:rsidR="00000000" w:rsidDel="00000000" w:rsidP="00000000" w:rsidRDefault="00000000" w:rsidRPr="00000000" w14:paraId="00000017">
            <w:pPr>
              <w:spacing w:after="22" w:line="276" w:lineRule="auto"/>
              <w:jc w:val="both"/>
              <w:rPr>
                <w:sz w:val="24"/>
                <w:szCs w:val="24"/>
              </w:rPr>
            </w:pPr>
            <w:r w:rsidDel="00000000" w:rsidR="00000000" w:rsidRPr="00000000">
              <w:rPr>
                <w:sz w:val="24"/>
                <w:szCs w:val="24"/>
                <w:rtl w:val="0"/>
              </w:rPr>
              <w:t xml:space="preserve">Estos cálculos no consideran los costos administrativos y operativos en los que incurrió el Cuerpo de Bomberos en las acciones de respuesta, lo que conlleva a pensar que las pérdidas totales económicas fueron más de los 50´000.000.</w:t>
            </w:r>
          </w:p>
        </w:tc>
        <w:tc>
          <w:tcPr/>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EXPOSICION DE MOTIVOS</w:t>
            </w:r>
          </w:p>
        </w:tc>
        <w:tc>
          <w:tcPr/>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Falta el signo de dólares</w:t>
            </w:r>
          </w:p>
        </w:tc>
      </w:tr>
      <w:tr>
        <w:trPr>
          <w:cantSplit w:val="0"/>
          <w:trHeight w:val="1540" w:hRule="atLeast"/>
          <w:tblHeader w:val="0"/>
        </w:trPr>
        <w:tc>
          <w:tcPr/>
          <w:p w:rsidR="00000000" w:rsidDel="00000000" w:rsidP="00000000" w:rsidRDefault="00000000" w:rsidRPr="00000000" w14:paraId="0000001A">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1B">
            <w:pPr>
              <w:spacing w:after="22" w:line="276" w:lineRule="auto"/>
              <w:ind w:left="22" w:firstLine="0"/>
              <w:jc w:val="both"/>
              <w:rPr>
                <w:sz w:val="24"/>
                <w:szCs w:val="24"/>
              </w:rPr>
            </w:pPr>
            <w:r w:rsidDel="00000000" w:rsidR="00000000" w:rsidRPr="00000000">
              <w:rPr>
                <w:rtl w:val="0"/>
              </w:rPr>
            </w:r>
          </w:p>
        </w:tc>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DEFINICIONES</w:t>
            </w:r>
          </w:p>
        </w:tc>
        <w:tc>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Importante incluir otros términos relacionados a la temática como: Quemas prescritas y quemas controladas.</w:t>
            </w:r>
          </w:p>
        </w:tc>
      </w:tr>
      <w:tr>
        <w:trPr>
          <w:cantSplit w:val="0"/>
          <w:trHeight w:val="1279" w:hRule="atLeast"/>
          <w:tblHeader w:val="0"/>
        </w:trPr>
        <w:tc>
          <w:tcPr/>
          <w:p w:rsidR="00000000" w:rsidDel="00000000" w:rsidP="00000000" w:rsidRDefault="00000000" w:rsidRPr="00000000" w14:paraId="0000001E">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1F">
            <w:pPr>
              <w:spacing w:after="22" w:line="276" w:lineRule="auto"/>
              <w:jc w:val="both"/>
              <w:rPr>
                <w:sz w:val="24"/>
                <w:szCs w:val="24"/>
              </w:rPr>
            </w:pPr>
            <w:r w:rsidDel="00000000" w:rsidR="00000000" w:rsidRPr="00000000">
              <w:rPr>
                <w:rtl w:val="0"/>
              </w:rPr>
            </w:r>
          </w:p>
        </w:tc>
        <w:tc>
          <w:tcPr/>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 xml:space="preserve">CAPÍTULO IV</w:t>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DE LA RESTAURACIÓN ECOLÓGICA DE ÁREAS AFECTADAS POR</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INCENDIOSFORESTALES</w:t>
            </w:r>
          </w:p>
        </w:tc>
        <w:tc>
          <w:tcPr/>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Importante incluir el Artículo 17.- Apoyos adicionales para la respuesta y control</w:t>
            </w:r>
          </w:p>
        </w:tc>
      </w:tr>
      <w:tr>
        <w:trPr>
          <w:cantSplit w:val="0"/>
          <w:trHeight w:val="1279" w:hRule="atLeast"/>
          <w:tblHeader w:val="0"/>
        </w:trPr>
        <w:tc>
          <w:tcPr/>
          <w:p w:rsidR="00000000" w:rsidDel="00000000" w:rsidP="00000000" w:rsidRDefault="00000000" w:rsidRPr="00000000" w14:paraId="00000024">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25">
            <w:pPr>
              <w:spacing w:after="22" w:line="276" w:lineRule="auto"/>
              <w:ind w:left="22" w:firstLine="0"/>
              <w:jc w:val="both"/>
              <w:rPr>
                <w:sz w:val="24"/>
                <w:szCs w:val="24"/>
              </w:rPr>
            </w:pPr>
            <w:r w:rsidDel="00000000" w:rsidR="00000000" w:rsidRPr="00000000">
              <w:rPr>
                <w:rtl w:val="0"/>
              </w:rPr>
            </w:r>
          </w:p>
        </w:tc>
        <w:tc>
          <w:tcPr/>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CAPÍTULO VI</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DE LOS INCENTIVOS PARA LA PREVENCIÓN</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Incluir</w:t>
            </w:r>
          </w:p>
          <w:p w:rsidR="00000000" w:rsidDel="00000000" w:rsidP="00000000" w:rsidRDefault="00000000" w:rsidRPr="00000000" w14:paraId="0000002A">
            <w:pPr>
              <w:spacing w:after="0" w:line="240" w:lineRule="auto"/>
              <w:jc w:val="both"/>
              <w:rPr>
                <w:sz w:val="24"/>
                <w:szCs w:val="24"/>
              </w:rPr>
            </w:pPr>
            <w:r w:rsidDel="00000000" w:rsidR="00000000" w:rsidRPr="00000000">
              <w:rPr>
                <w:sz w:val="24"/>
                <w:szCs w:val="24"/>
                <w:rtl w:val="0"/>
              </w:rPr>
              <w:t xml:space="preserve">a)</w:t>
              <w:tab/>
              <w:t xml:space="preserve">Reducción de tasas y contribuciones que forman parte del impuesto predial a los predios que posean y mantengan bosques, páramos o reforesten con plantas nativas en zonas de vocación forestal</w:t>
            </w:r>
          </w:p>
          <w:p w:rsidR="00000000" w:rsidDel="00000000" w:rsidP="00000000" w:rsidRDefault="00000000" w:rsidRPr="00000000" w14:paraId="0000002B">
            <w:pPr>
              <w:jc w:val="both"/>
              <w:rPr>
                <w:sz w:val="24"/>
                <w:szCs w:val="24"/>
              </w:rPr>
            </w:pPr>
            <w:r w:rsidDel="00000000" w:rsidR="00000000" w:rsidRPr="00000000">
              <w:rPr>
                <w:rtl w:val="0"/>
              </w:rPr>
            </w:r>
          </w:p>
        </w:tc>
        <w:tc>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Promover la protección del ecosistema mediante incentivos que causen mayor impacto en la población quiteña.</w:t>
            </w:r>
          </w:p>
        </w:tc>
      </w:tr>
      <w:tr>
        <w:trPr>
          <w:cantSplit w:val="0"/>
          <w:trHeight w:val="1279" w:hRule="atLeast"/>
          <w:tblHeader w:val="0"/>
        </w:trPr>
        <w:tc>
          <w:tcPr/>
          <w:p w:rsidR="00000000" w:rsidDel="00000000" w:rsidP="00000000" w:rsidRDefault="00000000" w:rsidRPr="00000000" w14:paraId="0000002D">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2E">
            <w:pPr>
              <w:spacing w:after="22" w:line="276" w:lineRule="auto"/>
              <w:ind w:left="22" w:firstLine="0"/>
              <w:jc w:val="both"/>
              <w:rPr>
                <w:sz w:val="24"/>
                <w:szCs w:val="24"/>
              </w:rPr>
            </w:pPr>
            <w:r w:rsidDel="00000000" w:rsidR="00000000" w:rsidRPr="00000000">
              <w:rPr>
                <w:rtl w:val="0"/>
              </w:rPr>
            </w:r>
          </w:p>
        </w:tc>
        <w:tc>
          <w:tcPr/>
          <w:p w:rsidR="00000000" w:rsidDel="00000000" w:rsidP="00000000" w:rsidRDefault="00000000" w:rsidRPr="00000000" w14:paraId="0000002F">
            <w:pPr>
              <w:jc w:val="both"/>
              <w:rPr>
                <w:sz w:val="24"/>
                <w:szCs w:val="24"/>
              </w:rPr>
            </w:pPr>
            <w:r w:rsidDel="00000000" w:rsidR="00000000" w:rsidRPr="00000000">
              <w:rPr>
                <w:rtl w:val="0"/>
              </w:rPr>
            </w:r>
          </w:p>
        </w:tc>
        <w:tc>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En cuanto se refiere a la Estrategia Distrital para el Manejo Integral del Fuego, analizar técnicamente la pertinencia de incluir a quemas controladas y quemas prescritas, con la finalidad de normar y regular las actividades del uso del fuego con el acompañamiento técnico de las entidades especializadas en el tema.</w:t>
            </w:r>
          </w:p>
        </w:tc>
      </w:tr>
      <w:tr>
        <w:trPr>
          <w:cantSplit w:val="0"/>
          <w:trHeight w:val="1279" w:hRule="atLeast"/>
          <w:tblHeader w:val="0"/>
        </w:trPr>
        <w:tc>
          <w:tcPr/>
          <w:p w:rsidR="00000000" w:rsidDel="00000000" w:rsidP="00000000" w:rsidRDefault="00000000" w:rsidRPr="00000000" w14:paraId="00000031">
            <w:pPr>
              <w:spacing w:after="22" w:line="276" w:lineRule="auto"/>
              <w:ind w:left="22" w:hanging="22"/>
              <w:jc w:val="both"/>
              <w:rPr>
                <w:sz w:val="24"/>
                <w:szCs w:val="24"/>
              </w:rPr>
            </w:pPr>
            <w:r w:rsidDel="00000000" w:rsidR="00000000" w:rsidRPr="00000000">
              <w:rPr>
                <w:sz w:val="24"/>
                <w:szCs w:val="24"/>
                <w:rtl w:val="0"/>
              </w:rPr>
              <w:t xml:space="preserve">Ordenanza Metropolitana para el Manejo del Fuego del DMQ</w:t>
            </w:r>
          </w:p>
          <w:p w:rsidR="00000000" w:rsidDel="00000000" w:rsidP="00000000" w:rsidRDefault="00000000" w:rsidRPr="00000000" w14:paraId="00000032">
            <w:pPr>
              <w:spacing w:after="22" w:line="276" w:lineRule="auto"/>
              <w:ind w:left="22" w:firstLine="0"/>
              <w:jc w:val="both"/>
              <w:rPr>
                <w:sz w:val="24"/>
                <w:szCs w:val="24"/>
              </w:rPr>
            </w:pPr>
            <w:r w:rsidDel="00000000" w:rsidR="00000000" w:rsidRPr="00000000">
              <w:rPr>
                <w:rtl w:val="0"/>
              </w:rPr>
            </w:r>
          </w:p>
        </w:tc>
        <w:tc>
          <w:tcPr/>
          <w:p w:rsidR="00000000" w:rsidDel="00000000" w:rsidP="00000000" w:rsidRDefault="00000000" w:rsidRPr="00000000" w14:paraId="00000033">
            <w:pPr>
              <w:jc w:val="both"/>
              <w:rPr>
                <w:sz w:val="24"/>
                <w:szCs w:val="24"/>
              </w:rPr>
            </w:pPr>
            <w:r w:rsidDel="00000000" w:rsidR="00000000" w:rsidRPr="00000000">
              <w:rPr>
                <w:rtl w:val="0"/>
              </w:rPr>
            </w:r>
          </w:p>
        </w:tc>
        <w:tc>
          <w:tcPr/>
          <w:p w:rsidR="00000000" w:rsidDel="00000000" w:rsidP="00000000" w:rsidRDefault="00000000" w:rsidRPr="00000000" w14:paraId="00000034">
            <w:pPr>
              <w:jc w:val="both"/>
              <w:rPr>
                <w:sz w:val="28"/>
                <w:szCs w:val="28"/>
              </w:rPr>
            </w:pPr>
            <w:r w:rsidDel="00000000" w:rsidR="00000000" w:rsidRPr="00000000">
              <w:rPr>
                <w:sz w:val="24"/>
                <w:szCs w:val="24"/>
                <w:rtl w:val="0"/>
              </w:rPr>
              <w:t xml:space="preserve">Importante realizar un acercamiento con el Programa Amazonía Sin Fuego (PASF), actor de cooperación internacional que cuenta con experiencia y conocimiento sobre la temática del manejo integral del fuego en varios países, ya que su aporte podría enriquecer la propuesta de ordenanza con estrategias y actividades para potenciar y darle fuerza a la reducción del riesgo de incendios forestales en el Distrito Metropolitano de Quito.  Actualmente, el PASF trabaja en la elaboración del Plan Técnico Interinstitucional para la gestión de incendios forestales del GAD Provincial Pichincha.</w:t>
            </w: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