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EC5B1" w14:textId="77777777" w:rsidR="008A1C97" w:rsidRDefault="00E668A5">
      <w:pPr>
        <w:widowControl w:val="0"/>
        <w:pBdr>
          <w:top w:val="nil"/>
          <w:left w:val="nil"/>
          <w:bottom w:val="nil"/>
          <w:right w:val="nil"/>
          <w:between w:val="nil"/>
        </w:pBdr>
        <w:spacing w:line="276" w:lineRule="auto"/>
      </w:pPr>
      <w:r>
        <w:pict w14:anchorId="4D29A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w14:anchorId="52B7B4AB">
          <v:shape id="_x0000_s1027" type="#_x0000_t136" style="position:absolute;margin-left:0;margin-top:0;width:50pt;height:50pt;z-index:251657728;visibility:hidden">
            <o:lock v:ext="edit" selection="t"/>
          </v:shape>
        </w:pict>
      </w:r>
      <w:r>
        <w:pict w14:anchorId="6C9AE0F4">
          <v:shape id="_x0000_s1026" type="#_x0000_t136" style="position:absolute;margin-left:0;margin-top:0;width:50pt;height:50pt;z-index:251658752;visibility:hidden">
            <o:lock v:ext="edit" selection="t"/>
          </v:shape>
        </w:pict>
      </w:r>
    </w:p>
    <w:p w14:paraId="3302F470" w14:textId="77777777" w:rsidR="008A1C97" w:rsidRDefault="005F1CA7">
      <w:pPr>
        <w:pBdr>
          <w:top w:val="nil"/>
          <w:left w:val="nil"/>
          <w:bottom w:val="nil"/>
          <w:right w:val="nil"/>
          <w:between w:val="nil"/>
        </w:pBdr>
        <w:jc w:val="center"/>
        <w:rPr>
          <w:b/>
          <w:color w:val="000000"/>
          <w:sz w:val="22"/>
          <w:szCs w:val="22"/>
        </w:rPr>
      </w:pPr>
      <w:r>
        <w:rPr>
          <w:b/>
          <w:color w:val="000000"/>
          <w:sz w:val="22"/>
          <w:szCs w:val="22"/>
        </w:rPr>
        <w:t>EXPOSICIÓN DE MOTIVOS</w:t>
      </w:r>
    </w:p>
    <w:p w14:paraId="13683E10" w14:textId="77777777" w:rsidR="008A1C97" w:rsidRDefault="008A1C97">
      <w:pPr>
        <w:pBdr>
          <w:top w:val="nil"/>
          <w:left w:val="nil"/>
          <w:bottom w:val="nil"/>
          <w:right w:val="nil"/>
          <w:between w:val="nil"/>
        </w:pBdr>
        <w:jc w:val="center"/>
        <w:rPr>
          <w:b/>
          <w:color w:val="000000"/>
          <w:sz w:val="22"/>
          <w:szCs w:val="22"/>
        </w:rPr>
      </w:pPr>
    </w:p>
    <w:p w14:paraId="2121A955" w14:textId="77777777" w:rsidR="008A1C97" w:rsidRDefault="008A1C97">
      <w:pPr>
        <w:pBdr>
          <w:top w:val="nil"/>
          <w:left w:val="nil"/>
          <w:bottom w:val="nil"/>
          <w:right w:val="nil"/>
          <w:between w:val="nil"/>
        </w:pBdr>
        <w:jc w:val="center"/>
        <w:rPr>
          <w:b/>
          <w:color w:val="000000"/>
          <w:sz w:val="22"/>
          <w:szCs w:val="22"/>
        </w:rPr>
      </w:pPr>
    </w:p>
    <w:p w14:paraId="2369DA3A" w14:textId="77777777" w:rsidR="008A1C97" w:rsidRDefault="005F1CA7">
      <w:pPr>
        <w:pBdr>
          <w:top w:val="nil"/>
          <w:left w:val="nil"/>
          <w:bottom w:val="nil"/>
          <w:right w:val="nil"/>
          <w:between w:val="nil"/>
        </w:pBdr>
        <w:spacing w:line="276" w:lineRule="auto"/>
        <w:jc w:val="both"/>
        <w:rPr>
          <w:color w:val="000000"/>
          <w:sz w:val="22"/>
          <w:szCs w:val="22"/>
        </w:rPr>
      </w:pPr>
      <w:r>
        <w:rPr>
          <w:color w:val="000000"/>
          <w:sz w:val="22"/>
          <w:szCs w:val="22"/>
        </w:rPr>
        <w:t>La Constitución de la República del Ecuador, en su artículo 30, garantiza a las personas el “</w:t>
      </w:r>
      <w:r>
        <w:rPr>
          <w:i/>
          <w:color w:val="000000"/>
          <w:sz w:val="22"/>
          <w:szCs w:val="22"/>
        </w:rPr>
        <w:t>derecho a un hábitat seguro y saludable, y a una vivienda adecuada y digna, con independencia de su situación social y económica</w:t>
      </w:r>
      <w:r>
        <w:rPr>
          <w:color w:val="000000"/>
          <w:sz w:val="22"/>
          <w:szCs w:val="22"/>
        </w:rPr>
        <w:t>”.</w:t>
      </w:r>
    </w:p>
    <w:p w14:paraId="2EE5AD53" w14:textId="77777777" w:rsidR="008A1C97" w:rsidRDefault="008A1C97">
      <w:pPr>
        <w:pBdr>
          <w:top w:val="nil"/>
          <w:left w:val="nil"/>
          <w:bottom w:val="nil"/>
          <w:right w:val="nil"/>
          <w:between w:val="nil"/>
        </w:pBdr>
        <w:spacing w:line="276" w:lineRule="auto"/>
        <w:jc w:val="both"/>
        <w:rPr>
          <w:b/>
          <w:color w:val="000000"/>
          <w:sz w:val="22"/>
          <w:szCs w:val="22"/>
        </w:rPr>
      </w:pPr>
    </w:p>
    <w:p w14:paraId="3C372337" w14:textId="77777777" w:rsidR="008A1C97" w:rsidRDefault="005F1CA7">
      <w:pPr>
        <w:spacing w:line="276" w:lineRule="auto"/>
        <w:jc w:val="both"/>
        <w:rPr>
          <w:sz w:val="22"/>
          <w:szCs w:val="22"/>
        </w:rPr>
      </w:pPr>
      <w:r>
        <w:rPr>
          <w:color w:val="000000"/>
          <w:sz w:val="22"/>
          <w:szCs w:val="22"/>
        </w:rPr>
        <w:t>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A4EDB8F" w14:textId="77777777" w:rsidR="008A1C97" w:rsidRDefault="005F1CA7">
      <w:pPr>
        <w:pBdr>
          <w:top w:val="nil"/>
          <w:left w:val="nil"/>
          <w:bottom w:val="nil"/>
          <w:right w:val="nil"/>
          <w:between w:val="nil"/>
        </w:pBdr>
        <w:tabs>
          <w:tab w:val="left" w:pos="7073"/>
        </w:tabs>
        <w:spacing w:line="276" w:lineRule="auto"/>
        <w:jc w:val="both"/>
        <w:rPr>
          <w:b/>
          <w:color w:val="000000"/>
          <w:sz w:val="22"/>
          <w:szCs w:val="22"/>
        </w:rPr>
      </w:pPr>
      <w:r>
        <w:rPr>
          <w:b/>
          <w:color w:val="000000"/>
          <w:sz w:val="22"/>
          <w:szCs w:val="22"/>
        </w:rPr>
        <w:tab/>
      </w:r>
    </w:p>
    <w:p w14:paraId="2E49C9FA" w14:textId="71CBB33B" w:rsidR="008A1C97" w:rsidRDefault="005F1CA7">
      <w:pPr>
        <w:pBdr>
          <w:top w:val="nil"/>
          <w:left w:val="nil"/>
          <w:bottom w:val="nil"/>
          <w:right w:val="nil"/>
          <w:between w:val="nil"/>
        </w:pBdr>
        <w:spacing w:line="276" w:lineRule="auto"/>
        <w:jc w:val="both"/>
        <w:rPr>
          <w:color w:val="000000"/>
          <w:sz w:val="22"/>
          <w:szCs w:val="22"/>
        </w:rPr>
      </w:pPr>
      <w:r>
        <w:rPr>
          <w:color w:val="000000"/>
          <w:sz w:val="22"/>
          <w:szCs w:val="22"/>
        </w:rPr>
        <w:t xml:space="preserve">El asentamiento humano de hecho y consolidado de interés social denominado “La Balbina”, ubicado en la parroquia Amaguaña, tiene una consolidación del 94.12%; cuenta con 27 años de asentamiento, 17 lotes a fraccionar y 68 beneficiarios. </w:t>
      </w:r>
    </w:p>
    <w:p w14:paraId="5FD64B2B" w14:textId="77777777" w:rsidR="008A1C97" w:rsidRDefault="008A1C97">
      <w:pPr>
        <w:pBdr>
          <w:top w:val="nil"/>
          <w:left w:val="nil"/>
          <w:bottom w:val="nil"/>
          <w:right w:val="nil"/>
          <w:between w:val="nil"/>
        </w:pBdr>
        <w:spacing w:line="276" w:lineRule="auto"/>
        <w:jc w:val="both"/>
        <w:rPr>
          <w:b/>
          <w:color w:val="000000"/>
          <w:sz w:val="22"/>
          <w:szCs w:val="22"/>
        </w:rPr>
      </w:pPr>
      <w:bookmarkStart w:id="0" w:name="_heading=h.gjdgxs" w:colFirst="0" w:colLast="0"/>
      <w:bookmarkEnd w:id="0"/>
    </w:p>
    <w:p w14:paraId="3B0E982C" w14:textId="77777777" w:rsidR="008A1C97" w:rsidRDefault="005F1CA7">
      <w:pPr>
        <w:pBdr>
          <w:top w:val="nil"/>
          <w:left w:val="nil"/>
          <w:bottom w:val="nil"/>
          <w:right w:val="nil"/>
          <w:between w:val="nil"/>
        </w:pBdr>
        <w:spacing w:line="276" w:lineRule="auto"/>
        <w:jc w:val="both"/>
        <w:rPr>
          <w:color w:val="000000"/>
          <w:sz w:val="22"/>
          <w:szCs w:val="22"/>
        </w:rPr>
      </w:pPr>
      <w:r>
        <w:rPr>
          <w:color w:val="000000"/>
          <w:sz w:val="22"/>
          <w:szCs w:val="22"/>
        </w:rPr>
        <w:t xml:space="preserve">Dicho asentamiento humano de hecho y consolidado de interés social cuenta con reconocimiento legal por parte del Distrito Metropolitano, mediante Ordenanza 004 sancionada el 22 de abril de 2019, con el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  </w:t>
      </w:r>
    </w:p>
    <w:p w14:paraId="39F0AAE0" w14:textId="77777777" w:rsidR="008A1C97" w:rsidRDefault="008A1C97">
      <w:pPr>
        <w:pBdr>
          <w:top w:val="nil"/>
          <w:left w:val="nil"/>
          <w:bottom w:val="nil"/>
          <w:right w:val="nil"/>
          <w:between w:val="nil"/>
        </w:pBdr>
        <w:spacing w:line="276" w:lineRule="auto"/>
        <w:jc w:val="both"/>
        <w:rPr>
          <w:color w:val="000000"/>
          <w:sz w:val="22"/>
          <w:szCs w:val="22"/>
        </w:rPr>
      </w:pPr>
    </w:p>
    <w:p w14:paraId="60D81383" w14:textId="477F5BB5" w:rsidR="008A1C97" w:rsidRDefault="005F1CA7">
      <w:pPr>
        <w:pBdr>
          <w:top w:val="nil"/>
          <w:left w:val="nil"/>
          <w:bottom w:val="nil"/>
          <w:right w:val="nil"/>
          <w:between w:val="nil"/>
        </w:pBdr>
        <w:spacing w:line="276" w:lineRule="auto"/>
        <w:jc w:val="both"/>
        <w:rPr>
          <w:color w:val="000000"/>
          <w:sz w:val="22"/>
          <w:szCs w:val="22"/>
        </w:rPr>
      </w:pPr>
      <w:r>
        <w:rPr>
          <w:color w:val="000000"/>
          <w:sz w:val="22"/>
          <w:szCs w:val="22"/>
        </w:rPr>
        <w:t>Sin embargo, se han presentado inconsistencias técnicas</w:t>
      </w:r>
      <w:r w:rsidR="00C25C38" w:rsidRPr="00C25C38">
        <w:rPr>
          <w:color w:val="000000"/>
          <w:sz w:val="22"/>
          <w:szCs w:val="22"/>
        </w:rPr>
        <w:t xml:space="preserve"> </w:t>
      </w:r>
      <w:r w:rsidR="00063F81">
        <w:rPr>
          <w:color w:val="000000"/>
          <w:sz w:val="22"/>
          <w:szCs w:val="22"/>
        </w:rPr>
        <w:t xml:space="preserve">en el </w:t>
      </w:r>
      <w:r w:rsidR="00C25C38">
        <w:rPr>
          <w:color w:val="000000"/>
          <w:sz w:val="22"/>
          <w:szCs w:val="22"/>
        </w:rPr>
        <w:t xml:space="preserve"> plano aprobado</w:t>
      </w:r>
      <w:r>
        <w:rPr>
          <w:color w:val="000000"/>
          <w:sz w:val="22"/>
          <w:szCs w:val="22"/>
        </w:rPr>
        <w:t xml:space="preserve">, </w:t>
      </w:r>
      <w:r w:rsidR="00C25C38">
        <w:rPr>
          <w:color w:val="000000"/>
          <w:sz w:val="22"/>
          <w:szCs w:val="22"/>
        </w:rPr>
        <w:t xml:space="preserve">por cuanto </w:t>
      </w:r>
      <w:r>
        <w:rPr>
          <w:color w:val="000000"/>
          <w:sz w:val="22"/>
          <w:szCs w:val="22"/>
        </w:rPr>
        <w:t xml:space="preserve">los lotes 12, 13, 14, 15, 16 y 17 que </w:t>
      </w:r>
      <w:r w:rsidR="006F40A8">
        <w:rPr>
          <w:color w:val="000000"/>
          <w:sz w:val="22"/>
          <w:szCs w:val="22"/>
        </w:rPr>
        <w:t>forman parte</w:t>
      </w:r>
      <w:r>
        <w:rPr>
          <w:color w:val="000000"/>
          <w:sz w:val="22"/>
          <w:szCs w:val="22"/>
        </w:rPr>
        <w:t xml:space="preserve"> </w:t>
      </w:r>
      <w:r w:rsidR="006F40A8">
        <w:rPr>
          <w:color w:val="000000"/>
          <w:sz w:val="22"/>
          <w:szCs w:val="22"/>
        </w:rPr>
        <w:t>d</w:t>
      </w:r>
      <w:r w:rsidR="00A116A8">
        <w:rPr>
          <w:color w:val="000000"/>
          <w:sz w:val="22"/>
          <w:szCs w:val="22"/>
        </w:rPr>
        <w:t>el asentamiento humano</w:t>
      </w:r>
      <w:r w:rsidR="008A60A7">
        <w:rPr>
          <w:color w:val="000000"/>
          <w:sz w:val="22"/>
          <w:szCs w:val="22"/>
        </w:rPr>
        <w:t>,</w:t>
      </w:r>
      <w:r>
        <w:rPr>
          <w:color w:val="000000"/>
          <w:sz w:val="22"/>
          <w:szCs w:val="22"/>
        </w:rPr>
        <w:t xml:space="preserve"> </w:t>
      </w:r>
      <w:r w:rsidR="00C25C38">
        <w:rPr>
          <w:color w:val="000000"/>
          <w:sz w:val="22"/>
          <w:szCs w:val="22"/>
        </w:rPr>
        <w:t>presentan variaciones en sus linderos y cabida</w:t>
      </w:r>
      <w:r w:rsidR="006F40A8">
        <w:rPr>
          <w:color w:val="000000"/>
          <w:sz w:val="22"/>
          <w:szCs w:val="22"/>
        </w:rPr>
        <w:t>s</w:t>
      </w:r>
      <w:r w:rsidR="00063F81">
        <w:rPr>
          <w:color w:val="000000"/>
          <w:sz w:val="22"/>
          <w:szCs w:val="22"/>
        </w:rPr>
        <w:t xml:space="preserve"> que no corresponden a la realidad del sitio</w:t>
      </w:r>
      <w:r>
        <w:rPr>
          <w:color w:val="000000"/>
          <w:sz w:val="22"/>
          <w:szCs w:val="22"/>
        </w:rPr>
        <w:t xml:space="preserve">, </w:t>
      </w:r>
      <w:r w:rsidR="00A116A8">
        <w:rPr>
          <w:color w:val="000000"/>
          <w:sz w:val="22"/>
          <w:szCs w:val="22"/>
        </w:rPr>
        <w:t>las mimas</w:t>
      </w:r>
      <w:r w:rsidR="00063F81">
        <w:rPr>
          <w:color w:val="000000"/>
          <w:sz w:val="22"/>
          <w:szCs w:val="22"/>
        </w:rPr>
        <w:t xml:space="preserve"> que</w:t>
      </w:r>
      <w:r w:rsidR="00C25C38">
        <w:rPr>
          <w:color w:val="000000"/>
          <w:sz w:val="22"/>
          <w:szCs w:val="22"/>
        </w:rPr>
        <w:t xml:space="preserve"> </w:t>
      </w:r>
      <w:r w:rsidR="00063F81">
        <w:rPr>
          <w:color w:val="000000"/>
          <w:sz w:val="22"/>
          <w:szCs w:val="22"/>
        </w:rPr>
        <w:t xml:space="preserve">estaban </w:t>
      </w:r>
      <w:r w:rsidR="00C25C38">
        <w:rPr>
          <w:color w:val="000000"/>
          <w:sz w:val="22"/>
          <w:szCs w:val="22"/>
        </w:rPr>
        <w:t>afecta</w:t>
      </w:r>
      <w:r w:rsidR="00063F81">
        <w:rPr>
          <w:color w:val="000000"/>
          <w:sz w:val="22"/>
          <w:szCs w:val="22"/>
        </w:rPr>
        <w:t>ndo</w:t>
      </w:r>
      <w:r w:rsidR="00C25C38">
        <w:rPr>
          <w:color w:val="000000"/>
          <w:sz w:val="22"/>
          <w:szCs w:val="22"/>
        </w:rPr>
        <w:t xml:space="preserve"> a</w:t>
      </w:r>
      <w:r>
        <w:rPr>
          <w:color w:val="000000"/>
          <w:sz w:val="22"/>
          <w:szCs w:val="22"/>
        </w:rPr>
        <w:t xml:space="preserve"> </w:t>
      </w:r>
      <w:r w:rsidR="00063F81">
        <w:rPr>
          <w:color w:val="000000"/>
          <w:sz w:val="22"/>
          <w:szCs w:val="22"/>
        </w:rPr>
        <w:t>las</w:t>
      </w:r>
      <w:r>
        <w:rPr>
          <w:color w:val="000000"/>
          <w:sz w:val="22"/>
          <w:szCs w:val="22"/>
        </w:rPr>
        <w:t xml:space="preserve"> viviendas </w:t>
      </w:r>
      <w:r w:rsidR="00C25C38">
        <w:rPr>
          <w:color w:val="000000"/>
          <w:sz w:val="22"/>
          <w:szCs w:val="22"/>
        </w:rPr>
        <w:t>de hormigón</w:t>
      </w:r>
      <w:r w:rsidR="00631743">
        <w:rPr>
          <w:color w:val="000000"/>
          <w:sz w:val="22"/>
          <w:szCs w:val="22"/>
        </w:rPr>
        <w:t xml:space="preserve"> existentes desde hace</w:t>
      </w:r>
      <w:r w:rsidR="00063F81">
        <w:rPr>
          <w:color w:val="000000"/>
          <w:sz w:val="22"/>
          <w:szCs w:val="22"/>
        </w:rPr>
        <w:t xml:space="preserve"> varios años</w:t>
      </w:r>
      <w:r>
        <w:rPr>
          <w:color w:val="000000"/>
          <w:sz w:val="22"/>
          <w:szCs w:val="22"/>
        </w:rPr>
        <w:t>;</w:t>
      </w:r>
      <w:r w:rsidR="00C25C38">
        <w:rPr>
          <w:color w:val="000000"/>
          <w:sz w:val="22"/>
          <w:szCs w:val="22"/>
        </w:rPr>
        <w:t xml:space="preserve"> </w:t>
      </w:r>
      <w:r w:rsidR="00A116A8">
        <w:rPr>
          <w:color w:val="000000"/>
          <w:sz w:val="22"/>
          <w:szCs w:val="22"/>
        </w:rPr>
        <w:t>todo esto</w:t>
      </w:r>
      <w:r w:rsidR="0086619C">
        <w:rPr>
          <w:color w:val="000000"/>
          <w:sz w:val="22"/>
          <w:szCs w:val="22"/>
        </w:rPr>
        <w:t xml:space="preserve"> </w:t>
      </w:r>
      <w:r w:rsidR="00631743">
        <w:rPr>
          <w:color w:val="000000"/>
          <w:sz w:val="22"/>
          <w:szCs w:val="22"/>
        </w:rPr>
        <w:t xml:space="preserve">se </w:t>
      </w:r>
      <w:r w:rsidR="008A60A7">
        <w:rPr>
          <w:color w:val="000000"/>
          <w:sz w:val="22"/>
          <w:szCs w:val="22"/>
        </w:rPr>
        <w:t>ha identificado</w:t>
      </w:r>
      <w:r w:rsidR="00C25C38">
        <w:rPr>
          <w:color w:val="000000"/>
          <w:sz w:val="22"/>
          <w:szCs w:val="22"/>
        </w:rPr>
        <w:t xml:space="preserve"> dentro </w:t>
      </w:r>
      <w:r>
        <w:rPr>
          <w:color w:val="000000"/>
          <w:sz w:val="22"/>
          <w:szCs w:val="22"/>
        </w:rPr>
        <w:t xml:space="preserve"> </w:t>
      </w:r>
      <w:r w:rsidR="00C25C38">
        <w:rPr>
          <w:color w:val="000000"/>
          <w:sz w:val="22"/>
          <w:szCs w:val="22"/>
        </w:rPr>
        <w:t>d</w:t>
      </w:r>
      <w:r>
        <w:rPr>
          <w:color w:val="000000"/>
          <w:sz w:val="22"/>
          <w:szCs w:val="22"/>
        </w:rPr>
        <w:t xml:space="preserve">el proceso </w:t>
      </w:r>
      <w:r w:rsidR="00C25C38">
        <w:rPr>
          <w:color w:val="000000"/>
          <w:sz w:val="22"/>
          <w:szCs w:val="22"/>
        </w:rPr>
        <w:t>post ordenanza</w:t>
      </w:r>
      <w:r w:rsidR="008A60A7">
        <w:rPr>
          <w:color w:val="000000"/>
          <w:sz w:val="22"/>
          <w:szCs w:val="22"/>
        </w:rPr>
        <w:t>, al realizar la inspección para</w:t>
      </w:r>
      <w:r w:rsidR="00C25C38">
        <w:rPr>
          <w:color w:val="000000"/>
          <w:sz w:val="22"/>
          <w:szCs w:val="22"/>
        </w:rPr>
        <w:t xml:space="preserve"> la</w:t>
      </w:r>
      <w:r>
        <w:rPr>
          <w:color w:val="000000"/>
          <w:sz w:val="22"/>
          <w:szCs w:val="22"/>
        </w:rPr>
        <w:t xml:space="preserve"> generación de números de predios y claves catastrales</w:t>
      </w:r>
      <w:r w:rsidR="00C25C38">
        <w:rPr>
          <w:color w:val="000000"/>
          <w:sz w:val="22"/>
          <w:szCs w:val="22"/>
        </w:rPr>
        <w:t xml:space="preserve"> individuales</w:t>
      </w:r>
      <w:r w:rsidR="00A116A8">
        <w:rPr>
          <w:color w:val="000000"/>
          <w:sz w:val="22"/>
          <w:szCs w:val="22"/>
        </w:rPr>
        <w:t xml:space="preserve">, por estas observaciones </w:t>
      </w:r>
      <w:r>
        <w:rPr>
          <w:color w:val="000000"/>
          <w:sz w:val="22"/>
          <w:szCs w:val="22"/>
        </w:rPr>
        <w:t>la Dire</w:t>
      </w:r>
      <w:r w:rsidR="00631743">
        <w:rPr>
          <w:color w:val="000000"/>
          <w:sz w:val="22"/>
          <w:szCs w:val="22"/>
        </w:rPr>
        <w:t>cción Metropolitana de Catastro</w:t>
      </w:r>
      <w:r>
        <w:rPr>
          <w:color w:val="000000"/>
          <w:sz w:val="22"/>
          <w:szCs w:val="22"/>
        </w:rPr>
        <w:t xml:space="preserve"> </w:t>
      </w:r>
      <w:r w:rsidR="00631743">
        <w:rPr>
          <w:color w:val="000000"/>
          <w:sz w:val="22"/>
          <w:szCs w:val="22"/>
        </w:rPr>
        <w:t xml:space="preserve">negó </w:t>
      </w:r>
      <w:r w:rsidR="008A60A7">
        <w:rPr>
          <w:color w:val="000000"/>
          <w:sz w:val="22"/>
          <w:szCs w:val="22"/>
        </w:rPr>
        <w:t xml:space="preserve">la </w:t>
      </w:r>
      <w:r w:rsidR="00631743">
        <w:rPr>
          <w:color w:val="000000"/>
          <w:sz w:val="22"/>
          <w:szCs w:val="22"/>
        </w:rPr>
        <w:t>emisión</w:t>
      </w:r>
      <w:r w:rsidR="00A116A8">
        <w:rPr>
          <w:color w:val="000000"/>
          <w:sz w:val="22"/>
          <w:szCs w:val="22"/>
        </w:rPr>
        <w:t xml:space="preserve"> del informe correspondiente</w:t>
      </w:r>
      <w:r w:rsidR="006F40A8">
        <w:rPr>
          <w:color w:val="000000"/>
          <w:sz w:val="22"/>
          <w:szCs w:val="22"/>
        </w:rPr>
        <w:t>,</w:t>
      </w:r>
      <w:r w:rsidR="00631743">
        <w:rPr>
          <w:color w:val="000000"/>
          <w:sz w:val="22"/>
          <w:szCs w:val="22"/>
        </w:rPr>
        <w:t xml:space="preserve"> hasta que se corrija los </w:t>
      </w:r>
      <w:r w:rsidR="00E6516E">
        <w:rPr>
          <w:color w:val="000000"/>
          <w:sz w:val="22"/>
          <w:szCs w:val="22"/>
        </w:rPr>
        <w:t xml:space="preserve">errores en los </w:t>
      </w:r>
      <w:r w:rsidR="00631743">
        <w:rPr>
          <w:color w:val="000000"/>
          <w:sz w:val="22"/>
          <w:szCs w:val="22"/>
        </w:rPr>
        <w:t xml:space="preserve">linderos </w:t>
      </w:r>
      <w:r w:rsidR="00E6516E">
        <w:rPr>
          <w:color w:val="000000"/>
          <w:sz w:val="22"/>
          <w:szCs w:val="22"/>
        </w:rPr>
        <w:t>de</w:t>
      </w:r>
      <w:r w:rsidR="00631743">
        <w:rPr>
          <w:color w:val="000000"/>
          <w:sz w:val="22"/>
          <w:szCs w:val="22"/>
        </w:rPr>
        <w:t xml:space="preserve"> los lotes </w:t>
      </w:r>
      <w:r w:rsidR="0086619C">
        <w:rPr>
          <w:color w:val="000000"/>
          <w:sz w:val="22"/>
          <w:szCs w:val="22"/>
        </w:rPr>
        <w:t>descritos</w:t>
      </w:r>
      <w:r w:rsidR="00631743">
        <w:rPr>
          <w:color w:val="000000"/>
          <w:sz w:val="22"/>
          <w:szCs w:val="22"/>
        </w:rPr>
        <w:t xml:space="preserve">, </w:t>
      </w:r>
      <w:r w:rsidR="008A60A7">
        <w:rPr>
          <w:color w:val="000000"/>
          <w:sz w:val="22"/>
          <w:szCs w:val="22"/>
        </w:rPr>
        <w:t>esta circunstancia</w:t>
      </w:r>
      <w:r w:rsidR="00631743">
        <w:rPr>
          <w:color w:val="000000"/>
          <w:sz w:val="22"/>
          <w:szCs w:val="22"/>
        </w:rPr>
        <w:t xml:space="preserve"> </w:t>
      </w:r>
      <w:r w:rsidR="00E6516E">
        <w:rPr>
          <w:color w:val="000000"/>
          <w:sz w:val="22"/>
          <w:szCs w:val="22"/>
        </w:rPr>
        <w:t xml:space="preserve">hizo que </w:t>
      </w:r>
      <w:r w:rsidR="009313B4">
        <w:rPr>
          <w:color w:val="000000"/>
          <w:sz w:val="22"/>
          <w:szCs w:val="22"/>
        </w:rPr>
        <w:t>lo</w:t>
      </w:r>
      <w:r w:rsidR="00E6516E">
        <w:rPr>
          <w:color w:val="000000"/>
          <w:sz w:val="22"/>
          <w:szCs w:val="22"/>
        </w:rPr>
        <w:t>s copropietarios solicitaran</w:t>
      </w:r>
      <w:r w:rsidR="00C25C38">
        <w:rPr>
          <w:color w:val="000000"/>
          <w:sz w:val="22"/>
          <w:szCs w:val="22"/>
        </w:rPr>
        <w:t xml:space="preserve"> </w:t>
      </w:r>
      <w:r w:rsidR="00063F81">
        <w:rPr>
          <w:color w:val="000000"/>
          <w:sz w:val="22"/>
          <w:szCs w:val="22"/>
        </w:rPr>
        <w:t xml:space="preserve">una </w:t>
      </w:r>
      <w:r w:rsidR="00C25C38">
        <w:rPr>
          <w:color w:val="000000"/>
          <w:sz w:val="22"/>
          <w:szCs w:val="22"/>
        </w:rPr>
        <w:t xml:space="preserve">reforma de la ordenanza, </w:t>
      </w:r>
      <w:r w:rsidR="00631743">
        <w:rPr>
          <w:color w:val="000000"/>
          <w:sz w:val="22"/>
          <w:szCs w:val="22"/>
        </w:rPr>
        <w:t>a fin de</w:t>
      </w:r>
      <w:r>
        <w:rPr>
          <w:color w:val="000000"/>
          <w:sz w:val="22"/>
          <w:szCs w:val="22"/>
        </w:rPr>
        <w:t xml:space="preserve"> </w:t>
      </w:r>
      <w:r w:rsidR="00063F81">
        <w:rPr>
          <w:color w:val="000000"/>
          <w:sz w:val="22"/>
          <w:szCs w:val="22"/>
        </w:rPr>
        <w:t xml:space="preserve">subsanar </w:t>
      </w:r>
      <w:r w:rsidR="00631743">
        <w:rPr>
          <w:color w:val="000000"/>
          <w:sz w:val="22"/>
          <w:szCs w:val="22"/>
        </w:rPr>
        <w:t xml:space="preserve">todas </w:t>
      </w:r>
      <w:r w:rsidR="00063F81">
        <w:rPr>
          <w:color w:val="000000"/>
          <w:sz w:val="22"/>
          <w:szCs w:val="22"/>
        </w:rPr>
        <w:t xml:space="preserve">las inconsistencias técnicas, </w:t>
      </w:r>
      <w:r w:rsidR="008A60A7">
        <w:rPr>
          <w:color w:val="000000"/>
          <w:sz w:val="22"/>
          <w:szCs w:val="22"/>
        </w:rPr>
        <w:t xml:space="preserve">para </w:t>
      </w:r>
      <w:r w:rsidR="00E6516E">
        <w:rPr>
          <w:color w:val="000000"/>
          <w:sz w:val="22"/>
          <w:szCs w:val="22"/>
        </w:rPr>
        <w:t>que de esta manera</w:t>
      </w:r>
      <w:r w:rsidR="008A60A7">
        <w:rPr>
          <w:color w:val="000000"/>
          <w:sz w:val="22"/>
          <w:szCs w:val="22"/>
        </w:rPr>
        <w:t xml:space="preserve"> </w:t>
      </w:r>
      <w:r w:rsidR="00063F81">
        <w:rPr>
          <w:color w:val="000000"/>
          <w:sz w:val="22"/>
          <w:szCs w:val="22"/>
        </w:rPr>
        <w:t>puedan</w:t>
      </w:r>
      <w:r>
        <w:rPr>
          <w:color w:val="000000"/>
          <w:sz w:val="22"/>
          <w:szCs w:val="22"/>
        </w:rPr>
        <w:t xml:space="preserve"> </w:t>
      </w:r>
      <w:r w:rsidR="00063F81">
        <w:rPr>
          <w:color w:val="000000"/>
          <w:sz w:val="22"/>
          <w:szCs w:val="22"/>
        </w:rPr>
        <w:t xml:space="preserve">continuar con el proceso de titularización </w:t>
      </w:r>
      <w:r w:rsidR="00E6516E">
        <w:rPr>
          <w:color w:val="000000"/>
          <w:sz w:val="22"/>
          <w:szCs w:val="22"/>
        </w:rPr>
        <w:t>individual</w:t>
      </w:r>
      <w:r w:rsidR="009313B4">
        <w:rPr>
          <w:color w:val="000000"/>
          <w:sz w:val="22"/>
          <w:szCs w:val="22"/>
        </w:rPr>
        <w:t>,</w:t>
      </w:r>
      <w:r w:rsidR="00063F81">
        <w:rPr>
          <w:color w:val="000000"/>
          <w:sz w:val="22"/>
          <w:szCs w:val="22"/>
        </w:rPr>
        <w:t xml:space="preserve"> mediante </w:t>
      </w:r>
      <w:r w:rsidR="00E6516E">
        <w:rPr>
          <w:color w:val="000000"/>
          <w:sz w:val="22"/>
          <w:szCs w:val="22"/>
        </w:rPr>
        <w:t xml:space="preserve">el proceso post ordenanza con </w:t>
      </w:r>
      <w:r w:rsidR="00063F81">
        <w:rPr>
          <w:color w:val="000000"/>
          <w:sz w:val="22"/>
          <w:szCs w:val="22"/>
        </w:rPr>
        <w:t xml:space="preserve">la </w:t>
      </w:r>
      <w:r>
        <w:rPr>
          <w:color w:val="000000"/>
          <w:sz w:val="22"/>
          <w:szCs w:val="22"/>
        </w:rPr>
        <w:t xml:space="preserve"> adjudicación de los lotes a </w:t>
      </w:r>
      <w:r w:rsidR="00063F81">
        <w:rPr>
          <w:color w:val="000000"/>
          <w:sz w:val="22"/>
          <w:szCs w:val="22"/>
        </w:rPr>
        <w:t xml:space="preserve">favor de </w:t>
      </w:r>
      <w:r>
        <w:rPr>
          <w:color w:val="000000"/>
          <w:sz w:val="22"/>
          <w:szCs w:val="22"/>
        </w:rPr>
        <w:t xml:space="preserve">sus beneficiarios.  </w:t>
      </w:r>
    </w:p>
    <w:p w14:paraId="5C717502" w14:textId="77777777" w:rsidR="008A1C97" w:rsidRDefault="008A1C97">
      <w:pPr>
        <w:pBdr>
          <w:top w:val="nil"/>
          <w:left w:val="nil"/>
          <w:bottom w:val="nil"/>
          <w:right w:val="nil"/>
          <w:between w:val="nil"/>
        </w:pBdr>
        <w:spacing w:line="276" w:lineRule="auto"/>
        <w:jc w:val="both"/>
        <w:rPr>
          <w:color w:val="000000"/>
          <w:sz w:val="22"/>
          <w:szCs w:val="22"/>
        </w:rPr>
      </w:pPr>
    </w:p>
    <w:p w14:paraId="07A2C790" w14:textId="77777777" w:rsidR="008A1C97" w:rsidRDefault="005F1CA7">
      <w:pPr>
        <w:pBdr>
          <w:top w:val="nil"/>
          <w:left w:val="nil"/>
          <w:bottom w:val="nil"/>
          <w:right w:val="nil"/>
          <w:between w:val="nil"/>
        </w:pBdr>
        <w:spacing w:line="276" w:lineRule="auto"/>
        <w:jc w:val="both"/>
        <w:rPr>
          <w:color w:val="000000"/>
          <w:sz w:val="22"/>
          <w:szCs w:val="22"/>
        </w:rPr>
      </w:pPr>
      <w:r>
        <w:rPr>
          <w:color w:val="000000"/>
          <w:sz w:val="22"/>
          <w:szCs w:val="22"/>
        </w:rPr>
        <w:t>En este sentido, se requiere realizar una reforma a la Ordenanza 004 sancionada el 22 de abril de 2019, que reconoce al asentamiento humano de hecho y consolidado de interés social denominado “La Balbina”, a fin de corregir los errores técnicos descritos, y de esta manera garantizar a los beneficiarios el ejercicio de su derecho a la vivienda y el acceso a servicios básicos de calidad.</w:t>
      </w:r>
    </w:p>
    <w:p w14:paraId="0ACEA021" w14:textId="77777777" w:rsidR="008A1C97" w:rsidRDefault="008A1C97">
      <w:pPr>
        <w:pBdr>
          <w:top w:val="nil"/>
          <w:left w:val="nil"/>
          <w:bottom w:val="nil"/>
          <w:right w:val="nil"/>
          <w:between w:val="nil"/>
        </w:pBdr>
        <w:spacing w:line="276" w:lineRule="auto"/>
        <w:jc w:val="both"/>
        <w:rPr>
          <w:color w:val="000000"/>
          <w:sz w:val="22"/>
          <w:szCs w:val="22"/>
        </w:rPr>
      </w:pPr>
    </w:p>
    <w:p w14:paraId="33E1CA09" w14:textId="77777777" w:rsidR="008A1C97" w:rsidRDefault="008A1C97">
      <w:pPr>
        <w:pBdr>
          <w:top w:val="nil"/>
          <w:left w:val="nil"/>
          <w:bottom w:val="nil"/>
          <w:right w:val="nil"/>
          <w:between w:val="nil"/>
        </w:pBdr>
        <w:spacing w:line="276" w:lineRule="auto"/>
        <w:jc w:val="both"/>
        <w:rPr>
          <w:color w:val="000000"/>
          <w:sz w:val="22"/>
          <w:szCs w:val="22"/>
        </w:rPr>
      </w:pPr>
    </w:p>
    <w:p w14:paraId="78109003" w14:textId="77777777" w:rsidR="008A1C97" w:rsidRDefault="005F1CA7">
      <w:pPr>
        <w:pBdr>
          <w:top w:val="nil"/>
          <w:left w:val="nil"/>
          <w:bottom w:val="nil"/>
          <w:right w:val="nil"/>
          <w:between w:val="nil"/>
        </w:pBdr>
        <w:jc w:val="center"/>
        <w:rPr>
          <w:b/>
          <w:color w:val="000000"/>
          <w:sz w:val="22"/>
          <w:szCs w:val="22"/>
        </w:rPr>
      </w:pPr>
      <w:r>
        <w:rPr>
          <w:b/>
          <w:color w:val="000000"/>
          <w:sz w:val="22"/>
          <w:szCs w:val="22"/>
        </w:rPr>
        <w:t>EL CONCEJO METROPOLITANO DE QUITO</w:t>
      </w:r>
    </w:p>
    <w:p w14:paraId="2E71ADA4" w14:textId="77777777" w:rsidR="008A1C97" w:rsidRDefault="008A1C97">
      <w:pPr>
        <w:pBdr>
          <w:top w:val="nil"/>
          <w:left w:val="nil"/>
          <w:bottom w:val="nil"/>
          <w:right w:val="nil"/>
          <w:between w:val="nil"/>
        </w:pBdr>
        <w:jc w:val="center"/>
        <w:rPr>
          <w:b/>
          <w:color w:val="000000"/>
          <w:sz w:val="22"/>
          <w:szCs w:val="22"/>
        </w:rPr>
      </w:pPr>
    </w:p>
    <w:p w14:paraId="5A1F2B71" w14:textId="5D6A4C8C" w:rsidR="008A1C97" w:rsidRDefault="005F1CA7">
      <w:pPr>
        <w:pBdr>
          <w:top w:val="nil"/>
          <w:left w:val="nil"/>
          <w:bottom w:val="nil"/>
          <w:right w:val="nil"/>
          <w:between w:val="nil"/>
        </w:pBdr>
        <w:rPr>
          <w:color w:val="000000"/>
          <w:sz w:val="22"/>
          <w:szCs w:val="22"/>
        </w:rPr>
      </w:pPr>
      <w:r>
        <w:rPr>
          <w:color w:val="000000"/>
          <w:sz w:val="22"/>
          <w:szCs w:val="22"/>
        </w:rPr>
        <w:t>Visto el Informe No. IC-COT-</w:t>
      </w:r>
      <w:r>
        <w:rPr>
          <w:color w:val="000000"/>
          <w:sz w:val="22"/>
          <w:szCs w:val="22"/>
          <w:highlight w:val="white"/>
        </w:rPr>
        <w:t>2022-</w:t>
      </w:r>
      <w:r w:rsidR="00ED5214">
        <w:rPr>
          <w:color w:val="000000"/>
          <w:sz w:val="22"/>
          <w:szCs w:val="22"/>
          <w:highlight w:val="white"/>
        </w:rPr>
        <w:t xml:space="preserve">022 de 02 de septiembre </w:t>
      </w:r>
      <w:bookmarkStart w:id="1" w:name="_GoBack"/>
      <w:bookmarkEnd w:id="1"/>
      <w:r>
        <w:rPr>
          <w:color w:val="000000"/>
          <w:sz w:val="22"/>
          <w:szCs w:val="22"/>
          <w:highlight w:val="white"/>
        </w:rPr>
        <w:t>de 2022,</w:t>
      </w:r>
      <w:r>
        <w:rPr>
          <w:color w:val="000000"/>
          <w:sz w:val="22"/>
          <w:szCs w:val="22"/>
        </w:rPr>
        <w:t xml:space="preserve"> expedido por la Comisión de Ordenamiento Territorial;</w:t>
      </w:r>
    </w:p>
    <w:p w14:paraId="78D27719" w14:textId="77777777" w:rsidR="008A1C97" w:rsidRDefault="008A1C97">
      <w:pPr>
        <w:pBdr>
          <w:top w:val="nil"/>
          <w:left w:val="nil"/>
          <w:bottom w:val="nil"/>
          <w:right w:val="nil"/>
          <w:between w:val="nil"/>
        </w:pBdr>
        <w:jc w:val="both"/>
        <w:rPr>
          <w:color w:val="000000"/>
          <w:sz w:val="22"/>
          <w:szCs w:val="22"/>
        </w:rPr>
      </w:pPr>
    </w:p>
    <w:p w14:paraId="3D2FED3F" w14:textId="77777777" w:rsidR="008A1C97" w:rsidRDefault="005F1CA7">
      <w:pPr>
        <w:pBdr>
          <w:top w:val="nil"/>
          <w:left w:val="nil"/>
          <w:bottom w:val="nil"/>
          <w:right w:val="nil"/>
          <w:between w:val="nil"/>
        </w:pBdr>
        <w:jc w:val="center"/>
        <w:rPr>
          <w:b/>
          <w:color w:val="000000"/>
          <w:sz w:val="22"/>
          <w:szCs w:val="22"/>
        </w:rPr>
      </w:pPr>
      <w:r>
        <w:rPr>
          <w:b/>
          <w:color w:val="000000"/>
          <w:sz w:val="22"/>
          <w:szCs w:val="22"/>
        </w:rPr>
        <w:t>CONSIDERANDO:</w:t>
      </w:r>
    </w:p>
    <w:p w14:paraId="72AD6AC4" w14:textId="77777777" w:rsidR="008A1C97" w:rsidRDefault="008A1C97">
      <w:pPr>
        <w:pBdr>
          <w:top w:val="nil"/>
          <w:left w:val="nil"/>
          <w:bottom w:val="nil"/>
          <w:right w:val="nil"/>
          <w:between w:val="nil"/>
        </w:pBdr>
        <w:jc w:val="both"/>
        <w:rPr>
          <w:b/>
          <w:color w:val="000000"/>
          <w:sz w:val="22"/>
          <w:szCs w:val="22"/>
        </w:rPr>
      </w:pPr>
    </w:p>
    <w:p w14:paraId="01E5DC17" w14:textId="77777777" w:rsidR="008A1C97" w:rsidRDefault="005F1CA7">
      <w:pPr>
        <w:pBdr>
          <w:top w:val="nil"/>
          <w:left w:val="nil"/>
          <w:bottom w:val="nil"/>
          <w:right w:val="nil"/>
          <w:between w:val="nil"/>
        </w:pBdr>
        <w:ind w:left="705" w:hanging="705"/>
        <w:jc w:val="both"/>
        <w:rPr>
          <w:color w:val="000000"/>
          <w:sz w:val="22"/>
          <w:szCs w:val="22"/>
        </w:rPr>
      </w:pPr>
      <w:r>
        <w:rPr>
          <w:b/>
          <w:color w:val="000000"/>
          <w:sz w:val="22"/>
          <w:szCs w:val="22"/>
        </w:rPr>
        <w:t xml:space="preserve">Que, </w:t>
      </w:r>
      <w:r>
        <w:rPr>
          <w:b/>
          <w:color w:val="000000"/>
          <w:sz w:val="22"/>
          <w:szCs w:val="22"/>
        </w:rPr>
        <w:tab/>
      </w:r>
      <w:r>
        <w:rPr>
          <w:color w:val="000000"/>
          <w:sz w:val="22"/>
          <w:szCs w:val="22"/>
        </w:rPr>
        <w:t>el artículo 30 de la Constitución de la República del Ecuador (en adelante “Constitución”) establece que: “</w:t>
      </w:r>
      <w:r>
        <w:rPr>
          <w:i/>
          <w:color w:val="000000"/>
          <w:sz w:val="22"/>
          <w:szCs w:val="22"/>
        </w:rPr>
        <w:t>Las personas tienen derecho a un hábitat seguro y saludable, y a una vivienda adecuada y digna, con independencia de su situación social y económica.</w:t>
      </w:r>
      <w:r>
        <w:rPr>
          <w:color w:val="000000"/>
          <w:sz w:val="22"/>
          <w:szCs w:val="22"/>
        </w:rPr>
        <w:t>”;</w:t>
      </w:r>
    </w:p>
    <w:p w14:paraId="6A390DA2" w14:textId="77777777" w:rsidR="008A1C97" w:rsidRDefault="008A1C97">
      <w:pPr>
        <w:pBdr>
          <w:top w:val="nil"/>
          <w:left w:val="nil"/>
          <w:bottom w:val="nil"/>
          <w:right w:val="nil"/>
          <w:between w:val="nil"/>
        </w:pBdr>
        <w:jc w:val="both"/>
        <w:rPr>
          <w:color w:val="000000"/>
          <w:sz w:val="22"/>
          <w:szCs w:val="22"/>
        </w:rPr>
      </w:pPr>
    </w:p>
    <w:p w14:paraId="29CCF14C" w14:textId="77777777" w:rsidR="008A1C97" w:rsidRDefault="005F1CA7">
      <w:pPr>
        <w:pBdr>
          <w:top w:val="nil"/>
          <w:left w:val="nil"/>
          <w:bottom w:val="nil"/>
          <w:right w:val="nil"/>
          <w:between w:val="nil"/>
        </w:pBdr>
        <w:ind w:left="705" w:hanging="705"/>
        <w:jc w:val="both"/>
        <w:rPr>
          <w:color w:val="000000"/>
          <w:sz w:val="22"/>
          <w:szCs w:val="22"/>
        </w:rPr>
      </w:pPr>
      <w:r>
        <w:rPr>
          <w:b/>
          <w:color w:val="000000"/>
          <w:sz w:val="22"/>
          <w:szCs w:val="22"/>
        </w:rPr>
        <w:t xml:space="preserve">Que, </w:t>
      </w:r>
      <w:r>
        <w:rPr>
          <w:b/>
          <w:color w:val="000000"/>
          <w:sz w:val="22"/>
          <w:szCs w:val="22"/>
        </w:rPr>
        <w:tab/>
      </w:r>
      <w:r>
        <w:rPr>
          <w:color w:val="000000"/>
          <w:sz w:val="22"/>
          <w:szCs w:val="22"/>
        </w:rPr>
        <w:t>el artículo 31 de la Constitución expresa que: “</w:t>
      </w:r>
      <w:r>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Pr>
          <w:color w:val="000000"/>
          <w:sz w:val="22"/>
          <w:szCs w:val="22"/>
        </w:rPr>
        <w:t xml:space="preserve">”; </w:t>
      </w:r>
    </w:p>
    <w:p w14:paraId="3651BB3D" w14:textId="77777777" w:rsidR="008A1C97" w:rsidRDefault="008A1C97">
      <w:pPr>
        <w:pBdr>
          <w:top w:val="nil"/>
          <w:left w:val="nil"/>
          <w:bottom w:val="nil"/>
          <w:right w:val="nil"/>
          <w:between w:val="nil"/>
        </w:pBdr>
        <w:jc w:val="both"/>
        <w:rPr>
          <w:b/>
          <w:color w:val="000000"/>
          <w:sz w:val="22"/>
          <w:szCs w:val="22"/>
        </w:rPr>
      </w:pPr>
    </w:p>
    <w:p w14:paraId="7888E9B3" w14:textId="77777777" w:rsidR="008A1C97" w:rsidRDefault="005F1CA7">
      <w:pPr>
        <w:pBdr>
          <w:top w:val="nil"/>
          <w:left w:val="nil"/>
          <w:bottom w:val="nil"/>
          <w:right w:val="nil"/>
          <w:between w:val="nil"/>
        </w:pBdr>
        <w:ind w:left="705" w:hanging="705"/>
        <w:jc w:val="both"/>
        <w:rPr>
          <w:color w:val="000000"/>
          <w:sz w:val="22"/>
          <w:szCs w:val="22"/>
        </w:rPr>
      </w:pPr>
      <w:r>
        <w:rPr>
          <w:b/>
          <w:color w:val="000000"/>
          <w:sz w:val="22"/>
          <w:szCs w:val="22"/>
        </w:rPr>
        <w:t xml:space="preserve">Que, </w:t>
      </w:r>
      <w:r>
        <w:rPr>
          <w:b/>
          <w:color w:val="000000"/>
          <w:sz w:val="22"/>
          <w:szCs w:val="22"/>
        </w:rPr>
        <w:tab/>
      </w:r>
      <w:r>
        <w:rPr>
          <w:color w:val="000000"/>
          <w:sz w:val="22"/>
          <w:szCs w:val="22"/>
        </w:rPr>
        <w:t>el artículo 240 de la Constitución establece que: “</w:t>
      </w:r>
      <w:r>
        <w:rPr>
          <w:i/>
          <w:color w:val="000000"/>
          <w:sz w:val="22"/>
          <w:szCs w:val="22"/>
        </w:rPr>
        <w:t>Los gobiernos autónomos descentralizados de las regiones, distritos metropolitanos, provincias y cantones tendrán facultades legislativas en el ámbito de sus competencias y jurisdicciones territoriales (…)</w:t>
      </w:r>
      <w:r>
        <w:rPr>
          <w:color w:val="000000"/>
          <w:sz w:val="22"/>
          <w:szCs w:val="22"/>
        </w:rPr>
        <w:t>”;</w:t>
      </w:r>
    </w:p>
    <w:p w14:paraId="377A705D" w14:textId="77777777" w:rsidR="008A1C97" w:rsidRDefault="008A1C97">
      <w:pPr>
        <w:pBdr>
          <w:top w:val="nil"/>
          <w:left w:val="nil"/>
          <w:bottom w:val="nil"/>
          <w:right w:val="nil"/>
          <w:between w:val="nil"/>
        </w:pBdr>
        <w:jc w:val="both"/>
        <w:rPr>
          <w:b/>
          <w:color w:val="000000"/>
          <w:sz w:val="22"/>
          <w:szCs w:val="22"/>
        </w:rPr>
      </w:pPr>
    </w:p>
    <w:p w14:paraId="6F356ED5" w14:textId="77777777" w:rsidR="008A1C97" w:rsidRDefault="005F1CA7">
      <w:pPr>
        <w:pBdr>
          <w:top w:val="nil"/>
          <w:left w:val="nil"/>
          <w:bottom w:val="nil"/>
          <w:right w:val="nil"/>
          <w:between w:val="nil"/>
        </w:pBdr>
        <w:ind w:left="660" w:hanging="660"/>
        <w:jc w:val="both"/>
        <w:rPr>
          <w:i/>
          <w:color w:val="000000"/>
          <w:sz w:val="22"/>
          <w:szCs w:val="22"/>
        </w:rPr>
      </w:pPr>
      <w:r>
        <w:rPr>
          <w:b/>
          <w:color w:val="000000"/>
          <w:sz w:val="22"/>
          <w:szCs w:val="22"/>
        </w:rPr>
        <w:t xml:space="preserve">Que, </w:t>
      </w:r>
      <w:r>
        <w:rPr>
          <w:b/>
          <w:color w:val="000000"/>
          <w:sz w:val="22"/>
          <w:szCs w:val="22"/>
        </w:rPr>
        <w:tab/>
      </w:r>
      <w:r>
        <w:rPr>
          <w:color w:val="000000"/>
          <w:sz w:val="22"/>
          <w:szCs w:val="22"/>
        </w:rPr>
        <w:t>el artículo 266 de la Constitución establece que: “</w:t>
      </w:r>
      <w:r>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FE9D36B" w14:textId="77777777" w:rsidR="008A1C97" w:rsidRDefault="008A1C97">
      <w:pPr>
        <w:pBdr>
          <w:top w:val="nil"/>
          <w:left w:val="nil"/>
          <w:bottom w:val="nil"/>
          <w:right w:val="nil"/>
          <w:between w:val="nil"/>
        </w:pBdr>
        <w:jc w:val="both"/>
        <w:rPr>
          <w:i/>
          <w:color w:val="000000"/>
          <w:sz w:val="22"/>
          <w:szCs w:val="22"/>
        </w:rPr>
      </w:pPr>
    </w:p>
    <w:p w14:paraId="78609B64" w14:textId="77777777" w:rsidR="008A1C97" w:rsidRDefault="005F1CA7">
      <w:pPr>
        <w:pBdr>
          <w:top w:val="nil"/>
          <w:left w:val="nil"/>
          <w:bottom w:val="nil"/>
          <w:right w:val="nil"/>
          <w:between w:val="nil"/>
        </w:pBdr>
        <w:ind w:left="660"/>
        <w:jc w:val="both"/>
        <w:rPr>
          <w:i/>
          <w:color w:val="000000"/>
          <w:sz w:val="22"/>
          <w:szCs w:val="22"/>
        </w:rPr>
      </w:pPr>
      <w:r>
        <w:rPr>
          <w:i/>
          <w:color w:val="000000"/>
          <w:sz w:val="22"/>
          <w:szCs w:val="22"/>
        </w:rPr>
        <w:t>En el ámbito de sus competencias y territorio, y en uso de sus facultades, expedirán ordenanzas distritales.”</w:t>
      </w:r>
    </w:p>
    <w:p w14:paraId="2D363E58" w14:textId="77777777" w:rsidR="008A1C97" w:rsidRDefault="008A1C97">
      <w:pPr>
        <w:pBdr>
          <w:top w:val="nil"/>
          <w:left w:val="nil"/>
          <w:bottom w:val="nil"/>
          <w:right w:val="nil"/>
          <w:between w:val="nil"/>
        </w:pBdr>
        <w:jc w:val="both"/>
        <w:rPr>
          <w:b/>
          <w:color w:val="000000"/>
          <w:sz w:val="22"/>
          <w:szCs w:val="22"/>
        </w:rPr>
      </w:pPr>
    </w:p>
    <w:p w14:paraId="150288EB" w14:textId="77777777" w:rsidR="008A1C97" w:rsidRDefault="005F1CA7">
      <w:pPr>
        <w:pBdr>
          <w:top w:val="nil"/>
          <w:left w:val="nil"/>
          <w:bottom w:val="nil"/>
          <w:right w:val="nil"/>
          <w:between w:val="nil"/>
        </w:pBdr>
        <w:ind w:left="660" w:hanging="660"/>
        <w:jc w:val="both"/>
        <w:rPr>
          <w:i/>
          <w:color w:val="000000"/>
          <w:sz w:val="22"/>
          <w:szCs w:val="22"/>
        </w:rPr>
      </w:pPr>
      <w:r>
        <w:rPr>
          <w:b/>
          <w:color w:val="000000"/>
          <w:sz w:val="22"/>
          <w:szCs w:val="22"/>
        </w:rPr>
        <w:t>Que,</w:t>
      </w:r>
      <w:r>
        <w:rPr>
          <w:color w:val="000000"/>
          <w:sz w:val="22"/>
          <w:szCs w:val="22"/>
        </w:rPr>
        <w:tab/>
        <w:t xml:space="preserve">el literal c) del artículo 84 del Código Orgánico de Organización Territorial, Autonomía y Descentralización (en adelante “COOTAD”), señala las funciones del gobierno del distrito autónomo metropolitano, </w:t>
      </w:r>
      <w:r>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1D4B55C5" w14:textId="77777777" w:rsidR="008A1C97" w:rsidRDefault="008A1C97">
      <w:pPr>
        <w:pBdr>
          <w:top w:val="nil"/>
          <w:left w:val="nil"/>
          <w:bottom w:val="nil"/>
          <w:right w:val="nil"/>
          <w:between w:val="nil"/>
        </w:pBdr>
        <w:ind w:left="660" w:hanging="660"/>
        <w:jc w:val="both"/>
        <w:rPr>
          <w:i/>
          <w:color w:val="000000"/>
          <w:sz w:val="22"/>
          <w:szCs w:val="22"/>
        </w:rPr>
      </w:pPr>
    </w:p>
    <w:p w14:paraId="6E263B75" w14:textId="77777777" w:rsidR="008A1C97" w:rsidRDefault="005F1CA7">
      <w:pPr>
        <w:pBdr>
          <w:top w:val="nil"/>
          <w:left w:val="nil"/>
          <w:bottom w:val="nil"/>
          <w:right w:val="nil"/>
          <w:between w:val="nil"/>
        </w:pBdr>
        <w:ind w:left="660" w:hanging="660"/>
        <w:jc w:val="both"/>
        <w:rPr>
          <w:color w:val="000000"/>
          <w:sz w:val="22"/>
          <w:szCs w:val="22"/>
        </w:rPr>
      </w:pPr>
      <w:r>
        <w:rPr>
          <w:b/>
          <w:color w:val="000000"/>
          <w:sz w:val="22"/>
          <w:szCs w:val="22"/>
        </w:rPr>
        <w:t>Que,</w:t>
      </w:r>
      <w:r>
        <w:rPr>
          <w:color w:val="000000"/>
          <w:sz w:val="22"/>
          <w:szCs w:val="22"/>
        </w:rPr>
        <w:tab/>
        <w:t xml:space="preserve">el literal a), del artículo 87 del COOTAD, establece que las funciones del Concejo Metropolitano, entre otras, son: </w:t>
      </w:r>
      <w:r>
        <w:rPr>
          <w:i/>
          <w:color w:val="000000"/>
          <w:sz w:val="22"/>
          <w:szCs w:val="22"/>
        </w:rPr>
        <w:t>“a) Ejercer la facultad normativa en las materias de competencia del gobierno autónomo descentralizado metropolitano, mediante la expedición de ordenanzas metropolitanas, acuerdos y resoluciones”;</w:t>
      </w:r>
    </w:p>
    <w:p w14:paraId="4BC3EFFD" w14:textId="77777777" w:rsidR="008A1C97" w:rsidRDefault="008A1C97">
      <w:pPr>
        <w:pBdr>
          <w:top w:val="nil"/>
          <w:left w:val="nil"/>
          <w:bottom w:val="nil"/>
          <w:right w:val="nil"/>
          <w:between w:val="nil"/>
        </w:pBdr>
        <w:jc w:val="both"/>
        <w:rPr>
          <w:b/>
          <w:color w:val="000000"/>
          <w:sz w:val="22"/>
          <w:szCs w:val="22"/>
        </w:rPr>
      </w:pPr>
    </w:p>
    <w:p w14:paraId="36DA99BF" w14:textId="77777777" w:rsidR="008A1C97" w:rsidRDefault="005F1CA7">
      <w:pPr>
        <w:pBdr>
          <w:top w:val="nil"/>
          <w:left w:val="nil"/>
          <w:bottom w:val="nil"/>
          <w:right w:val="nil"/>
          <w:between w:val="nil"/>
        </w:pBdr>
        <w:ind w:left="660" w:hanging="660"/>
        <w:jc w:val="both"/>
        <w:rPr>
          <w:color w:val="000000"/>
          <w:sz w:val="22"/>
          <w:szCs w:val="22"/>
        </w:rPr>
      </w:pPr>
      <w:r>
        <w:rPr>
          <w:b/>
          <w:color w:val="000000"/>
          <w:sz w:val="22"/>
          <w:szCs w:val="22"/>
        </w:rPr>
        <w:t>Que,</w:t>
      </w:r>
      <w:r>
        <w:rPr>
          <w:b/>
          <w:color w:val="000000"/>
          <w:sz w:val="22"/>
          <w:szCs w:val="22"/>
        </w:rPr>
        <w:tab/>
      </w:r>
      <w:r>
        <w:rPr>
          <w:color w:val="000000"/>
          <w:sz w:val="22"/>
          <w:szCs w:val="22"/>
        </w:rPr>
        <w:t>el artículo 322 del COOTAD establece el procedimiento para la aprobación de las ordenanzas municipales;</w:t>
      </w:r>
    </w:p>
    <w:p w14:paraId="7B49103F" w14:textId="77777777" w:rsidR="008A1C97" w:rsidRDefault="008A1C97">
      <w:pPr>
        <w:pBdr>
          <w:top w:val="nil"/>
          <w:left w:val="nil"/>
          <w:bottom w:val="nil"/>
          <w:right w:val="nil"/>
          <w:between w:val="nil"/>
        </w:pBdr>
        <w:ind w:left="660" w:hanging="660"/>
        <w:jc w:val="both"/>
        <w:rPr>
          <w:color w:val="000000"/>
          <w:sz w:val="22"/>
          <w:szCs w:val="22"/>
        </w:rPr>
      </w:pPr>
    </w:p>
    <w:p w14:paraId="3D013540" w14:textId="77777777" w:rsidR="008A1C97" w:rsidRDefault="005F1CA7">
      <w:pPr>
        <w:pBdr>
          <w:top w:val="nil"/>
          <w:left w:val="nil"/>
          <w:bottom w:val="nil"/>
          <w:right w:val="nil"/>
          <w:between w:val="nil"/>
        </w:pBdr>
        <w:ind w:left="660" w:hanging="660"/>
        <w:jc w:val="both"/>
        <w:rPr>
          <w:b/>
          <w:color w:val="000000"/>
          <w:sz w:val="22"/>
          <w:szCs w:val="22"/>
        </w:rPr>
      </w:pPr>
      <w:r>
        <w:rPr>
          <w:b/>
          <w:color w:val="000000"/>
          <w:sz w:val="22"/>
          <w:szCs w:val="22"/>
        </w:rPr>
        <w:t xml:space="preserve">Que, </w:t>
      </w:r>
      <w:r>
        <w:rPr>
          <w:b/>
          <w:color w:val="000000"/>
          <w:sz w:val="22"/>
          <w:szCs w:val="22"/>
        </w:rPr>
        <w:tab/>
      </w:r>
      <w:r>
        <w:rPr>
          <w:color w:val="000000"/>
          <w:sz w:val="22"/>
          <w:szCs w:val="22"/>
        </w:rPr>
        <w:t>el artículo 486 del COOTAD reformado establece que: “</w:t>
      </w:r>
      <w:r>
        <w:rPr>
          <w:i/>
          <w:color w:val="000000"/>
          <w:sz w:val="22"/>
          <w:szCs w:val="22"/>
        </w:rPr>
        <w:t xml:space="preserve">Cuando por resolución del órgano de legislación y fiscalización del Gobierno Autónomo Descentralizado municipal o </w:t>
      </w:r>
      <w:r>
        <w:rPr>
          <w:i/>
          <w:color w:val="000000"/>
          <w:sz w:val="22"/>
          <w:szCs w:val="22"/>
        </w:rPr>
        <w:lastRenderedPageBreak/>
        <w:t>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Pr>
          <w:color w:val="000000"/>
          <w:sz w:val="22"/>
          <w:szCs w:val="22"/>
        </w:rPr>
        <w:t>”;</w:t>
      </w:r>
    </w:p>
    <w:p w14:paraId="7264B588" w14:textId="77777777" w:rsidR="008A1C97" w:rsidRDefault="008A1C97">
      <w:pPr>
        <w:pBdr>
          <w:top w:val="nil"/>
          <w:left w:val="nil"/>
          <w:bottom w:val="nil"/>
          <w:right w:val="nil"/>
          <w:between w:val="nil"/>
        </w:pBdr>
        <w:ind w:left="660" w:hanging="660"/>
        <w:jc w:val="both"/>
        <w:rPr>
          <w:i/>
          <w:color w:val="000000"/>
          <w:sz w:val="22"/>
          <w:szCs w:val="22"/>
        </w:rPr>
      </w:pPr>
    </w:p>
    <w:p w14:paraId="1C952815" w14:textId="77777777" w:rsidR="008A1C97" w:rsidRDefault="005F1CA7">
      <w:pPr>
        <w:pBdr>
          <w:top w:val="nil"/>
          <w:left w:val="nil"/>
          <w:bottom w:val="nil"/>
          <w:right w:val="nil"/>
          <w:between w:val="nil"/>
        </w:pBdr>
        <w:ind w:left="660" w:hanging="660"/>
        <w:jc w:val="both"/>
        <w:rPr>
          <w:color w:val="000000"/>
          <w:sz w:val="22"/>
          <w:szCs w:val="22"/>
        </w:rPr>
      </w:pPr>
      <w:r>
        <w:rPr>
          <w:b/>
          <w:color w:val="000000"/>
          <w:sz w:val="22"/>
          <w:szCs w:val="22"/>
        </w:rPr>
        <w:t>Que,</w:t>
      </w:r>
      <w:r>
        <w:rPr>
          <w:rFonts w:ascii="Calibri" w:eastAsia="Calibri" w:hAnsi="Calibri" w:cs="Calibri"/>
          <w:b/>
          <w:color w:val="000000"/>
          <w:sz w:val="22"/>
          <w:szCs w:val="22"/>
        </w:rPr>
        <w:tab/>
      </w:r>
      <w:r>
        <w:rPr>
          <w:color w:val="000000"/>
          <w:sz w:val="22"/>
          <w:szCs w:val="22"/>
        </w:rPr>
        <w:t>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14:paraId="212F62E8" w14:textId="77777777" w:rsidR="008A1C97" w:rsidRDefault="008A1C97">
      <w:pPr>
        <w:pBdr>
          <w:top w:val="nil"/>
          <w:left w:val="nil"/>
          <w:bottom w:val="nil"/>
          <w:right w:val="nil"/>
          <w:between w:val="nil"/>
        </w:pBdr>
        <w:ind w:left="660" w:hanging="660"/>
        <w:jc w:val="both"/>
        <w:rPr>
          <w:sz w:val="22"/>
          <w:szCs w:val="22"/>
        </w:rPr>
      </w:pPr>
    </w:p>
    <w:p w14:paraId="31F21761" w14:textId="77777777" w:rsidR="008A1C97" w:rsidRDefault="005F1CA7">
      <w:pPr>
        <w:spacing w:after="240" w:line="276" w:lineRule="auto"/>
        <w:ind w:left="708" w:hanging="690"/>
        <w:jc w:val="both"/>
        <w:rPr>
          <w:i/>
          <w:sz w:val="22"/>
          <w:szCs w:val="22"/>
        </w:rPr>
      </w:pPr>
      <w:r>
        <w:rPr>
          <w:b/>
          <w:sz w:val="22"/>
          <w:szCs w:val="22"/>
        </w:rPr>
        <w:t>Que,</w:t>
      </w:r>
      <w:r>
        <w:rPr>
          <w:b/>
          <w:sz w:val="22"/>
          <w:szCs w:val="22"/>
        </w:rPr>
        <w:tab/>
      </w:r>
      <w:r>
        <w:rPr>
          <w:sz w:val="22"/>
          <w:szCs w:val="22"/>
        </w:rPr>
        <w:t xml:space="preserve">la Disposición Transitoria Décima Cuarta del COOTAD, señala: </w:t>
      </w:r>
      <w:r>
        <w:rPr>
          <w:i/>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2F77A773" w14:textId="77777777" w:rsidR="008A1C97" w:rsidRDefault="005F1CA7">
      <w:pPr>
        <w:spacing w:after="240" w:line="276" w:lineRule="auto"/>
        <w:ind w:left="708" w:hanging="690"/>
        <w:jc w:val="both"/>
        <w:rPr>
          <w:sz w:val="22"/>
          <w:szCs w:val="22"/>
        </w:rPr>
      </w:pPr>
      <w:r>
        <w:rPr>
          <w:b/>
          <w:sz w:val="22"/>
          <w:szCs w:val="22"/>
        </w:rPr>
        <w:t>Que,</w:t>
      </w:r>
      <w:r>
        <w:rPr>
          <w:b/>
          <w:sz w:val="22"/>
          <w:szCs w:val="22"/>
        </w:rPr>
        <w:tab/>
      </w:r>
      <w:r>
        <w:rPr>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C5FBDFF" w14:textId="77777777" w:rsidR="008A1C97" w:rsidRDefault="005F1CA7">
      <w:pPr>
        <w:pBdr>
          <w:top w:val="nil"/>
          <w:left w:val="nil"/>
          <w:bottom w:val="nil"/>
          <w:right w:val="nil"/>
          <w:between w:val="nil"/>
        </w:pBdr>
        <w:ind w:left="660" w:hanging="660"/>
        <w:jc w:val="both"/>
        <w:rPr>
          <w:color w:val="000000"/>
          <w:sz w:val="22"/>
          <w:szCs w:val="22"/>
        </w:rPr>
      </w:pPr>
      <w:r>
        <w:rPr>
          <w:b/>
          <w:color w:val="000000"/>
          <w:sz w:val="22"/>
          <w:szCs w:val="22"/>
        </w:rPr>
        <w:t>Que,</w:t>
      </w:r>
      <w:r>
        <w:rPr>
          <w:b/>
          <w:color w:val="000000"/>
          <w:sz w:val="22"/>
          <w:szCs w:val="22"/>
        </w:rPr>
        <w:tab/>
      </w:r>
      <w:r>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2008A399" w14:textId="77777777" w:rsidR="008A1C97" w:rsidRDefault="008A1C97">
      <w:pPr>
        <w:pBdr>
          <w:top w:val="nil"/>
          <w:left w:val="nil"/>
          <w:bottom w:val="nil"/>
          <w:right w:val="nil"/>
          <w:between w:val="nil"/>
        </w:pBdr>
        <w:jc w:val="both"/>
        <w:rPr>
          <w:b/>
          <w:color w:val="000000"/>
          <w:sz w:val="22"/>
          <w:szCs w:val="22"/>
        </w:rPr>
      </w:pPr>
    </w:p>
    <w:p w14:paraId="0678F4C2" w14:textId="77777777" w:rsidR="008A1C97" w:rsidRDefault="005F1CA7">
      <w:pPr>
        <w:pBdr>
          <w:top w:val="nil"/>
          <w:left w:val="nil"/>
          <w:bottom w:val="nil"/>
          <w:right w:val="nil"/>
          <w:between w:val="nil"/>
        </w:pBdr>
        <w:ind w:left="660" w:hanging="660"/>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69527796" w14:textId="77777777" w:rsidR="008A1C97" w:rsidRDefault="008A1C97">
      <w:pPr>
        <w:pBdr>
          <w:top w:val="nil"/>
          <w:left w:val="nil"/>
          <w:bottom w:val="nil"/>
          <w:right w:val="nil"/>
          <w:between w:val="nil"/>
        </w:pBdr>
        <w:jc w:val="both"/>
        <w:rPr>
          <w:b/>
          <w:color w:val="000000"/>
          <w:sz w:val="22"/>
          <w:szCs w:val="22"/>
        </w:rPr>
      </w:pPr>
    </w:p>
    <w:p w14:paraId="1BC2AFC7" w14:textId="77777777" w:rsidR="008A1C97" w:rsidRDefault="005F1CA7">
      <w:pPr>
        <w:spacing w:after="240" w:line="276" w:lineRule="auto"/>
        <w:ind w:left="708" w:hanging="690"/>
        <w:jc w:val="both"/>
        <w:rPr>
          <w:color w:val="000000"/>
          <w:sz w:val="22"/>
          <w:szCs w:val="22"/>
        </w:rPr>
      </w:pPr>
      <w:r>
        <w:rPr>
          <w:b/>
          <w:sz w:val="22"/>
          <w:szCs w:val="22"/>
        </w:rPr>
        <w:t>Que,</w:t>
      </w:r>
      <w:r>
        <w:rPr>
          <w:b/>
          <w:sz w:val="22"/>
          <w:szCs w:val="22"/>
        </w:rPr>
        <w:tab/>
      </w:r>
      <w:r>
        <w:rPr>
          <w:sz w:val="22"/>
          <w:szCs w:val="22"/>
        </w:rPr>
        <w:t>el título II del Código Municipal para el Distrito Metropolitano de Quito,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6DE298E" w14:textId="77777777" w:rsidR="008A1C97" w:rsidRDefault="005F1CA7">
      <w:pPr>
        <w:spacing w:after="240" w:line="276" w:lineRule="auto"/>
        <w:ind w:left="708" w:hanging="690"/>
        <w:jc w:val="both"/>
        <w:rPr>
          <w:color w:val="000000"/>
          <w:sz w:val="22"/>
          <w:szCs w:val="22"/>
        </w:rPr>
      </w:pPr>
      <w:proofErr w:type="gramStart"/>
      <w:r>
        <w:rPr>
          <w:b/>
          <w:sz w:val="22"/>
          <w:szCs w:val="22"/>
        </w:rPr>
        <w:t xml:space="preserve">Que,  </w:t>
      </w:r>
      <w:r>
        <w:rPr>
          <w:sz w:val="22"/>
          <w:szCs w:val="22"/>
        </w:rPr>
        <w:t>el</w:t>
      </w:r>
      <w:proofErr w:type="gramEnd"/>
      <w:r>
        <w:rPr>
          <w:sz w:val="22"/>
          <w:szCs w:val="22"/>
        </w:rPr>
        <w:t xml:space="preserve"> artículo 3728 del Código Municipal para el Distrito Metropolitano de Quito establece: </w:t>
      </w:r>
      <w:r w:rsidRPr="00A116A8">
        <w:rPr>
          <w:sz w:val="22"/>
          <w:szCs w:val="22"/>
        </w:rPr>
        <w:t>“</w:t>
      </w:r>
      <w:r w:rsidRPr="00E6516E">
        <w:rPr>
          <w:b/>
          <w:sz w:val="22"/>
          <w:szCs w:val="22"/>
        </w:rPr>
        <w:t>Ordenamiento territorial.-</w:t>
      </w:r>
      <w:r>
        <w:rPr>
          <w:i/>
          <w:sz w:val="22"/>
          <w:szCs w:val="22"/>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3ECF244" w14:textId="77777777" w:rsidR="008A1C97" w:rsidRDefault="005F1CA7">
      <w:pPr>
        <w:pBdr>
          <w:top w:val="nil"/>
          <w:left w:val="nil"/>
          <w:bottom w:val="nil"/>
          <w:right w:val="nil"/>
          <w:between w:val="nil"/>
        </w:pBdr>
        <w:ind w:left="705" w:hanging="705"/>
        <w:jc w:val="both"/>
        <w:rPr>
          <w:b/>
          <w:color w:val="000000"/>
          <w:sz w:val="22"/>
          <w:szCs w:val="22"/>
        </w:rPr>
      </w:pPr>
      <w:r>
        <w:rPr>
          <w:b/>
          <w:color w:val="000000"/>
          <w:sz w:val="22"/>
          <w:szCs w:val="22"/>
        </w:rPr>
        <w:lastRenderedPageBreak/>
        <w:t>Que,</w:t>
      </w:r>
      <w:r>
        <w:rPr>
          <w:b/>
          <w:color w:val="000000"/>
          <w:sz w:val="22"/>
          <w:szCs w:val="22"/>
        </w:rPr>
        <w:tab/>
      </w:r>
      <w:r>
        <w:rPr>
          <w:color w:val="000000"/>
          <w:sz w:val="22"/>
          <w:szCs w:val="22"/>
        </w:rPr>
        <w:t>mediante Ordenanza 004 sancionada el 22 de abril de 2019, el Concejo Metropolitano de Quito, aprobó el asentamiento humano de hecho y consolidado de interés social denominado "La Balbina", a favor de sus copropietarios</w:t>
      </w:r>
      <w:r>
        <w:rPr>
          <w:i/>
          <w:color w:val="000000"/>
          <w:sz w:val="22"/>
          <w:szCs w:val="22"/>
        </w:rPr>
        <w:t>;</w:t>
      </w:r>
      <w:r>
        <w:rPr>
          <w:b/>
          <w:color w:val="000000"/>
          <w:sz w:val="22"/>
          <w:szCs w:val="22"/>
        </w:rPr>
        <w:t xml:space="preserve"> </w:t>
      </w:r>
    </w:p>
    <w:p w14:paraId="14171810" w14:textId="77777777" w:rsidR="008A1C97" w:rsidRDefault="008A1C97">
      <w:pPr>
        <w:pBdr>
          <w:top w:val="nil"/>
          <w:left w:val="nil"/>
          <w:bottom w:val="nil"/>
          <w:right w:val="nil"/>
          <w:between w:val="nil"/>
        </w:pBdr>
        <w:ind w:left="705" w:hanging="705"/>
        <w:jc w:val="both"/>
        <w:rPr>
          <w:b/>
          <w:color w:val="000000"/>
          <w:sz w:val="22"/>
          <w:szCs w:val="22"/>
        </w:rPr>
      </w:pPr>
    </w:p>
    <w:p w14:paraId="5502CCDE" w14:textId="283B58C5" w:rsidR="008A1C97" w:rsidRDefault="005F1CA7">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 xml:space="preserve">para la aprobación del asentamiento humano de hecho y consolidado de interés social denominado "La Balbina", contó con los siguientes informes: INFORME </w:t>
      </w:r>
      <w:r>
        <w:rPr>
          <w:sz w:val="22"/>
          <w:szCs w:val="22"/>
        </w:rPr>
        <w:t>TÉCNICO</w:t>
      </w:r>
      <w:r>
        <w:rPr>
          <w:color w:val="000000"/>
          <w:sz w:val="22"/>
          <w:szCs w:val="22"/>
        </w:rPr>
        <w:t xml:space="preserve"> DE TRAZADO VIAL, Informe técnico de trazado y replanteo vial, Oficio N° 703-CT-DGT-AMZCH </w:t>
      </w:r>
      <w:r w:rsidR="00472686">
        <w:rPr>
          <w:color w:val="000000"/>
          <w:sz w:val="22"/>
          <w:szCs w:val="22"/>
        </w:rPr>
        <w:t>de</w:t>
      </w:r>
      <w:r>
        <w:rPr>
          <w:color w:val="000000"/>
          <w:sz w:val="22"/>
          <w:szCs w:val="22"/>
        </w:rPr>
        <w:t xml:space="preserve"> 05 de julio del 2017, emitido por la Administración Zonal Los Chillos; INFORME DE REGULARIZACIÓN DE EXCEDENTES O DIFERENCIAS DE SUPERFICIES, Oficio N° DMC-UFAC-13224, </w:t>
      </w:r>
      <w:r w:rsidR="00472686">
        <w:rPr>
          <w:color w:val="000000"/>
          <w:sz w:val="22"/>
          <w:szCs w:val="22"/>
        </w:rPr>
        <w:t>de</w:t>
      </w:r>
      <w:r>
        <w:rPr>
          <w:color w:val="000000"/>
          <w:sz w:val="22"/>
          <w:szCs w:val="22"/>
        </w:rPr>
        <w:t xml:space="preserve"> 04 de diciembre del 2017, que contiene Cédula Catastral en </w:t>
      </w:r>
      <w:proofErr w:type="spellStart"/>
      <w:r>
        <w:rPr>
          <w:color w:val="000000"/>
          <w:sz w:val="22"/>
          <w:szCs w:val="22"/>
        </w:rPr>
        <w:t>unipropiedad</w:t>
      </w:r>
      <w:proofErr w:type="spellEnd"/>
      <w:r>
        <w:rPr>
          <w:color w:val="000000"/>
          <w:sz w:val="22"/>
          <w:szCs w:val="22"/>
        </w:rPr>
        <w:t xml:space="preserve"> Documento No. 1978, 1979 y 1980 del 29 de noviembre del 2017, emitido por la Dirección Metropolitana de Catastro; INFORME TÉCNICO DE EVALUACIÓN DE RIESGOS, Oficio N° SGSG-DMGR-AT-2017-1339, de 20 de diciembre de 2017 e Informe técnico No.296-AT-DMGR-2017, fecha 20 de diciembre del 2017, emitido por la Dirección Metropolitana de Gestión de Riesgos de la Secretaría General de Seguridad; INFORME DE NOMENCLAT</w:t>
      </w:r>
      <w:r w:rsidR="00472686">
        <w:rPr>
          <w:color w:val="000000"/>
          <w:sz w:val="22"/>
          <w:szCs w:val="22"/>
        </w:rPr>
        <w:t xml:space="preserve">URA VIAL, Oficio N° 937-GP, de </w:t>
      </w:r>
      <w:r>
        <w:rPr>
          <w:color w:val="000000"/>
          <w:sz w:val="22"/>
          <w:szCs w:val="22"/>
        </w:rPr>
        <w:t>23 de noviembre del 2017, emitido por la Empresa Pública Metropolitana de Movilidad y Obras Públicas.</w:t>
      </w:r>
    </w:p>
    <w:p w14:paraId="677A3D2F" w14:textId="77777777" w:rsidR="008A1C97" w:rsidRDefault="008A1C97">
      <w:pPr>
        <w:pBdr>
          <w:top w:val="nil"/>
          <w:left w:val="nil"/>
          <w:bottom w:val="nil"/>
          <w:right w:val="nil"/>
          <w:between w:val="nil"/>
        </w:pBdr>
        <w:ind w:left="705" w:hanging="705"/>
        <w:jc w:val="both"/>
        <w:rPr>
          <w:color w:val="000000"/>
          <w:sz w:val="22"/>
          <w:szCs w:val="22"/>
        </w:rPr>
      </w:pPr>
    </w:p>
    <w:p w14:paraId="790BB6F4" w14:textId="05560B9F" w:rsidR="006D2E97" w:rsidRDefault="005F1CA7" w:rsidP="006D2E97">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Pr>
          <w:color w:val="000000"/>
          <w:sz w:val="22"/>
          <w:szCs w:val="22"/>
        </w:rPr>
        <w:t>para la aprobación de la reforma de ordenanza del asentamiento humano de hecho y consolidado de interés social denominado "la Balbina", se ha procedido actualizar los siguientes informes</w:t>
      </w:r>
      <w:r w:rsidR="009A385E">
        <w:rPr>
          <w:color w:val="000000"/>
          <w:sz w:val="22"/>
          <w:szCs w:val="22"/>
        </w:rPr>
        <w:t>:</w:t>
      </w:r>
      <w:r>
        <w:rPr>
          <w:color w:val="000000"/>
          <w:sz w:val="22"/>
          <w:szCs w:val="22"/>
        </w:rPr>
        <w:t xml:space="preserve"> INFORME DE REGULACIÓN METROPOLITANA, Oficio N° GADDMQ-AZVCH-2022-0745-O de fecha 8 de marzo de 2022 e Informes de Regulación Metropolitana N° 762079, 762080, 762081 de 02 de marzo de 2022, emitidos por la Administración Zonal Los Chillos; INFORME TÉCNICO UERB, Informe Técnico N° 01-UERB-OC-2022 de 14 </w:t>
      </w:r>
      <w:r w:rsidR="009A385E">
        <w:rPr>
          <w:color w:val="000000"/>
          <w:sz w:val="22"/>
          <w:szCs w:val="22"/>
        </w:rPr>
        <w:t>de abril 2022, que contiene el I</w:t>
      </w:r>
      <w:r>
        <w:rPr>
          <w:color w:val="000000"/>
          <w:sz w:val="22"/>
          <w:szCs w:val="22"/>
        </w:rPr>
        <w:t xml:space="preserve">nforme de </w:t>
      </w:r>
      <w:r w:rsidR="009A385E">
        <w:rPr>
          <w:color w:val="000000"/>
          <w:sz w:val="22"/>
          <w:szCs w:val="22"/>
        </w:rPr>
        <w:t>Cabidas y Linderos de Lote por L</w:t>
      </w:r>
      <w:r>
        <w:rPr>
          <w:color w:val="000000"/>
          <w:sz w:val="22"/>
          <w:szCs w:val="22"/>
        </w:rPr>
        <w:t>ote.</w:t>
      </w:r>
    </w:p>
    <w:p w14:paraId="51088590" w14:textId="77777777" w:rsidR="006D2E97" w:rsidRPr="006D2E97" w:rsidRDefault="006D2E97" w:rsidP="006D2E97">
      <w:pPr>
        <w:pBdr>
          <w:top w:val="nil"/>
          <w:left w:val="nil"/>
          <w:bottom w:val="nil"/>
          <w:right w:val="nil"/>
          <w:between w:val="nil"/>
        </w:pBdr>
        <w:ind w:left="705" w:hanging="705"/>
        <w:jc w:val="both"/>
        <w:rPr>
          <w:color w:val="000000"/>
          <w:sz w:val="22"/>
          <w:szCs w:val="22"/>
        </w:rPr>
      </w:pPr>
    </w:p>
    <w:p w14:paraId="5176A181" w14:textId="77777777" w:rsidR="006D2E97" w:rsidRDefault="006D2E97" w:rsidP="006D2E97">
      <w:pPr>
        <w:pBdr>
          <w:top w:val="nil"/>
          <w:left w:val="nil"/>
          <w:bottom w:val="nil"/>
          <w:right w:val="nil"/>
          <w:between w:val="nil"/>
        </w:pBdr>
        <w:ind w:left="705" w:hanging="705"/>
        <w:jc w:val="both"/>
        <w:rPr>
          <w:sz w:val="22"/>
          <w:szCs w:val="22"/>
        </w:rPr>
      </w:pPr>
      <w:r>
        <w:rPr>
          <w:b/>
          <w:sz w:val="22"/>
          <w:szCs w:val="22"/>
        </w:rPr>
        <w:t>Que,</w:t>
      </w:r>
      <w:r>
        <w:rPr>
          <w:sz w:val="22"/>
          <w:szCs w:val="22"/>
        </w:rPr>
        <w:tab/>
        <w:t>mediante informe UERB-OC-SOLT-2022-001, de 14 de abril de 2022, suscrito por el Coordinador de la Unidad Especial “Regula tu Barrio”, Oficina Central, se justifica la tenencia legal de la propiedad y en su parte pertinente sugiere que: “De conformidad a lo establecido en el artículo 3681, manifiesta: “Declaratoria de Interés Social de los Asentamientos Humanos de Hecho y Consolidados”, el asentamiento humano de hecho y consolidado denominado La Balbina y del análisis socio organizativo se sugiere se lo considere de INTERÉS SOCIAL.”</w:t>
      </w:r>
    </w:p>
    <w:p w14:paraId="4F1EBD3C" w14:textId="77777777" w:rsidR="006D2E97" w:rsidRDefault="006D2E97" w:rsidP="006D2E97">
      <w:pPr>
        <w:pBdr>
          <w:top w:val="nil"/>
          <w:left w:val="nil"/>
          <w:bottom w:val="nil"/>
          <w:right w:val="nil"/>
          <w:between w:val="nil"/>
        </w:pBdr>
        <w:ind w:left="705" w:hanging="705"/>
        <w:jc w:val="both"/>
        <w:rPr>
          <w:sz w:val="22"/>
          <w:szCs w:val="22"/>
        </w:rPr>
      </w:pPr>
    </w:p>
    <w:p w14:paraId="694E8BCC" w14:textId="77777777" w:rsidR="006D2E97" w:rsidRDefault="006D2E97" w:rsidP="006D2E97">
      <w:pPr>
        <w:pBdr>
          <w:top w:val="nil"/>
          <w:left w:val="nil"/>
          <w:bottom w:val="nil"/>
          <w:right w:val="nil"/>
          <w:between w:val="nil"/>
        </w:pBdr>
        <w:ind w:left="705" w:hanging="705"/>
        <w:jc w:val="both"/>
        <w:rPr>
          <w:color w:val="000000"/>
          <w:sz w:val="22"/>
          <w:szCs w:val="22"/>
        </w:rPr>
      </w:pPr>
      <w:r>
        <w:rPr>
          <w:b/>
          <w:color w:val="000000"/>
          <w:sz w:val="22"/>
          <w:szCs w:val="22"/>
        </w:rPr>
        <w:t>Que,</w:t>
      </w:r>
      <w:r>
        <w:rPr>
          <w:b/>
          <w:color w:val="000000"/>
          <w:sz w:val="22"/>
          <w:szCs w:val="22"/>
        </w:rPr>
        <w:tab/>
      </w:r>
      <w:r w:rsidRPr="006B37D6">
        <w:rPr>
          <w:color w:val="000000"/>
          <w:sz w:val="22"/>
          <w:szCs w:val="22"/>
        </w:rPr>
        <w:t xml:space="preserve">en la Mesa Institucional de </w:t>
      </w:r>
      <w:r>
        <w:rPr>
          <w:color w:val="000000"/>
          <w:sz w:val="22"/>
          <w:szCs w:val="22"/>
        </w:rPr>
        <w:t xml:space="preserve">25 de abril del 2022, </w:t>
      </w:r>
      <w:r w:rsidRPr="006B37D6">
        <w:rPr>
          <w:color w:val="000000"/>
          <w:sz w:val="22"/>
          <w:szCs w:val="22"/>
        </w:rPr>
        <w:t xml:space="preserve">se aprobó el Informe Socio Organizativo Legal y Técnico </w:t>
      </w:r>
      <w:proofErr w:type="gramStart"/>
      <w:r>
        <w:rPr>
          <w:color w:val="000000"/>
          <w:sz w:val="22"/>
          <w:szCs w:val="22"/>
        </w:rPr>
        <w:t>Nº  UERB</w:t>
      </w:r>
      <w:proofErr w:type="gramEnd"/>
      <w:r>
        <w:rPr>
          <w:color w:val="000000"/>
          <w:sz w:val="22"/>
          <w:szCs w:val="22"/>
        </w:rPr>
        <w:t>-OC-SOLT-2022-001, de 14 de abril de 2022</w:t>
      </w:r>
      <w:r w:rsidRPr="006B37D6">
        <w:rPr>
          <w:color w:val="000000"/>
          <w:sz w:val="22"/>
          <w:szCs w:val="22"/>
        </w:rPr>
        <w:t xml:space="preserve">, habilitante de la Ordenanza de Reconocimiento del asentamiento humano de hecho y consolidado de interés social, denominado: </w:t>
      </w:r>
      <w:r>
        <w:rPr>
          <w:color w:val="000000"/>
          <w:sz w:val="22"/>
          <w:szCs w:val="22"/>
        </w:rPr>
        <w:t>“La Balbina”</w:t>
      </w:r>
      <w:r w:rsidRPr="006B37D6">
        <w:rPr>
          <w:color w:val="000000"/>
          <w:sz w:val="22"/>
          <w:szCs w:val="22"/>
        </w:rPr>
        <w:t>, a favor de sus copropietarios.</w:t>
      </w:r>
    </w:p>
    <w:p w14:paraId="64245429" w14:textId="77777777" w:rsidR="008A1C97" w:rsidRDefault="008A1C97">
      <w:pPr>
        <w:pBdr>
          <w:top w:val="nil"/>
          <w:left w:val="nil"/>
          <w:bottom w:val="nil"/>
          <w:right w:val="nil"/>
          <w:between w:val="nil"/>
        </w:pBdr>
        <w:jc w:val="both"/>
        <w:rPr>
          <w:b/>
          <w:color w:val="000000"/>
          <w:sz w:val="22"/>
          <w:szCs w:val="22"/>
        </w:rPr>
      </w:pPr>
    </w:p>
    <w:p w14:paraId="60BD9DA2" w14:textId="77777777" w:rsidR="008A1C97" w:rsidRDefault="005F1CA7">
      <w:pPr>
        <w:pBdr>
          <w:top w:val="nil"/>
          <w:left w:val="nil"/>
          <w:bottom w:val="nil"/>
          <w:right w:val="nil"/>
          <w:between w:val="nil"/>
        </w:pBdr>
        <w:ind w:left="705" w:hanging="705"/>
        <w:jc w:val="both"/>
        <w:rPr>
          <w:i/>
          <w:color w:val="000000"/>
          <w:sz w:val="22"/>
          <w:szCs w:val="22"/>
        </w:rPr>
      </w:pPr>
      <w:r>
        <w:rPr>
          <w:b/>
          <w:color w:val="000000"/>
          <w:sz w:val="22"/>
          <w:szCs w:val="22"/>
        </w:rPr>
        <w:t>Que,</w:t>
      </w:r>
      <w:r>
        <w:rPr>
          <w:b/>
          <w:color w:val="000000"/>
          <w:sz w:val="22"/>
          <w:szCs w:val="22"/>
        </w:rPr>
        <w:tab/>
      </w:r>
      <w:r>
        <w:rPr>
          <w:color w:val="000000"/>
          <w:sz w:val="22"/>
          <w:szCs w:val="22"/>
        </w:rPr>
        <w:tab/>
        <w:t xml:space="preserve">mediante Oficio s/n de 21 de febrero de 2022, suscrito por el señor Luis Alfredo Amanta, representante del asentamiento humano de hecho y consolidado de interés social denominado “La Balbina”, manifiesta </w:t>
      </w:r>
      <w:r>
        <w:rPr>
          <w:i/>
          <w:color w:val="000000"/>
          <w:sz w:val="22"/>
          <w:szCs w:val="22"/>
        </w:rPr>
        <w:t xml:space="preserve">“(…) solicitamos de digne disponer a quien corresponda se inicie el proceso de </w:t>
      </w:r>
      <w:r>
        <w:rPr>
          <w:b/>
          <w:i/>
          <w:color w:val="000000"/>
          <w:sz w:val="22"/>
          <w:szCs w:val="22"/>
        </w:rPr>
        <w:t>reformatoria o modificación al plano y ordenanza aprobados</w:t>
      </w:r>
      <w:r>
        <w:rPr>
          <w:i/>
          <w:color w:val="000000"/>
          <w:sz w:val="22"/>
          <w:szCs w:val="22"/>
        </w:rPr>
        <w:t xml:space="preserve"> por el Concejo Metropolitano para poder continuar y lograr la escrituración de nuestros predios. (…)”, </w:t>
      </w:r>
    </w:p>
    <w:p w14:paraId="6555298A" w14:textId="77777777" w:rsidR="008A1C97" w:rsidRDefault="008A1C97">
      <w:pPr>
        <w:pBdr>
          <w:top w:val="nil"/>
          <w:left w:val="nil"/>
          <w:bottom w:val="nil"/>
          <w:right w:val="nil"/>
          <w:between w:val="nil"/>
        </w:pBdr>
        <w:ind w:left="705" w:hanging="705"/>
        <w:jc w:val="both"/>
        <w:rPr>
          <w:color w:val="000000"/>
          <w:sz w:val="22"/>
          <w:szCs w:val="22"/>
        </w:rPr>
      </w:pPr>
    </w:p>
    <w:p w14:paraId="0F277D3C" w14:textId="77777777" w:rsidR="008A1C97" w:rsidRDefault="008A1C97">
      <w:pPr>
        <w:pBdr>
          <w:top w:val="nil"/>
          <w:left w:val="nil"/>
          <w:bottom w:val="nil"/>
          <w:right w:val="nil"/>
          <w:between w:val="nil"/>
        </w:pBdr>
        <w:jc w:val="both"/>
        <w:rPr>
          <w:b/>
          <w:color w:val="000000"/>
          <w:sz w:val="22"/>
          <w:szCs w:val="22"/>
        </w:rPr>
      </w:pPr>
    </w:p>
    <w:p w14:paraId="78FC2210" w14:textId="77777777" w:rsidR="008A1C97" w:rsidRDefault="005F1CA7">
      <w:pPr>
        <w:pBdr>
          <w:top w:val="nil"/>
          <w:left w:val="nil"/>
          <w:bottom w:val="nil"/>
          <w:right w:val="nil"/>
          <w:between w:val="nil"/>
        </w:pBdr>
        <w:jc w:val="both"/>
        <w:rPr>
          <w:b/>
          <w:color w:val="000000"/>
          <w:sz w:val="22"/>
          <w:szCs w:val="22"/>
        </w:rPr>
      </w:pPr>
      <w:r>
        <w:rPr>
          <w:b/>
          <w:color w:val="000000"/>
          <w:sz w:val="22"/>
          <w:szCs w:val="22"/>
        </w:rPr>
        <w:lastRenderedPageBreak/>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7BB3B3A6" w14:textId="77777777" w:rsidR="008A1C97" w:rsidRDefault="008A1C97">
      <w:pPr>
        <w:pBdr>
          <w:top w:val="nil"/>
          <w:left w:val="nil"/>
          <w:bottom w:val="nil"/>
          <w:right w:val="nil"/>
          <w:between w:val="nil"/>
        </w:pBdr>
        <w:jc w:val="both"/>
        <w:rPr>
          <w:b/>
          <w:color w:val="000000"/>
          <w:sz w:val="22"/>
          <w:szCs w:val="22"/>
        </w:rPr>
      </w:pPr>
    </w:p>
    <w:p w14:paraId="37FFE09D" w14:textId="77777777" w:rsidR="008A1C97" w:rsidRDefault="008A1C97">
      <w:pPr>
        <w:pBdr>
          <w:top w:val="nil"/>
          <w:left w:val="nil"/>
          <w:bottom w:val="nil"/>
          <w:right w:val="nil"/>
          <w:between w:val="nil"/>
        </w:pBdr>
        <w:jc w:val="both"/>
        <w:rPr>
          <w:b/>
          <w:color w:val="000000"/>
          <w:sz w:val="22"/>
          <w:szCs w:val="22"/>
        </w:rPr>
      </w:pPr>
    </w:p>
    <w:p w14:paraId="6E58C3DE" w14:textId="77777777" w:rsidR="008A1C97" w:rsidRDefault="005F1CA7">
      <w:pPr>
        <w:pBdr>
          <w:top w:val="nil"/>
          <w:left w:val="nil"/>
          <w:bottom w:val="nil"/>
          <w:right w:val="nil"/>
          <w:between w:val="nil"/>
        </w:pBdr>
        <w:jc w:val="center"/>
        <w:rPr>
          <w:b/>
          <w:color w:val="000000"/>
          <w:sz w:val="22"/>
          <w:szCs w:val="22"/>
        </w:rPr>
      </w:pPr>
      <w:r>
        <w:rPr>
          <w:b/>
          <w:color w:val="000000"/>
          <w:sz w:val="22"/>
          <w:szCs w:val="22"/>
        </w:rPr>
        <w:t>EXPIDE LA SIGUIENTE:</w:t>
      </w:r>
    </w:p>
    <w:p w14:paraId="5E5F1DDF" w14:textId="77777777" w:rsidR="008A1C97" w:rsidRDefault="008A1C97">
      <w:pPr>
        <w:pBdr>
          <w:top w:val="nil"/>
          <w:left w:val="nil"/>
          <w:bottom w:val="nil"/>
          <w:right w:val="nil"/>
          <w:between w:val="nil"/>
        </w:pBdr>
        <w:jc w:val="both"/>
        <w:rPr>
          <w:b/>
          <w:color w:val="000000"/>
          <w:sz w:val="22"/>
          <w:szCs w:val="22"/>
        </w:rPr>
      </w:pPr>
    </w:p>
    <w:p w14:paraId="0209E888" w14:textId="77777777" w:rsidR="008A1C97" w:rsidRDefault="005F1CA7">
      <w:pPr>
        <w:pBdr>
          <w:top w:val="nil"/>
          <w:left w:val="nil"/>
          <w:bottom w:val="nil"/>
          <w:right w:val="nil"/>
          <w:between w:val="nil"/>
        </w:pBdr>
        <w:jc w:val="center"/>
        <w:rPr>
          <w:b/>
          <w:color w:val="000000"/>
          <w:sz w:val="22"/>
          <w:szCs w:val="22"/>
        </w:rPr>
      </w:pPr>
      <w:r>
        <w:rPr>
          <w:b/>
          <w:color w:val="000000"/>
          <w:sz w:val="22"/>
          <w:szCs w:val="22"/>
        </w:rPr>
        <w:t>ORDENANZA REFORMATORIA DE LA ORDENANZA 004 SANCIONADA EL 22 DE ABRIL DE 2019, MEDIANTE EL CUAL SE APROBÓ EL ASENTAMIENTO</w:t>
      </w:r>
      <w:r>
        <w:rPr>
          <w:b/>
          <w:color w:val="FF0000"/>
          <w:sz w:val="22"/>
          <w:szCs w:val="22"/>
        </w:rPr>
        <w:t xml:space="preserve"> </w:t>
      </w:r>
      <w:r>
        <w:rPr>
          <w:b/>
          <w:color w:val="000000"/>
          <w:sz w:val="22"/>
          <w:szCs w:val="22"/>
        </w:rPr>
        <w:t>HUMANO DE HECHO Y CONSOLIDADO DE INTERÉS SOCIAL DENOMINADO "LA BALBINA", A FAVOR DE SUS COPROPIETARIOS</w:t>
      </w:r>
    </w:p>
    <w:p w14:paraId="512A47D4" w14:textId="77777777" w:rsidR="008A1C97" w:rsidRDefault="008A1C97">
      <w:pPr>
        <w:pBdr>
          <w:top w:val="nil"/>
          <w:left w:val="nil"/>
          <w:bottom w:val="nil"/>
          <w:right w:val="nil"/>
          <w:between w:val="nil"/>
        </w:pBdr>
        <w:jc w:val="both"/>
        <w:rPr>
          <w:b/>
          <w:color w:val="000000"/>
          <w:sz w:val="22"/>
          <w:szCs w:val="22"/>
        </w:rPr>
      </w:pPr>
    </w:p>
    <w:p w14:paraId="5E12601D" w14:textId="77777777" w:rsidR="008A1C97" w:rsidRDefault="008A1C97">
      <w:pPr>
        <w:pBdr>
          <w:top w:val="nil"/>
          <w:left w:val="nil"/>
          <w:bottom w:val="nil"/>
          <w:right w:val="nil"/>
          <w:between w:val="nil"/>
        </w:pBdr>
        <w:jc w:val="both"/>
        <w:rPr>
          <w:color w:val="000000"/>
          <w:sz w:val="22"/>
          <w:szCs w:val="22"/>
        </w:rPr>
      </w:pPr>
    </w:p>
    <w:p w14:paraId="01FE300D" w14:textId="77777777" w:rsidR="008A1C97" w:rsidRDefault="005F1CA7">
      <w:pPr>
        <w:pBdr>
          <w:top w:val="nil"/>
          <w:left w:val="nil"/>
          <w:bottom w:val="nil"/>
          <w:right w:val="nil"/>
          <w:between w:val="nil"/>
        </w:pBdr>
        <w:jc w:val="both"/>
        <w:rPr>
          <w:color w:val="000000"/>
          <w:sz w:val="22"/>
          <w:szCs w:val="22"/>
        </w:rPr>
      </w:pPr>
      <w:r>
        <w:rPr>
          <w:b/>
          <w:color w:val="000000"/>
          <w:sz w:val="22"/>
          <w:szCs w:val="22"/>
        </w:rPr>
        <w:t xml:space="preserve">Artículo </w:t>
      </w:r>
      <w:proofErr w:type="gramStart"/>
      <w:r>
        <w:rPr>
          <w:b/>
          <w:color w:val="000000"/>
          <w:sz w:val="22"/>
          <w:szCs w:val="22"/>
        </w:rPr>
        <w:t>Primero.-</w:t>
      </w:r>
      <w:proofErr w:type="gramEnd"/>
      <w:r>
        <w:rPr>
          <w:color w:val="000000"/>
          <w:sz w:val="22"/>
          <w:szCs w:val="22"/>
        </w:rPr>
        <w:t xml:space="preserve"> Sustitúyase el plano integrante y aprobado mediante la Ordenanza 004 sancionada el 22 de abril de 2019, por el plano integrante de la presente ordenanza reformatoria de la Ordenanza 004 sancionada el 22 de abril de 2019, mediante el cual se aprobó el asentamiento humano de hecho y consolidado de interés social denominado "La Balbina", a favor de sus copropietarios; </w:t>
      </w:r>
    </w:p>
    <w:p w14:paraId="0F860B56" w14:textId="77777777" w:rsidR="008A1C97" w:rsidRDefault="008A1C97">
      <w:pPr>
        <w:pBdr>
          <w:top w:val="nil"/>
          <w:left w:val="nil"/>
          <w:bottom w:val="nil"/>
          <w:right w:val="nil"/>
          <w:between w:val="nil"/>
        </w:pBdr>
        <w:jc w:val="both"/>
        <w:rPr>
          <w:color w:val="000000"/>
          <w:sz w:val="22"/>
          <w:szCs w:val="22"/>
        </w:rPr>
      </w:pPr>
    </w:p>
    <w:p w14:paraId="246DA6F5" w14:textId="77777777" w:rsidR="008A1C97" w:rsidRDefault="005F1CA7">
      <w:pPr>
        <w:pBdr>
          <w:top w:val="nil"/>
          <w:left w:val="nil"/>
          <w:bottom w:val="nil"/>
          <w:right w:val="nil"/>
          <w:between w:val="nil"/>
        </w:pBdr>
        <w:jc w:val="both"/>
        <w:rPr>
          <w:color w:val="000000"/>
          <w:sz w:val="22"/>
          <w:szCs w:val="22"/>
        </w:rPr>
      </w:pPr>
      <w:r>
        <w:rPr>
          <w:b/>
          <w:color w:val="000000"/>
          <w:sz w:val="22"/>
          <w:szCs w:val="22"/>
        </w:rPr>
        <w:t xml:space="preserve">Artículo </w:t>
      </w:r>
      <w:proofErr w:type="gramStart"/>
      <w:r>
        <w:rPr>
          <w:b/>
          <w:color w:val="000000"/>
          <w:sz w:val="22"/>
          <w:szCs w:val="22"/>
        </w:rPr>
        <w:t>Segundo.-</w:t>
      </w:r>
      <w:proofErr w:type="gramEnd"/>
      <w:r>
        <w:rPr>
          <w:b/>
          <w:color w:val="000000"/>
          <w:sz w:val="22"/>
          <w:szCs w:val="22"/>
        </w:rPr>
        <w:t xml:space="preserve"> </w:t>
      </w:r>
      <w:r>
        <w:rPr>
          <w:color w:val="000000"/>
          <w:sz w:val="22"/>
          <w:szCs w:val="22"/>
        </w:rPr>
        <w:t>En el “</w:t>
      </w:r>
      <w:r>
        <w:rPr>
          <w:b/>
          <w:color w:val="000000"/>
          <w:sz w:val="22"/>
          <w:szCs w:val="22"/>
        </w:rPr>
        <w:t>Artículo 2.- Especificaciones Técnicas”</w:t>
      </w:r>
      <w:r>
        <w:rPr>
          <w:color w:val="000000"/>
          <w:sz w:val="22"/>
          <w:szCs w:val="22"/>
        </w:rPr>
        <w:t>, de la Ordenanza 004 sancionada el 22 de abril de 2019, sustitúyase en el cuadro a continuación de “número de lotes”; las siguientes especificaciones técnicas, e incorpórese el siguiente texto:</w:t>
      </w:r>
    </w:p>
    <w:p w14:paraId="1DAABEC7" w14:textId="77777777" w:rsidR="008A1C97" w:rsidRDefault="008A1C97">
      <w:pPr>
        <w:pBdr>
          <w:top w:val="nil"/>
          <w:left w:val="nil"/>
          <w:bottom w:val="nil"/>
          <w:right w:val="nil"/>
          <w:between w:val="nil"/>
        </w:pBdr>
        <w:jc w:val="both"/>
        <w:rPr>
          <w:color w:val="000000"/>
          <w:sz w:val="22"/>
          <w:szCs w:val="22"/>
        </w:rPr>
      </w:pPr>
    </w:p>
    <w:tbl>
      <w:tblPr>
        <w:tblStyle w:val="a0"/>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5"/>
        <w:gridCol w:w="2024"/>
        <w:gridCol w:w="2126"/>
      </w:tblGrid>
      <w:tr w:rsidR="008A1C97" w14:paraId="0A95131D" w14:textId="77777777">
        <w:trPr>
          <w:trHeight w:val="333"/>
        </w:trPr>
        <w:tc>
          <w:tcPr>
            <w:tcW w:w="4355" w:type="dxa"/>
            <w:tcBorders>
              <w:top w:val="single" w:sz="4" w:space="0" w:color="000000"/>
              <w:left w:val="single" w:sz="4" w:space="0" w:color="000000"/>
              <w:bottom w:val="single" w:sz="4" w:space="0" w:color="000000"/>
              <w:right w:val="single" w:sz="4" w:space="0" w:color="000000"/>
            </w:tcBorders>
            <w:vAlign w:val="bottom"/>
          </w:tcPr>
          <w:p w14:paraId="3A658D7E" w14:textId="77777777" w:rsidR="008A1C97" w:rsidRDefault="005F1CA7">
            <w:pPr>
              <w:spacing w:line="256" w:lineRule="auto"/>
              <w:rPr>
                <w:sz w:val="22"/>
                <w:szCs w:val="22"/>
              </w:rPr>
            </w:pPr>
            <w:r>
              <w:rPr>
                <w:sz w:val="22"/>
                <w:szCs w:val="22"/>
              </w:rPr>
              <w:t>Área Útil de Lotes</w:t>
            </w:r>
          </w:p>
        </w:tc>
        <w:tc>
          <w:tcPr>
            <w:tcW w:w="2024" w:type="dxa"/>
            <w:tcBorders>
              <w:top w:val="single" w:sz="4" w:space="0" w:color="000000"/>
              <w:left w:val="single" w:sz="4" w:space="0" w:color="000000"/>
              <w:bottom w:val="single" w:sz="4" w:space="0" w:color="000000"/>
              <w:right w:val="single" w:sz="4" w:space="0" w:color="000000"/>
            </w:tcBorders>
            <w:vAlign w:val="bottom"/>
          </w:tcPr>
          <w:p w14:paraId="64F1F343" w14:textId="77777777" w:rsidR="008A1C97" w:rsidRDefault="005F1CA7">
            <w:pPr>
              <w:pBdr>
                <w:top w:val="nil"/>
                <w:left w:val="nil"/>
                <w:bottom w:val="nil"/>
                <w:right w:val="nil"/>
                <w:between w:val="nil"/>
              </w:pBdr>
              <w:ind w:hanging="2"/>
              <w:rPr>
                <w:sz w:val="22"/>
                <w:szCs w:val="22"/>
              </w:rPr>
            </w:pPr>
            <w:r>
              <w:rPr>
                <w:sz w:val="22"/>
                <w:szCs w:val="22"/>
              </w:rPr>
              <w:t>14.147,71  m2</w:t>
            </w:r>
          </w:p>
        </w:tc>
        <w:tc>
          <w:tcPr>
            <w:tcW w:w="2126" w:type="dxa"/>
            <w:tcBorders>
              <w:top w:val="single" w:sz="4" w:space="0" w:color="000000"/>
              <w:left w:val="single" w:sz="4" w:space="0" w:color="000000"/>
              <w:bottom w:val="single" w:sz="4" w:space="0" w:color="000000"/>
              <w:right w:val="single" w:sz="4" w:space="0" w:color="000000"/>
            </w:tcBorders>
            <w:vAlign w:val="bottom"/>
          </w:tcPr>
          <w:p w14:paraId="310E3F09" w14:textId="77777777" w:rsidR="008A1C97" w:rsidRDefault="005F1CA7">
            <w:pPr>
              <w:spacing w:line="256" w:lineRule="auto"/>
              <w:rPr>
                <w:sz w:val="22"/>
                <w:szCs w:val="22"/>
              </w:rPr>
            </w:pPr>
            <w:r>
              <w:rPr>
                <w:sz w:val="22"/>
                <w:szCs w:val="22"/>
              </w:rPr>
              <w:t xml:space="preserve">    97,92%</w:t>
            </w:r>
          </w:p>
        </w:tc>
      </w:tr>
      <w:tr w:rsidR="008A1C97" w14:paraId="284EF8CD" w14:textId="77777777">
        <w:trPr>
          <w:trHeight w:val="288"/>
        </w:trPr>
        <w:tc>
          <w:tcPr>
            <w:tcW w:w="4355" w:type="dxa"/>
            <w:tcBorders>
              <w:top w:val="single" w:sz="4" w:space="0" w:color="000000"/>
              <w:left w:val="single" w:sz="4" w:space="0" w:color="000000"/>
              <w:bottom w:val="single" w:sz="4" w:space="0" w:color="000000"/>
              <w:right w:val="single" w:sz="4" w:space="0" w:color="000000"/>
            </w:tcBorders>
            <w:vAlign w:val="bottom"/>
          </w:tcPr>
          <w:p w14:paraId="140B0705" w14:textId="77777777" w:rsidR="008A1C97" w:rsidRDefault="005F1CA7">
            <w:pPr>
              <w:spacing w:line="256" w:lineRule="auto"/>
              <w:rPr>
                <w:sz w:val="22"/>
                <w:szCs w:val="22"/>
              </w:rPr>
            </w:pPr>
            <w:r>
              <w:rPr>
                <w:sz w:val="22"/>
                <w:szCs w:val="22"/>
              </w:rPr>
              <w:t>Área de Afectación Vial (</w:t>
            </w:r>
            <w:proofErr w:type="spellStart"/>
            <w:r>
              <w:rPr>
                <w:sz w:val="22"/>
                <w:szCs w:val="22"/>
              </w:rPr>
              <w:t>Macrolote</w:t>
            </w:r>
            <w:proofErr w:type="spellEnd"/>
            <w:r>
              <w:rPr>
                <w:sz w:val="22"/>
                <w:szCs w:val="22"/>
              </w:rPr>
              <w:t>)</w:t>
            </w:r>
          </w:p>
        </w:tc>
        <w:tc>
          <w:tcPr>
            <w:tcW w:w="2024" w:type="dxa"/>
            <w:tcBorders>
              <w:top w:val="single" w:sz="4" w:space="0" w:color="000000"/>
              <w:left w:val="single" w:sz="4" w:space="0" w:color="000000"/>
              <w:bottom w:val="single" w:sz="4" w:space="0" w:color="000000"/>
              <w:right w:val="single" w:sz="4" w:space="0" w:color="000000"/>
            </w:tcBorders>
            <w:vAlign w:val="bottom"/>
          </w:tcPr>
          <w:p w14:paraId="0619093C" w14:textId="5B87082A" w:rsidR="008A1C97" w:rsidRDefault="00C6691B">
            <w:pPr>
              <w:spacing w:line="256" w:lineRule="auto"/>
              <w:rPr>
                <w:sz w:val="22"/>
                <w:szCs w:val="22"/>
              </w:rPr>
            </w:pPr>
            <w:r>
              <w:rPr>
                <w:sz w:val="22"/>
                <w:szCs w:val="22"/>
              </w:rPr>
              <w:t xml:space="preserve">     301,18</w:t>
            </w:r>
            <w:r w:rsidR="005F1CA7">
              <w:rPr>
                <w:sz w:val="22"/>
                <w:szCs w:val="22"/>
              </w:rPr>
              <w:t xml:space="preserve">  m2</w:t>
            </w:r>
          </w:p>
        </w:tc>
        <w:tc>
          <w:tcPr>
            <w:tcW w:w="2126" w:type="dxa"/>
            <w:tcBorders>
              <w:top w:val="single" w:sz="4" w:space="0" w:color="000000"/>
              <w:left w:val="single" w:sz="4" w:space="0" w:color="000000"/>
              <w:bottom w:val="single" w:sz="4" w:space="0" w:color="000000"/>
              <w:right w:val="single" w:sz="4" w:space="0" w:color="000000"/>
            </w:tcBorders>
            <w:vAlign w:val="bottom"/>
          </w:tcPr>
          <w:p w14:paraId="0984020A" w14:textId="77777777" w:rsidR="008A1C97" w:rsidRDefault="005F1CA7">
            <w:pPr>
              <w:spacing w:line="256" w:lineRule="auto"/>
              <w:rPr>
                <w:sz w:val="22"/>
                <w:szCs w:val="22"/>
              </w:rPr>
            </w:pPr>
            <w:r>
              <w:rPr>
                <w:sz w:val="22"/>
                <w:szCs w:val="22"/>
              </w:rPr>
              <w:t xml:space="preserve">     2,08%</w:t>
            </w:r>
          </w:p>
        </w:tc>
      </w:tr>
      <w:tr w:rsidR="008A1C97" w14:paraId="25B043FE" w14:textId="77777777">
        <w:trPr>
          <w:trHeight w:val="312"/>
        </w:trPr>
        <w:tc>
          <w:tcPr>
            <w:tcW w:w="4355" w:type="dxa"/>
            <w:tcBorders>
              <w:top w:val="single" w:sz="4" w:space="0" w:color="000000"/>
              <w:left w:val="single" w:sz="4" w:space="0" w:color="000000"/>
              <w:bottom w:val="single" w:sz="4" w:space="0" w:color="000000"/>
              <w:right w:val="single" w:sz="4" w:space="0" w:color="000000"/>
            </w:tcBorders>
            <w:vAlign w:val="bottom"/>
          </w:tcPr>
          <w:p w14:paraId="78AB88AA" w14:textId="77777777" w:rsidR="008A1C97" w:rsidRDefault="005F1CA7">
            <w:pPr>
              <w:pBdr>
                <w:top w:val="nil"/>
                <w:left w:val="nil"/>
                <w:bottom w:val="nil"/>
                <w:right w:val="nil"/>
                <w:between w:val="nil"/>
              </w:pBdr>
              <w:spacing w:line="256" w:lineRule="auto"/>
              <w:jc w:val="both"/>
              <w:rPr>
                <w:color w:val="000000"/>
                <w:sz w:val="22"/>
                <w:szCs w:val="22"/>
              </w:rPr>
            </w:pPr>
            <w:r>
              <w:rPr>
                <w:color w:val="000000"/>
                <w:sz w:val="22"/>
                <w:szCs w:val="22"/>
              </w:rPr>
              <w:t>Área Bruta del Terreno (Área Total)</w:t>
            </w:r>
          </w:p>
        </w:tc>
        <w:tc>
          <w:tcPr>
            <w:tcW w:w="2024" w:type="dxa"/>
            <w:tcBorders>
              <w:top w:val="single" w:sz="4" w:space="0" w:color="000000"/>
              <w:left w:val="single" w:sz="4" w:space="0" w:color="000000"/>
              <w:bottom w:val="single" w:sz="4" w:space="0" w:color="000000"/>
              <w:right w:val="single" w:sz="4" w:space="0" w:color="000000"/>
            </w:tcBorders>
            <w:vAlign w:val="bottom"/>
          </w:tcPr>
          <w:p w14:paraId="67A6EACD" w14:textId="5E4E0EDB" w:rsidR="008A1C97" w:rsidRDefault="00C6691B">
            <w:pPr>
              <w:pBdr>
                <w:top w:val="nil"/>
                <w:left w:val="nil"/>
                <w:bottom w:val="nil"/>
                <w:right w:val="nil"/>
                <w:between w:val="nil"/>
              </w:pBdr>
              <w:spacing w:line="256" w:lineRule="auto"/>
              <w:jc w:val="both"/>
              <w:rPr>
                <w:color w:val="000000"/>
                <w:sz w:val="22"/>
                <w:szCs w:val="22"/>
              </w:rPr>
            </w:pPr>
            <w:r>
              <w:rPr>
                <w:color w:val="000000"/>
                <w:sz w:val="22"/>
                <w:szCs w:val="22"/>
              </w:rPr>
              <w:t>14.448,89</w:t>
            </w:r>
            <w:r w:rsidR="005F1CA7">
              <w:rPr>
                <w:color w:val="000000"/>
                <w:sz w:val="22"/>
                <w:szCs w:val="22"/>
              </w:rPr>
              <w:t xml:space="preserve">  m2</w:t>
            </w:r>
          </w:p>
        </w:tc>
        <w:tc>
          <w:tcPr>
            <w:tcW w:w="2126" w:type="dxa"/>
            <w:tcBorders>
              <w:top w:val="single" w:sz="4" w:space="0" w:color="000000"/>
              <w:left w:val="single" w:sz="4" w:space="0" w:color="000000"/>
              <w:bottom w:val="single" w:sz="4" w:space="0" w:color="000000"/>
              <w:right w:val="single" w:sz="4" w:space="0" w:color="000000"/>
            </w:tcBorders>
            <w:vAlign w:val="bottom"/>
          </w:tcPr>
          <w:p w14:paraId="098A9CDB" w14:textId="77777777" w:rsidR="008A1C97" w:rsidRDefault="005F1CA7">
            <w:pPr>
              <w:pBdr>
                <w:top w:val="nil"/>
                <w:left w:val="nil"/>
                <w:bottom w:val="nil"/>
                <w:right w:val="nil"/>
                <w:between w:val="nil"/>
              </w:pBdr>
              <w:spacing w:line="256" w:lineRule="auto"/>
              <w:jc w:val="both"/>
              <w:rPr>
                <w:color w:val="000000"/>
                <w:sz w:val="22"/>
                <w:szCs w:val="22"/>
              </w:rPr>
            </w:pPr>
            <w:r>
              <w:rPr>
                <w:color w:val="000000"/>
                <w:sz w:val="22"/>
                <w:szCs w:val="22"/>
              </w:rPr>
              <w:t xml:space="preserve"> 100,00%</w:t>
            </w:r>
          </w:p>
        </w:tc>
      </w:tr>
    </w:tbl>
    <w:p w14:paraId="762D3738" w14:textId="77777777" w:rsidR="008A1C97" w:rsidRDefault="008A1C97">
      <w:pPr>
        <w:pBdr>
          <w:top w:val="nil"/>
          <w:left w:val="nil"/>
          <w:bottom w:val="nil"/>
          <w:right w:val="nil"/>
          <w:between w:val="nil"/>
        </w:pBdr>
        <w:jc w:val="both"/>
        <w:rPr>
          <w:b/>
          <w:color w:val="000000"/>
          <w:sz w:val="22"/>
          <w:szCs w:val="22"/>
        </w:rPr>
      </w:pPr>
    </w:p>
    <w:p w14:paraId="3FAC5847" w14:textId="77777777" w:rsidR="008A1C97" w:rsidRDefault="005F1CA7">
      <w:pPr>
        <w:jc w:val="both"/>
        <w:rPr>
          <w:color w:val="000000"/>
          <w:sz w:val="22"/>
          <w:szCs w:val="22"/>
        </w:rPr>
      </w:pPr>
      <w:r>
        <w:rPr>
          <w:color w:val="000000"/>
          <w:sz w:val="22"/>
          <w:szCs w:val="22"/>
        </w:rPr>
        <w:t>De acuerdo al artículo 424 del COOTAD, el área de afectación vial, constante en el presente artículo, será cedida de manera gratuita a favor del Municipio del Distrito Metropolitano de Quito.</w:t>
      </w:r>
    </w:p>
    <w:p w14:paraId="51C37C3A" w14:textId="77777777" w:rsidR="008A1C97" w:rsidRDefault="008A1C97">
      <w:pPr>
        <w:pBdr>
          <w:top w:val="nil"/>
          <w:left w:val="nil"/>
          <w:bottom w:val="nil"/>
          <w:right w:val="nil"/>
          <w:between w:val="nil"/>
        </w:pBdr>
        <w:jc w:val="both"/>
        <w:rPr>
          <w:color w:val="000000"/>
          <w:sz w:val="22"/>
          <w:szCs w:val="22"/>
        </w:rPr>
      </w:pPr>
    </w:p>
    <w:p w14:paraId="53818E24" w14:textId="77777777" w:rsidR="008A1C97" w:rsidRDefault="008A1C97">
      <w:pPr>
        <w:pBdr>
          <w:top w:val="nil"/>
          <w:left w:val="nil"/>
          <w:bottom w:val="nil"/>
          <w:right w:val="nil"/>
          <w:between w:val="nil"/>
        </w:pBdr>
        <w:jc w:val="center"/>
        <w:rPr>
          <w:b/>
          <w:color w:val="000000"/>
          <w:sz w:val="22"/>
          <w:szCs w:val="22"/>
        </w:rPr>
      </w:pPr>
    </w:p>
    <w:p w14:paraId="2C36E973" w14:textId="77777777" w:rsidR="008A1C97" w:rsidRDefault="005F1CA7">
      <w:pPr>
        <w:pBdr>
          <w:top w:val="nil"/>
          <w:left w:val="nil"/>
          <w:bottom w:val="nil"/>
          <w:right w:val="nil"/>
          <w:between w:val="nil"/>
        </w:pBdr>
        <w:jc w:val="center"/>
        <w:rPr>
          <w:b/>
          <w:color w:val="000000"/>
          <w:sz w:val="22"/>
          <w:szCs w:val="22"/>
        </w:rPr>
      </w:pPr>
      <w:r>
        <w:rPr>
          <w:b/>
          <w:color w:val="000000"/>
          <w:sz w:val="22"/>
          <w:szCs w:val="22"/>
        </w:rPr>
        <w:t>Disposiciones Generales</w:t>
      </w:r>
    </w:p>
    <w:p w14:paraId="51A6A99B" w14:textId="77777777" w:rsidR="008A1C97" w:rsidRDefault="008A1C97">
      <w:pPr>
        <w:pBdr>
          <w:top w:val="nil"/>
          <w:left w:val="nil"/>
          <w:bottom w:val="nil"/>
          <w:right w:val="nil"/>
          <w:between w:val="nil"/>
        </w:pBdr>
        <w:jc w:val="both"/>
        <w:rPr>
          <w:b/>
          <w:color w:val="000000"/>
          <w:sz w:val="22"/>
          <w:szCs w:val="22"/>
        </w:rPr>
      </w:pPr>
    </w:p>
    <w:p w14:paraId="23C69013" w14:textId="77777777" w:rsidR="004731A0" w:rsidRDefault="004731A0">
      <w:pPr>
        <w:pBdr>
          <w:top w:val="nil"/>
          <w:left w:val="nil"/>
          <w:bottom w:val="nil"/>
          <w:right w:val="nil"/>
          <w:between w:val="nil"/>
        </w:pBdr>
        <w:jc w:val="both"/>
        <w:rPr>
          <w:b/>
          <w:color w:val="000000"/>
          <w:sz w:val="22"/>
          <w:szCs w:val="22"/>
        </w:rPr>
      </w:pPr>
    </w:p>
    <w:p w14:paraId="01C58E6E" w14:textId="77777777" w:rsidR="008A1C97" w:rsidRDefault="005F1CA7">
      <w:pPr>
        <w:pBdr>
          <w:top w:val="nil"/>
          <w:left w:val="nil"/>
          <w:bottom w:val="nil"/>
          <w:right w:val="nil"/>
          <w:between w:val="nil"/>
        </w:pBdr>
        <w:jc w:val="both"/>
        <w:rPr>
          <w:color w:val="000000"/>
          <w:sz w:val="22"/>
          <w:szCs w:val="22"/>
        </w:rPr>
      </w:pPr>
      <w:proofErr w:type="gramStart"/>
      <w:r>
        <w:rPr>
          <w:b/>
          <w:color w:val="000000"/>
          <w:sz w:val="22"/>
          <w:szCs w:val="22"/>
        </w:rPr>
        <w:t>Primera.-</w:t>
      </w:r>
      <w:proofErr w:type="gramEnd"/>
      <w:r>
        <w:rPr>
          <w:color w:val="000000"/>
          <w:sz w:val="22"/>
          <w:szCs w:val="22"/>
        </w:rPr>
        <w:t xml:space="preserve"> Los copropietarios del asentamiento humano de hecho y consolidado de interés social denominado “La Balbina”, deberán protocolizar la presente Ordenanza ante Notario Público e inscribirla en el Registro de la Propiedad del Distrito Metropolitano de Quito, con todos sus documentos habilitantes. </w:t>
      </w:r>
    </w:p>
    <w:p w14:paraId="12F5D3C0" w14:textId="77777777" w:rsidR="008A1C97" w:rsidRDefault="008A1C97">
      <w:pPr>
        <w:pBdr>
          <w:top w:val="nil"/>
          <w:left w:val="nil"/>
          <w:bottom w:val="nil"/>
          <w:right w:val="nil"/>
          <w:between w:val="nil"/>
        </w:pBdr>
        <w:jc w:val="both"/>
        <w:rPr>
          <w:color w:val="000000"/>
          <w:sz w:val="22"/>
          <w:szCs w:val="22"/>
        </w:rPr>
      </w:pPr>
    </w:p>
    <w:p w14:paraId="7BC932A8" w14:textId="77777777" w:rsidR="008A1C97" w:rsidRDefault="005F1CA7">
      <w:pPr>
        <w:pBdr>
          <w:top w:val="nil"/>
          <w:left w:val="nil"/>
          <w:bottom w:val="nil"/>
          <w:right w:val="nil"/>
          <w:between w:val="nil"/>
        </w:pBdr>
        <w:jc w:val="both"/>
        <w:rPr>
          <w:color w:val="000000"/>
          <w:sz w:val="22"/>
          <w:szCs w:val="22"/>
        </w:rPr>
      </w:pPr>
      <w:r>
        <w:rPr>
          <w:color w:val="000000"/>
          <w:sz w:val="22"/>
          <w:szCs w:val="22"/>
        </w:rPr>
        <w:t xml:space="preserve">En caso de no inscribir la presente ordenanza, ésta caducará en el plazo de tres (03) años de conformidad con lo dispuesto en el artículo </w:t>
      </w:r>
      <w:r>
        <w:rPr>
          <w:sz w:val="22"/>
          <w:szCs w:val="22"/>
        </w:rPr>
        <w:t>3749 d</w:t>
      </w:r>
      <w:r>
        <w:rPr>
          <w:color w:val="000000"/>
          <w:sz w:val="22"/>
          <w:szCs w:val="22"/>
        </w:rPr>
        <w:t xml:space="preserve">el Código Municipal para el Distrito Metropolitano de Quito. </w:t>
      </w:r>
    </w:p>
    <w:p w14:paraId="0E5AB721" w14:textId="77777777" w:rsidR="0088486A" w:rsidRDefault="0088486A">
      <w:pPr>
        <w:pBdr>
          <w:top w:val="nil"/>
          <w:left w:val="nil"/>
          <w:bottom w:val="nil"/>
          <w:right w:val="nil"/>
          <w:between w:val="nil"/>
        </w:pBdr>
        <w:jc w:val="both"/>
        <w:rPr>
          <w:color w:val="000000"/>
          <w:sz w:val="22"/>
          <w:szCs w:val="22"/>
        </w:rPr>
      </w:pPr>
    </w:p>
    <w:p w14:paraId="09524287" w14:textId="7A752EC6" w:rsidR="00ED33C2" w:rsidRDefault="00D35543" w:rsidP="00ED33C2">
      <w:pPr>
        <w:pBdr>
          <w:top w:val="nil"/>
          <w:left w:val="nil"/>
          <w:bottom w:val="nil"/>
          <w:right w:val="nil"/>
          <w:between w:val="nil"/>
        </w:pBdr>
        <w:jc w:val="both"/>
        <w:rPr>
          <w:sz w:val="22"/>
          <w:szCs w:val="22"/>
        </w:rPr>
      </w:pPr>
      <w:proofErr w:type="gramStart"/>
      <w:r>
        <w:rPr>
          <w:b/>
          <w:sz w:val="22"/>
          <w:szCs w:val="22"/>
        </w:rPr>
        <w:t>Segunda</w:t>
      </w:r>
      <w:r w:rsidR="005F1CA7">
        <w:rPr>
          <w:b/>
          <w:sz w:val="22"/>
          <w:szCs w:val="22"/>
        </w:rPr>
        <w:t>.-</w:t>
      </w:r>
      <w:proofErr w:type="gramEnd"/>
      <w:r w:rsidR="005F1CA7">
        <w:rPr>
          <w:sz w:val="22"/>
          <w:szCs w:val="22"/>
        </w:rPr>
        <w:t xml:space="preserve"> </w:t>
      </w:r>
      <w:r w:rsidR="00ED33C2" w:rsidRPr="00ED33C2">
        <w:rPr>
          <w:sz w:val="22"/>
          <w:szCs w:val="22"/>
        </w:rPr>
        <w:t xml:space="preserve">Una vez inscrita la Ordenanza, la Empresa Pública Metropolitana de Agua Potable y Saneamiento (EPMAPS), deberá realizar los estudios y diseños para la dotación de agua potable en </w:t>
      </w:r>
      <w:r w:rsidR="00ED33C2" w:rsidRPr="00ED33C2">
        <w:rPr>
          <w:sz w:val="22"/>
          <w:szCs w:val="22"/>
        </w:rPr>
        <w:lastRenderedPageBreak/>
        <w:t>el asentamiento humano de hecho y consolidado de interés social denominado</w:t>
      </w:r>
      <w:r w:rsidR="00E96BEB">
        <w:rPr>
          <w:sz w:val="22"/>
          <w:szCs w:val="22"/>
        </w:rPr>
        <w:t xml:space="preserve"> </w:t>
      </w:r>
      <w:r w:rsidR="00ED33C2" w:rsidRPr="00ED33C2">
        <w:rPr>
          <w:sz w:val="22"/>
          <w:szCs w:val="22"/>
        </w:rPr>
        <w:t>“</w:t>
      </w:r>
      <w:r w:rsidR="00E96BEB">
        <w:rPr>
          <w:sz w:val="22"/>
          <w:szCs w:val="22"/>
        </w:rPr>
        <w:t>La Balbina</w:t>
      </w:r>
      <w:r w:rsidR="00ED33C2" w:rsidRPr="00ED33C2">
        <w:rPr>
          <w:sz w:val="22"/>
          <w:szCs w:val="22"/>
        </w:rPr>
        <w:t>”, incluyendo la instalación de hidrantes, en el menor tiempo posible y de acuerdo a la planificación de la EPMAPS.</w:t>
      </w:r>
    </w:p>
    <w:p w14:paraId="57077190" w14:textId="77777777" w:rsidR="00D35543" w:rsidRDefault="00D35543" w:rsidP="00ED33C2">
      <w:pPr>
        <w:pBdr>
          <w:top w:val="nil"/>
          <w:left w:val="nil"/>
          <w:bottom w:val="nil"/>
          <w:right w:val="nil"/>
          <w:between w:val="nil"/>
        </w:pBdr>
        <w:jc w:val="both"/>
        <w:rPr>
          <w:sz w:val="22"/>
          <w:szCs w:val="22"/>
        </w:rPr>
      </w:pPr>
    </w:p>
    <w:p w14:paraId="40BECA47" w14:textId="67EC974C" w:rsidR="00D35543" w:rsidRDefault="00D35543" w:rsidP="00D35543">
      <w:pPr>
        <w:pBdr>
          <w:top w:val="nil"/>
          <w:left w:val="nil"/>
          <w:bottom w:val="nil"/>
          <w:right w:val="nil"/>
          <w:between w:val="nil"/>
        </w:pBdr>
        <w:jc w:val="both"/>
        <w:rPr>
          <w:sz w:val="22"/>
          <w:szCs w:val="22"/>
        </w:rPr>
      </w:pPr>
      <w:proofErr w:type="gramStart"/>
      <w:r>
        <w:rPr>
          <w:b/>
          <w:sz w:val="22"/>
          <w:szCs w:val="22"/>
        </w:rPr>
        <w:t>Tercera.-</w:t>
      </w:r>
      <w:proofErr w:type="gramEnd"/>
      <w:r>
        <w:rPr>
          <w:b/>
          <w:sz w:val="22"/>
          <w:szCs w:val="22"/>
        </w:rPr>
        <w:t xml:space="preserve"> </w:t>
      </w:r>
      <w:r>
        <w:rPr>
          <w:sz w:val="22"/>
          <w:szCs w:val="22"/>
        </w:rPr>
        <w:t>L</w:t>
      </w:r>
      <w:r w:rsidRPr="00ED33C2">
        <w:rPr>
          <w:sz w:val="22"/>
          <w:szCs w:val="22"/>
        </w:rPr>
        <w:t xml:space="preserve">a Secretaría General del Concejo Metropolitano de Quito, una vez sellados los planos del fraccionamiento aprobado por el Concejo Metropolitano de Quito, </w:t>
      </w:r>
      <w:r>
        <w:rPr>
          <w:sz w:val="22"/>
          <w:szCs w:val="22"/>
        </w:rPr>
        <w:t>deberá remitir</w:t>
      </w:r>
      <w:r w:rsidRPr="00ED33C2">
        <w:rPr>
          <w:sz w:val="22"/>
          <w:szCs w:val="22"/>
        </w:rPr>
        <w:t xml:space="preserve"> una copia certificada a las administraciones zonales y a las instancias dotadoras de servicio básicos.</w:t>
      </w:r>
    </w:p>
    <w:p w14:paraId="6B6BDB3C" w14:textId="77777777" w:rsidR="004731A0" w:rsidRDefault="004731A0" w:rsidP="004731A0">
      <w:pPr>
        <w:pBdr>
          <w:top w:val="nil"/>
          <w:left w:val="nil"/>
          <w:bottom w:val="nil"/>
          <w:right w:val="nil"/>
          <w:between w:val="nil"/>
        </w:pBdr>
        <w:jc w:val="both"/>
        <w:rPr>
          <w:sz w:val="22"/>
          <w:szCs w:val="22"/>
        </w:rPr>
      </w:pPr>
    </w:p>
    <w:p w14:paraId="454857D4" w14:textId="77777777" w:rsidR="008A1C97" w:rsidRDefault="005F1CA7">
      <w:pPr>
        <w:pBdr>
          <w:top w:val="nil"/>
          <w:left w:val="nil"/>
          <w:bottom w:val="nil"/>
          <w:right w:val="nil"/>
          <w:between w:val="nil"/>
        </w:pBdr>
        <w:jc w:val="both"/>
        <w:rPr>
          <w:color w:val="000000"/>
          <w:sz w:val="22"/>
          <w:szCs w:val="22"/>
        </w:rPr>
      </w:pPr>
      <w:r>
        <w:rPr>
          <w:b/>
          <w:color w:val="000000"/>
          <w:sz w:val="22"/>
          <w:szCs w:val="22"/>
        </w:rPr>
        <w:t xml:space="preserve">Disposición Final. </w:t>
      </w:r>
      <w:r>
        <w:rPr>
          <w:color w:val="000000"/>
          <w:sz w:val="22"/>
          <w:szCs w:val="22"/>
        </w:rPr>
        <w:t xml:space="preserve">- Esta ordenanza entrará en vigencia a partir de la fecha de su sanción, sin perjuicio de su publicación en el Registro Oficial, Gaceta Municipal o la página web institucional de la Municipalidad. </w:t>
      </w:r>
    </w:p>
    <w:p w14:paraId="035E4CD1" w14:textId="77777777" w:rsidR="008A1C97" w:rsidRDefault="008A1C97">
      <w:pPr>
        <w:pBdr>
          <w:top w:val="nil"/>
          <w:left w:val="nil"/>
          <w:bottom w:val="nil"/>
          <w:right w:val="nil"/>
          <w:between w:val="nil"/>
        </w:pBdr>
        <w:jc w:val="both"/>
        <w:rPr>
          <w:color w:val="000000"/>
          <w:sz w:val="22"/>
          <w:szCs w:val="22"/>
        </w:rPr>
      </w:pPr>
    </w:p>
    <w:p w14:paraId="53B59783" w14:textId="77777777" w:rsidR="008A1C97" w:rsidRDefault="005F1CA7">
      <w:pPr>
        <w:pBdr>
          <w:top w:val="nil"/>
          <w:left w:val="nil"/>
          <w:bottom w:val="nil"/>
          <w:right w:val="nil"/>
          <w:between w:val="nil"/>
        </w:pBdr>
        <w:jc w:val="both"/>
        <w:rPr>
          <w:color w:val="000000"/>
          <w:sz w:val="22"/>
          <w:szCs w:val="22"/>
        </w:rPr>
      </w:pPr>
      <w:r>
        <w:rPr>
          <w:color w:val="000000"/>
          <w:sz w:val="22"/>
          <w:szCs w:val="22"/>
        </w:rPr>
        <w:t xml:space="preserve">Dada, en la Sala de Sesiones del Concejo Metropolitano de Quito, </w:t>
      </w:r>
      <w:proofErr w:type="gramStart"/>
      <w:r>
        <w:rPr>
          <w:color w:val="000000"/>
          <w:sz w:val="22"/>
          <w:szCs w:val="22"/>
        </w:rPr>
        <w:t>el.…</w:t>
      </w:r>
      <w:proofErr w:type="gramEnd"/>
      <w:r>
        <w:rPr>
          <w:color w:val="000000"/>
          <w:sz w:val="22"/>
          <w:szCs w:val="22"/>
        </w:rPr>
        <w:t>… de …………. del 2022.</w:t>
      </w:r>
    </w:p>
    <w:p w14:paraId="78824F28" w14:textId="77777777" w:rsidR="008A1C97" w:rsidRDefault="008A1C97">
      <w:pPr>
        <w:pBdr>
          <w:top w:val="nil"/>
          <w:left w:val="nil"/>
          <w:bottom w:val="nil"/>
          <w:right w:val="nil"/>
          <w:between w:val="nil"/>
        </w:pBdr>
        <w:jc w:val="both"/>
        <w:rPr>
          <w:color w:val="000000"/>
          <w:sz w:val="22"/>
          <w:szCs w:val="22"/>
        </w:rPr>
      </w:pPr>
    </w:p>
    <w:p w14:paraId="3A23B82E" w14:textId="77777777" w:rsidR="008A1C97" w:rsidRDefault="008A1C97">
      <w:pPr>
        <w:pBdr>
          <w:top w:val="nil"/>
          <w:left w:val="nil"/>
          <w:bottom w:val="nil"/>
          <w:right w:val="nil"/>
          <w:between w:val="nil"/>
        </w:pBdr>
        <w:jc w:val="both"/>
        <w:rPr>
          <w:rFonts w:ascii="Calibri" w:eastAsia="Calibri" w:hAnsi="Calibri" w:cs="Calibri"/>
          <w:color w:val="000000"/>
          <w:sz w:val="22"/>
          <w:szCs w:val="22"/>
        </w:rPr>
      </w:pPr>
    </w:p>
    <w:p w14:paraId="075D7FED" w14:textId="77777777" w:rsidR="008A1C97" w:rsidRDefault="008A1C97">
      <w:pPr>
        <w:pBdr>
          <w:top w:val="nil"/>
          <w:left w:val="nil"/>
          <w:bottom w:val="nil"/>
          <w:right w:val="nil"/>
          <w:between w:val="nil"/>
        </w:pBdr>
        <w:jc w:val="both"/>
        <w:rPr>
          <w:color w:val="000000"/>
          <w:sz w:val="22"/>
          <w:szCs w:val="22"/>
        </w:rPr>
      </w:pPr>
    </w:p>
    <w:p w14:paraId="290157F4" w14:textId="77777777" w:rsidR="008A1C97" w:rsidRDefault="008A1C97">
      <w:pPr>
        <w:pBdr>
          <w:top w:val="nil"/>
          <w:left w:val="nil"/>
          <w:bottom w:val="nil"/>
          <w:right w:val="nil"/>
          <w:between w:val="nil"/>
        </w:pBdr>
        <w:jc w:val="both"/>
        <w:rPr>
          <w:color w:val="000000"/>
          <w:sz w:val="22"/>
          <w:szCs w:val="22"/>
        </w:rPr>
      </w:pPr>
    </w:p>
    <w:p w14:paraId="3397EF9A" w14:textId="77777777" w:rsidR="008A1C97" w:rsidRDefault="005F1CA7">
      <w:pPr>
        <w:pBdr>
          <w:top w:val="nil"/>
          <w:left w:val="nil"/>
          <w:bottom w:val="nil"/>
          <w:right w:val="nil"/>
          <w:between w:val="nil"/>
        </w:pBdr>
        <w:jc w:val="center"/>
        <w:rPr>
          <w:color w:val="000000"/>
          <w:sz w:val="22"/>
          <w:szCs w:val="22"/>
        </w:rPr>
      </w:pPr>
      <w:r>
        <w:rPr>
          <w:color w:val="000000"/>
          <w:sz w:val="22"/>
          <w:szCs w:val="22"/>
        </w:rPr>
        <w:t>Abg. Pablo Antonio Santillán Paredes</w:t>
      </w:r>
    </w:p>
    <w:p w14:paraId="66CFB71E" w14:textId="77777777" w:rsidR="008A1C97" w:rsidRDefault="005F1CA7">
      <w:pPr>
        <w:pBdr>
          <w:top w:val="nil"/>
          <w:left w:val="nil"/>
          <w:bottom w:val="nil"/>
          <w:right w:val="nil"/>
          <w:between w:val="nil"/>
        </w:pBdr>
        <w:jc w:val="center"/>
        <w:rPr>
          <w:b/>
          <w:color w:val="000000"/>
          <w:sz w:val="22"/>
          <w:szCs w:val="22"/>
        </w:rPr>
      </w:pPr>
      <w:r>
        <w:rPr>
          <w:b/>
          <w:color w:val="000000"/>
          <w:sz w:val="22"/>
          <w:szCs w:val="22"/>
        </w:rPr>
        <w:t>SECRETARIO GENERAL DEL CONCEJO METROPOLITANO DE QUITO</w:t>
      </w:r>
    </w:p>
    <w:p w14:paraId="49B0E160" w14:textId="77777777" w:rsidR="008A1C97" w:rsidRDefault="008A1C97">
      <w:pPr>
        <w:pBdr>
          <w:top w:val="nil"/>
          <w:left w:val="nil"/>
          <w:bottom w:val="nil"/>
          <w:right w:val="nil"/>
          <w:between w:val="nil"/>
        </w:pBdr>
        <w:jc w:val="both"/>
        <w:rPr>
          <w:color w:val="000000"/>
          <w:sz w:val="22"/>
          <w:szCs w:val="22"/>
        </w:rPr>
      </w:pPr>
    </w:p>
    <w:p w14:paraId="21C2F3CC" w14:textId="77777777" w:rsidR="008A1C97" w:rsidRDefault="005F1CA7">
      <w:pPr>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Pr>
          <w:b/>
          <w:color w:val="000000"/>
          <w:sz w:val="22"/>
          <w:szCs w:val="22"/>
        </w:rPr>
        <w:t>CERTIFICADO DE DISCUSIÓN</w:t>
      </w:r>
    </w:p>
    <w:p w14:paraId="4F0F9D5E" w14:textId="77777777" w:rsidR="008A1C97" w:rsidRDefault="008A1C97">
      <w:pPr>
        <w:pBdr>
          <w:top w:val="nil"/>
          <w:left w:val="nil"/>
          <w:bottom w:val="nil"/>
          <w:right w:val="nil"/>
          <w:between w:val="nil"/>
        </w:pBdr>
        <w:jc w:val="both"/>
        <w:rPr>
          <w:color w:val="000000"/>
          <w:sz w:val="22"/>
          <w:szCs w:val="22"/>
        </w:rPr>
      </w:pPr>
    </w:p>
    <w:p w14:paraId="25150B32" w14:textId="77777777" w:rsidR="008A1C97" w:rsidRDefault="005F1CA7">
      <w:pPr>
        <w:pBdr>
          <w:top w:val="nil"/>
          <w:left w:val="nil"/>
          <w:bottom w:val="nil"/>
          <w:right w:val="nil"/>
          <w:between w:val="nil"/>
        </w:pBdr>
        <w:jc w:val="both"/>
        <w:rPr>
          <w:color w:val="000000"/>
          <w:sz w:val="22"/>
          <w:szCs w:val="22"/>
        </w:rPr>
      </w:pPr>
      <w:r>
        <w:rPr>
          <w:color w:val="000000"/>
          <w:sz w:val="22"/>
          <w:szCs w:val="22"/>
        </w:rPr>
        <w:t>La infrascrita Secretaria General del Concejo Metropolitano de Quito, certifica que la presente ordenanza fue discutida y aprobada en dos debates, en sesiones de</w:t>
      </w:r>
      <w:proofErr w:type="gramStart"/>
      <w:r>
        <w:rPr>
          <w:color w:val="000000"/>
          <w:sz w:val="22"/>
          <w:szCs w:val="22"/>
        </w:rPr>
        <w:t xml:space="preserve"> ….</w:t>
      </w:r>
      <w:proofErr w:type="gramEnd"/>
      <w:r>
        <w:rPr>
          <w:color w:val="000000"/>
          <w:sz w:val="22"/>
          <w:szCs w:val="22"/>
        </w:rPr>
        <w:t>.de ……..  y</w:t>
      </w:r>
      <w:proofErr w:type="gramStart"/>
      <w:r>
        <w:rPr>
          <w:color w:val="000000"/>
          <w:sz w:val="22"/>
          <w:szCs w:val="22"/>
        </w:rPr>
        <w:t xml:space="preserve"> ….</w:t>
      </w:r>
      <w:proofErr w:type="gramEnd"/>
      <w:r>
        <w:rPr>
          <w:color w:val="000000"/>
          <w:sz w:val="22"/>
          <w:szCs w:val="22"/>
        </w:rPr>
        <w:t>. de …………. de 2022- Quito,</w:t>
      </w:r>
    </w:p>
    <w:p w14:paraId="335B5428" w14:textId="77777777" w:rsidR="008A1C97" w:rsidRDefault="008A1C97">
      <w:pPr>
        <w:pBdr>
          <w:top w:val="nil"/>
          <w:left w:val="nil"/>
          <w:bottom w:val="nil"/>
          <w:right w:val="nil"/>
          <w:between w:val="nil"/>
        </w:pBdr>
        <w:jc w:val="both"/>
        <w:rPr>
          <w:color w:val="000000"/>
          <w:sz w:val="22"/>
          <w:szCs w:val="22"/>
        </w:rPr>
      </w:pPr>
    </w:p>
    <w:p w14:paraId="51B857F3" w14:textId="77777777" w:rsidR="008A1C97" w:rsidRDefault="008A1C97">
      <w:pPr>
        <w:pBdr>
          <w:top w:val="nil"/>
          <w:left w:val="nil"/>
          <w:bottom w:val="nil"/>
          <w:right w:val="nil"/>
          <w:between w:val="nil"/>
        </w:pBdr>
        <w:jc w:val="both"/>
        <w:rPr>
          <w:color w:val="000000"/>
          <w:sz w:val="22"/>
          <w:szCs w:val="22"/>
        </w:rPr>
      </w:pPr>
    </w:p>
    <w:p w14:paraId="2812E1D1" w14:textId="77777777" w:rsidR="008A1C97" w:rsidRDefault="008A1C97">
      <w:pPr>
        <w:pBdr>
          <w:top w:val="nil"/>
          <w:left w:val="nil"/>
          <w:bottom w:val="nil"/>
          <w:right w:val="nil"/>
          <w:between w:val="nil"/>
        </w:pBdr>
        <w:jc w:val="center"/>
        <w:rPr>
          <w:color w:val="000000"/>
          <w:sz w:val="22"/>
          <w:szCs w:val="22"/>
        </w:rPr>
      </w:pPr>
    </w:p>
    <w:p w14:paraId="776DCEE9" w14:textId="77777777" w:rsidR="008A1C97" w:rsidRDefault="008A1C97">
      <w:pPr>
        <w:pBdr>
          <w:top w:val="nil"/>
          <w:left w:val="nil"/>
          <w:bottom w:val="nil"/>
          <w:right w:val="nil"/>
          <w:between w:val="nil"/>
        </w:pBdr>
        <w:jc w:val="center"/>
        <w:rPr>
          <w:color w:val="000000"/>
          <w:sz w:val="22"/>
          <w:szCs w:val="22"/>
        </w:rPr>
      </w:pPr>
    </w:p>
    <w:p w14:paraId="4AA7C57E" w14:textId="77777777" w:rsidR="008A1C97" w:rsidRDefault="005F1CA7">
      <w:pPr>
        <w:pBdr>
          <w:top w:val="nil"/>
          <w:left w:val="nil"/>
          <w:bottom w:val="nil"/>
          <w:right w:val="nil"/>
          <w:between w:val="nil"/>
        </w:pBdr>
        <w:jc w:val="center"/>
        <w:rPr>
          <w:color w:val="000000"/>
          <w:sz w:val="22"/>
          <w:szCs w:val="22"/>
        </w:rPr>
      </w:pPr>
      <w:r>
        <w:rPr>
          <w:color w:val="000000"/>
          <w:sz w:val="22"/>
          <w:szCs w:val="22"/>
        </w:rPr>
        <w:t>Abg. Pablo Antonio Santillán Paredes</w:t>
      </w:r>
    </w:p>
    <w:p w14:paraId="21504E90" w14:textId="77777777" w:rsidR="008A1C97" w:rsidRDefault="005F1CA7">
      <w:pPr>
        <w:pBdr>
          <w:top w:val="nil"/>
          <w:left w:val="nil"/>
          <w:bottom w:val="nil"/>
          <w:right w:val="nil"/>
          <w:between w:val="nil"/>
        </w:pBdr>
        <w:jc w:val="center"/>
        <w:rPr>
          <w:b/>
          <w:color w:val="000000"/>
          <w:sz w:val="22"/>
          <w:szCs w:val="22"/>
        </w:rPr>
      </w:pPr>
      <w:r>
        <w:rPr>
          <w:b/>
          <w:color w:val="000000"/>
          <w:sz w:val="22"/>
          <w:szCs w:val="22"/>
        </w:rPr>
        <w:t>SECRETARIO GENERAL DEL CONCEJO METROPOLITANO DE QUITO</w:t>
      </w:r>
    </w:p>
    <w:p w14:paraId="20E2B159" w14:textId="77777777" w:rsidR="008A1C97" w:rsidRDefault="008A1C97">
      <w:pPr>
        <w:pBdr>
          <w:top w:val="nil"/>
          <w:left w:val="nil"/>
          <w:bottom w:val="nil"/>
          <w:right w:val="nil"/>
          <w:between w:val="nil"/>
        </w:pBdr>
        <w:jc w:val="both"/>
        <w:rPr>
          <w:color w:val="000000"/>
          <w:sz w:val="22"/>
          <w:szCs w:val="22"/>
        </w:rPr>
      </w:pPr>
    </w:p>
    <w:p w14:paraId="33BA5E4D" w14:textId="77777777" w:rsidR="008A1C97" w:rsidRDefault="005F1CA7">
      <w:pPr>
        <w:pBdr>
          <w:top w:val="nil"/>
          <w:left w:val="nil"/>
          <w:bottom w:val="nil"/>
          <w:right w:val="nil"/>
          <w:between w:val="nil"/>
        </w:pBdr>
        <w:jc w:val="both"/>
        <w:rPr>
          <w:color w:val="000000"/>
          <w:sz w:val="22"/>
          <w:szCs w:val="22"/>
        </w:rPr>
      </w:pPr>
      <w:r>
        <w:rPr>
          <w:b/>
          <w:color w:val="000000"/>
          <w:sz w:val="22"/>
          <w:szCs w:val="22"/>
        </w:rPr>
        <w:t>ALCALDÍA DEL DISTRITO METROPOLITANO. -</w:t>
      </w:r>
      <w:r>
        <w:rPr>
          <w:color w:val="000000"/>
          <w:sz w:val="22"/>
          <w:szCs w:val="22"/>
        </w:rPr>
        <w:t xml:space="preserve">  Distrito Metropolitano de Quito,</w:t>
      </w:r>
    </w:p>
    <w:p w14:paraId="0FC087F1" w14:textId="77777777" w:rsidR="008A1C97" w:rsidRDefault="008A1C97">
      <w:pPr>
        <w:pBdr>
          <w:top w:val="nil"/>
          <w:left w:val="nil"/>
          <w:bottom w:val="nil"/>
          <w:right w:val="nil"/>
          <w:between w:val="nil"/>
        </w:pBdr>
        <w:jc w:val="both"/>
        <w:rPr>
          <w:b/>
          <w:color w:val="000000"/>
          <w:sz w:val="22"/>
          <w:szCs w:val="22"/>
        </w:rPr>
      </w:pPr>
    </w:p>
    <w:p w14:paraId="682BE577" w14:textId="77777777" w:rsidR="008A1C97" w:rsidRDefault="005F1CA7">
      <w:pPr>
        <w:pBdr>
          <w:top w:val="nil"/>
          <w:left w:val="nil"/>
          <w:bottom w:val="nil"/>
          <w:right w:val="nil"/>
          <w:between w:val="nil"/>
        </w:pBdr>
        <w:jc w:val="center"/>
        <w:rPr>
          <w:b/>
          <w:color w:val="000000"/>
          <w:sz w:val="22"/>
          <w:szCs w:val="22"/>
        </w:rPr>
      </w:pPr>
      <w:r>
        <w:rPr>
          <w:b/>
          <w:color w:val="000000"/>
          <w:sz w:val="22"/>
          <w:szCs w:val="22"/>
        </w:rPr>
        <w:t>EJECÚTESE:</w:t>
      </w:r>
    </w:p>
    <w:p w14:paraId="770EF9EB" w14:textId="77777777" w:rsidR="008A1C97" w:rsidRDefault="008A1C97">
      <w:pPr>
        <w:pBdr>
          <w:top w:val="nil"/>
          <w:left w:val="nil"/>
          <w:bottom w:val="nil"/>
          <w:right w:val="nil"/>
          <w:between w:val="nil"/>
        </w:pBdr>
        <w:jc w:val="both"/>
        <w:rPr>
          <w:color w:val="000000"/>
          <w:sz w:val="22"/>
          <w:szCs w:val="22"/>
        </w:rPr>
      </w:pPr>
    </w:p>
    <w:p w14:paraId="14969799" w14:textId="77777777" w:rsidR="008A1C97" w:rsidRDefault="008A1C97">
      <w:pPr>
        <w:pBdr>
          <w:top w:val="nil"/>
          <w:left w:val="nil"/>
          <w:bottom w:val="nil"/>
          <w:right w:val="nil"/>
          <w:between w:val="nil"/>
        </w:pBdr>
        <w:jc w:val="both"/>
        <w:rPr>
          <w:color w:val="000000"/>
          <w:sz w:val="22"/>
          <w:szCs w:val="22"/>
        </w:rPr>
      </w:pPr>
    </w:p>
    <w:p w14:paraId="7042795C" w14:textId="77777777" w:rsidR="008A1C97" w:rsidRDefault="008A1C97">
      <w:pPr>
        <w:pBdr>
          <w:top w:val="nil"/>
          <w:left w:val="nil"/>
          <w:bottom w:val="nil"/>
          <w:right w:val="nil"/>
          <w:between w:val="nil"/>
        </w:pBdr>
        <w:jc w:val="both"/>
        <w:rPr>
          <w:color w:val="000000"/>
          <w:sz w:val="22"/>
          <w:szCs w:val="22"/>
        </w:rPr>
      </w:pPr>
    </w:p>
    <w:p w14:paraId="4136A1C7" w14:textId="77777777" w:rsidR="008A1C97" w:rsidRDefault="008A1C97">
      <w:pPr>
        <w:pBdr>
          <w:top w:val="nil"/>
          <w:left w:val="nil"/>
          <w:bottom w:val="nil"/>
          <w:right w:val="nil"/>
          <w:between w:val="nil"/>
        </w:pBdr>
        <w:jc w:val="both"/>
        <w:rPr>
          <w:color w:val="000000"/>
          <w:sz w:val="22"/>
          <w:szCs w:val="22"/>
        </w:rPr>
      </w:pPr>
    </w:p>
    <w:p w14:paraId="67E923BC" w14:textId="77777777" w:rsidR="008A1C97" w:rsidRDefault="005F1CA7">
      <w:pPr>
        <w:pBdr>
          <w:top w:val="nil"/>
          <w:left w:val="nil"/>
          <w:bottom w:val="nil"/>
          <w:right w:val="nil"/>
          <w:between w:val="nil"/>
        </w:pBdr>
        <w:jc w:val="center"/>
        <w:rPr>
          <w:b/>
          <w:color w:val="000000"/>
          <w:sz w:val="22"/>
          <w:szCs w:val="22"/>
        </w:rPr>
      </w:pPr>
      <w:r>
        <w:rPr>
          <w:color w:val="000000"/>
          <w:sz w:val="22"/>
          <w:szCs w:val="22"/>
        </w:rPr>
        <w:t>Dr. Santiago Mauricio Guarderas Izquierdo</w:t>
      </w:r>
      <w:r>
        <w:rPr>
          <w:b/>
          <w:color w:val="000000"/>
          <w:sz w:val="22"/>
          <w:szCs w:val="22"/>
        </w:rPr>
        <w:t xml:space="preserve"> </w:t>
      </w:r>
    </w:p>
    <w:p w14:paraId="760CD855" w14:textId="77777777" w:rsidR="008A1C97" w:rsidRDefault="005F1CA7">
      <w:pPr>
        <w:pBdr>
          <w:top w:val="nil"/>
          <w:left w:val="nil"/>
          <w:bottom w:val="nil"/>
          <w:right w:val="nil"/>
          <w:between w:val="nil"/>
        </w:pBdr>
        <w:jc w:val="center"/>
        <w:rPr>
          <w:b/>
          <w:color w:val="000000"/>
          <w:sz w:val="22"/>
          <w:szCs w:val="22"/>
        </w:rPr>
      </w:pPr>
      <w:r>
        <w:rPr>
          <w:b/>
          <w:color w:val="000000"/>
          <w:sz w:val="22"/>
          <w:szCs w:val="22"/>
        </w:rPr>
        <w:t>ALCALDE DEL DISTRITO METROPOLITANO DE QUITO</w:t>
      </w:r>
    </w:p>
    <w:p w14:paraId="65D42A70" w14:textId="77777777" w:rsidR="008A1C97" w:rsidRDefault="008A1C97">
      <w:pPr>
        <w:pBdr>
          <w:top w:val="nil"/>
          <w:left w:val="nil"/>
          <w:bottom w:val="nil"/>
          <w:right w:val="nil"/>
          <w:between w:val="nil"/>
        </w:pBdr>
        <w:jc w:val="both"/>
        <w:rPr>
          <w:color w:val="000000"/>
          <w:sz w:val="22"/>
          <w:szCs w:val="22"/>
        </w:rPr>
      </w:pPr>
    </w:p>
    <w:p w14:paraId="176D0ABE" w14:textId="77777777" w:rsidR="008A1C97" w:rsidRDefault="008A1C97">
      <w:pPr>
        <w:pBdr>
          <w:top w:val="nil"/>
          <w:left w:val="nil"/>
          <w:bottom w:val="nil"/>
          <w:right w:val="nil"/>
          <w:between w:val="nil"/>
        </w:pBdr>
        <w:jc w:val="both"/>
        <w:rPr>
          <w:color w:val="000000"/>
          <w:sz w:val="22"/>
          <w:szCs w:val="22"/>
        </w:rPr>
      </w:pPr>
    </w:p>
    <w:p w14:paraId="4D41DEC2" w14:textId="77777777" w:rsidR="008A1C97" w:rsidRDefault="005F1CA7">
      <w:pPr>
        <w:pBdr>
          <w:top w:val="nil"/>
          <w:left w:val="nil"/>
          <w:bottom w:val="nil"/>
          <w:right w:val="nil"/>
          <w:between w:val="nil"/>
        </w:pBdr>
        <w:jc w:val="center"/>
        <w:rPr>
          <w:color w:val="000000"/>
          <w:sz w:val="22"/>
          <w:szCs w:val="22"/>
        </w:rPr>
      </w:pPr>
      <w:r>
        <w:rPr>
          <w:b/>
          <w:color w:val="000000"/>
          <w:sz w:val="22"/>
          <w:szCs w:val="22"/>
        </w:rPr>
        <w:t>CERTIFICO,</w:t>
      </w:r>
      <w:r>
        <w:rPr>
          <w:color w:val="000000"/>
          <w:sz w:val="22"/>
          <w:szCs w:val="22"/>
        </w:rPr>
        <w:t xml:space="preserve"> que la presente ordenanza fue sancionada por el Dr. Santiago Mauricio Guarderas Izquierdo, Alcalde del Distrito Metropolitano de Quito, el</w:t>
      </w:r>
    </w:p>
    <w:p w14:paraId="4E270DFA" w14:textId="069E4B82" w:rsidR="008A1C97" w:rsidRPr="004731A0" w:rsidRDefault="005F1CA7" w:rsidP="004731A0">
      <w:pPr>
        <w:pBdr>
          <w:top w:val="nil"/>
          <w:left w:val="nil"/>
          <w:bottom w:val="nil"/>
          <w:right w:val="nil"/>
          <w:between w:val="nil"/>
        </w:pBdr>
        <w:jc w:val="center"/>
        <w:rPr>
          <w:color w:val="000000"/>
          <w:sz w:val="22"/>
          <w:szCs w:val="22"/>
        </w:rPr>
      </w:pPr>
      <w:proofErr w:type="gramStart"/>
      <w:r>
        <w:rPr>
          <w:color w:val="000000"/>
          <w:sz w:val="22"/>
          <w:szCs w:val="22"/>
        </w:rPr>
        <w:t>.-</w:t>
      </w:r>
      <w:proofErr w:type="gramEnd"/>
      <w:r>
        <w:rPr>
          <w:color w:val="000000"/>
          <w:sz w:val="22"/>
          <w:szCs w:val="22"/>
        </w:rPr>
        <w:t xml:space="preserve"> Distrito Metropolitano de Quito</w:t>
      </w:r>
      <w:r w:rsidR="004731A0">
        <w:rPr>
          <w:color w:val="000000"/>
          <w:sz w:val="22"/>
          <w:szCs w:val="22"/>
        </w:rPr>
        <w:t>.</w:t>
      </w:r>
    </w:p>
    <w:sectPr w:rsidR="008A1C97" w:rsidRPr="004731A0">
      <w:headerReference w:type="even" r:id="rId8"/>
      <w:headerReference w:type="default" r:id="rId9"/>
      <w:footerReference w:type="even" r:id="rId10"/>
      <w:footerReference w:type="default" r:id="rId11"/>
      <w:headerReference w:type="first" r:id="rId12"/>
      <w:footerReference w:type="first" r:id="rId13"/>
      <w:pgSz w:w="11906" w:h="16838"/>
      <w:pgMar w:top="3402" w:right="1418" w:bottom="1134" w:left="1701" w:header="709" w:footer="295"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CD768" w14:textId="77777777" w:rsidR="00E668A5" w:rsidRDefault="00E668A5">
      <w:r>
        <w:separator/>
      </w:r>
    </w:p>
  </w:endnote>
  <w:endnote w:type="continuationSeparator" w:id="0">
    <w:p w14:paraId="059B05A0" w14:textId="77777777" w:rsidR="00E668A5" w:rsidRDefault="00E6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58A2" w14:textId="77777777" w:rsidR="008A1C97" w:rsidRDefault="008A1C9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3CFE7" w14:textId="17D1D981" w:rsidR="008A1C97" w:rsidRDefault="005F1CA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ED5214">
      <w:rPr>
        <w:b/>
        <w:noProof/>
        <w:color w:val="000000"/>
        <w:sz w:val="22"/>
        <w:szCs w:val="22"/>
      </w:rPr>
      <w:t>6</w:t>
    </w:r>
    <w:r>
      <w:rPr>
        <w:b/>
        <w:color w:val="000000"/>
        <w:sz w:val="22"/>
        <w:szCs w:val="22"/>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D5214">
      <w:rPr>
        <w:b/>
        <w:noProof/>
        <w:color w:val="000000"/>
        <w:sz w:val="24"/>
        <w:szCs w:val="24"/>
      </w:rPr>
      <w:t>6</w:t>
    </w:r>
    <w:r>
      <w:rPr>
        <w:b/>
        <w:color w:val="000000"/>
        <w:sz w:val="24"/>
        <w:szCs w:val="24"/>
      </w:rPr>
      <w:fldChar w:fldCharType="end"/>
    </w:r>
  </w:p>
  <w:p w14:paraId="11CBA690" w14:textId="77777777" w:rsidR="008A1C97" w:rsidRDefault="008A1C9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2AC8" w14:textId="1256D96D" w:rsidR="008A1C97" w:rsidRDefault="005F1CA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D521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ED5214">
      <w:rPr>
        <w:b/>
        <w:noProof/>
        <w:color w:val="000000"/>
        <w:sz w:val="24"/>
        <w:szCs w:val="24"/>
      </w:rPr>
      <w:t>6</w:t>
    </w:r>
    <w:r>
      <w:rPr>
        <w:b/>
        <w:color w:val="000000"/>
        <w:sz w:val="24"/>
        <w:szCs w:val="24"/>
      </w:rPr>
      <w:fldChar w:fldCharType="end"/>
    </w:r>
  </w:p>
  <w:p w14:paraId="7A370236" w14:textId="77777777" w:rsidR="008A1C97" w:rsidRDefault="008A1C97">
    <w:pPr>
      <w:pBdr>
        <w:top w:val="nil"/>
        <w:left w:val="nil"/>
        <w:bottom w:val="nil"/>
        <w:right w:val="nil"/>
        <w:between w:val="nil"/>
      </w:pBdr>
      <w:tabs>
        <w:tab w:val="center" w:pos="4419"/>
        <w:tab w:val="right" w:pos="8838"/>
      </w:tabs>
      <w:rPr>
        <w:color w:val="000000"/>
      </w:rPr>
    </w:pPr>
  </w:p>
  <w:p w14:paraId="2B5CBD5E" w14:textId="77777777" w:rsidR="008A1C97" w:rsidRDefault="008A1C9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6B80B" w14:textId="77777777" w:rsidR="00E668A5" w:rsidRDefault="00E668A5">
      <w:r>
        <w:separator/>
      </w:r>
    </w:p>
  </w:footnote>
  <w:footnote w:type="continuationSeparator" w:id="0">
    <w:p w14:paraId="40256FE0" w14:textId="77777777" w:rsidR="00E668A5" w:rsidRDefault="00E668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0EA07" w14:textId="77777777" w:rsidR="008A1C97" w:rsidRDefault="00E668A5">
    <w:pPr>
      <w:pBdr>
        <w:top w:val="nil"/>
        <w:left w:val="nil"/>
        <w:bottom w:val="nil"/>
        <w:right w:val="nil"/>
        <w:between w:val="nil"/>
      </w:pBdr>
      <w:tabs>
        <w:tab w:val="center" w:pos="4252"/>
        <w:tab w:val="right" w:pos="8504"/>
      </w:tabs>
      <w:rPr>
        <w:color w:val="000000"/>
      </w:rPr>
    </w:pPr>
    <w:r>
      <w:rPr>
        <w:color w:val="000000"/>
      </w:rPr>
      <w:pict w14:anchorId="532AB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58579" o:spid="_x0000_s2049" type="#_x0000_t136" style="position:absolute;margin-left:0;margin-top:0;width:590.4pt;height:28.8pt;rotation:315;z-index:-251657728;visibility:visible;mso-position-horizontal:center;mso-position-horizontal-relative:margin;mso-position-vertical:center;mso-position-vertical-relative:margin" o:allowincell="f" fillcolor="silver" stroked="f">
          <v:fill opacity=".5"/>
          <v:textpath style="font-family:&quot;&amp;quot&quot;;font-size:1pt" string="PROYECTO DE ORDENANZA ACEPTADA EN CO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D7B4" w14:textId="77777777" w:rsidR="008A1C97" w:rsidRDefault="00E668A5">
    <w:pPr>
      <w:pBdr>
        <w:top w:val="nil"/>
        <w:left w:val="nil"/>
        <w:bottom w:val="nil"/>
        <w:right w:val="nil"/>
        <w:between w:val="nil"/>
      </w:pBdr>
      <w:rPr>
        <w:rFonts w:ascii="Palatino Linotype" w:eastAsia="Palatino Linotype" w:hAnsi="Palatino Linotype" w:cs="Palatino Linotype"/>
        <w:b/>
        <w:color w:val="000000"/>
        <w:sz w:val="22"/>
        <w:szCs w:val="22"/>
      </w:rPr>
    </w:pPr>
    <w:r>
      <w:rPr>
        <w:rFonts w:ascii="Calibri" w:eastAsia="Calibri" w:hAnsi="Calibri" w:cs="Calibri"/>
        <w:b/>
        <w:color w:val="000000"/>
        <w:sz w:val="24"/>
        <w:szCs w:val="24"/>
      </w:rPr>
      <w:pict w14:anchorId="27DA0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58580" o:spid="_x0000_s2051" type="#_x0000_t136" style="position:absolute;margin-left:0;margin-top:0;width:590.4pt;height:28.8pt;rotation:315;z-index:-251659776;visibility:visible;mso-position-horizontal:center;mso-position-horizontal-relative:margin;mso-position-vertical:center;mso-position-vertical-relative:margin" o:allowincell="f" fillcolor="silver" stroked="f">
          <v:fill opacity=".5"/>
          <v:textpath style="font-family:&quot;&amp;quot&quot;;font-size:1pt" string="PROYECTO DE ORDENANZA ACEPTADA EN COT"/>
          <w10:wrap anchorx="margin" anchory="margin"/>
        </v:shape>
      </w:pict>
    </w:r>
  </w:p>
  <w:p w14:paraId="5F78DD12"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3AC5DCB9"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53B16F3C" w14:textId="77777777" w:rsidR="008A1C97" w:rsidRDefault="008A1C97">
    <w:pPr>
      <w:pStyle w:val="Ttulo"/>
    </w:pPr>
  </w:p>
  <w:p w14:paraId="59053C51" w14:textId="77777777" w:rsidR="008A1C97" w:rsidRDefault="008A1C97"/>
  <w:p w14:paraId="38E7E25E" w14:textId="77777777" w:rsidR="008A1C97" w:rsidRDefault="005F1CA7">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AF51"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69C39608"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0F5FA86C" w14:textId="77777777" w:rsidR="008A1C97" w:rsidRDefault="008A1C97">
    <w:pPr>
      <w:pStyle w:val="Ttulo"/>
    </w:pPr>
  </w:p>
  <w:p w14:paraId="63CCDFD8" w14:textId="77777777" w:rsidR="008A1C97" w:rsidRDefault="008A1C97">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45B44C8B" w14:textId="77777777" w:rsidR="008A1C97" w:rsidRDefault="005F1CA7">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14:paraId="30E939A1" w14:textId="77777777" w:rsidR="008A1C97" w:rsidRDefault="00E668A5">
    <w:pPr>
      <w:pBdr>
        <w:top w:val="nil"/>
        <w:left w:val="nil"/>
        <w:bottom w:val="nil"/>
        <w:right w:val="nil"/>
        <w:between w:val="nil"/>
      </w:pBdr>
      <w:tabs>
        <w:tab w:val="center" w:pos="4252"/>
        <w:tab w:val="right" w:pos="8504"/>
      </w:tabs>
      <w:rPr>
        <w:color w:val="000000"/>
      </w:rPr>
    </w:pPr>
    <w:r>
      <w:rPr>
        <w:color w:val="000000"/>
      </w:rPr>
      <w:pict w14:anchorId="7353A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058578" o:spid="_x0000_s2050" type="#_x0000_t136" style="position:absolute;margin-left:0;margin-top:0;width:590.4pt;height:28.8pt;rotation:315;z-index:-251658752;visibility:visible;mso-position-horizontal:center;mso-position-horizontal-relative:margin;mso-position-vertical:center;mso-position-vertical-relative:margin" o:allowincell="f" fillcolor="silver" stroked="f">
          <v:fill opacity=".5"/>
          <v:textpath style="font-family:&quot;&amp;quot&quot;;font-size:1pt" string="PROYECTO DE ORDENANZA ACEPTADA EN CO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1"/>
  <w:activeWritingStyle w:appName="MSWord" w:lang="es-ES" w:vendorID="64" w:dllVersion="0"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97"/>
    <w:rsid w:val="0005176A"/>
    <w:rsid w:val="00063F81"/>
    <w:rsid w:val="000B734D"/>
    <w:rsid w:val="001877F6"/>
    <w:rsid w:val="001F4C1D"/>
    <w:rsid w:val="00316652"/>
    <w:rsid w:val="003C312E"/>
    <w:rsid w:val="003E7EA4"/>
    <w:rsid w:val="00472686"/>
    <w:rsid w:val="004731A0"/>
    <w:rsid w:val="005F1CA7"/>
    <w:rsid w:val="006138EB"/>
    <w:rsid w:val="00631743"/>
    <w:rsid w:val="006C5ADB"/>
    <w:rsid w:val="006D2E97"/>
    <w:rsid w:val="006F40A8"/>
    <w:rsid w:val="007424BC"/>
    <w:rsid w:val="007B4966"/>
    <w:rsid w:val="0086619C"/>
    <w:rsid w:val="0088486A"/>
    <w:rsid w:val="008952A0"/>
    <w:rsid w:val="008A1C97"/>
    <w:rsid w:val="008A60A7"/>
    <w:rsid w:val="009313B4"/>
    <w:rsid w:val="009859E3"/>
    <w:rsid w:val="00986900"/>
    <w:rsid w:val="009A385E"/>
    <w:rsid w:val="00A052F8"/>
    <w:rsid w:val="00A116A8"/>
    <w:rsid w:val="00B133E1"/>
    <w:rsid w:val="00B22B61"/>
    <w:rsid w:val="00B55301"/>
    <w:rsid w:val="00B57EE1"/>
    <w:rsid w:val="00C25C38"/>
    <w:rsid w:val="00C6691B"/>
    <w:rsid w:val="00D35543"/>
    <w:rsid w:val="00E6516E"/>
    <w:rsid w:val="00E668A5"/>
    <w:rsid w:val="00E96BEB"/>
    <w:rsid w:val="00ED33C2"/>
    <w:rsid w:val="00ED5214"/>
    <w:rsid w:val="00ED790D"/>
    <w:rsid w:val="00F168A3"/>
    <w:rsid w:val="00F36AC0"/>
    <w:rsid w:val="00F81D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0B9A37"/>
  <w15:docId w15:val="{0FD70768-0D13-4AE2-A0FA-D65F7EA8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aliases w:val="Párrafo de lista SUBCAPITULO,Párrafo de lista1,TIT 2 IND,Capítulo,lp1,Bullet 1,Use Case List Paragraph,Bullet List,FooterText,numbered,Paragraphe de liste1,List Paragraph,Colorful List - Accent 11,Titulo 1"/>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aliases w:val="Párrafo de lista SUBCAPITULO Car,Párrafo de lista1 Car,TIT 2 IND Car,Capítulo Car,lp1 Car,Bullet 1 Car,Use Case List Paragraph Car,Bullet List Car,FooterText Car,numbered Car,Paragraphe de liste1 Car,List Paragraph Car,Titulo 1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character" w:customStyle="1" w:styleId="apple-tab-span">
    <w:name w:val="apple-tab-span"/>
    <w:basedOn w:val="Fuentedeprrafopredeter"/>
    <w:rsid w:val="008C4974"/>
  </w:style>
  <w:style w:type="character" w:customStyle="1" w:styleId="markedcontent">
    <w:name w:val="markedcontent"/>
    <w:basedOn w:val="Fuentedeprrafopredeter"/>
    <w:rsid w:val="005E63A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0PNoCY/aEk3E9uh5cS/P0GsGaQ==">AMUW2mWspCQzf5xrxztD0qC9q5e8wKSRYdrLH/xFbHPk6OesqjCdQqgpl0dOzvTwoIwyKPgBSF/+s50lsDa01jTaQn5yAaECO4LgyShUbWD9gZdUJeFOtrdJU+9sO/r4JIPinavjTKpU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FD71C0-5701-40E1-8A3A-DDE217CD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6</Pages>
  <Words>2453</Words>
  <Characters>13495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Andres Albuja Espinosa</dc:creator>
  <cp:lastModifiedBy>Glenda Alexandra Allan Alegria</cp:lastModifiedBy>
  <cp:revision>13</cp:revision>
  <cp:lastPrinted>2022-09-15T22:39:00Z</cp:lastPrinted>
  <dcterms:created xsi:type="dcterms:W3CDTF">2022-09-05T22:10:00Z</dcterms:created>
  <dcterms:modified xsi:type="dcterms:W3CDTF">2022-10-11T17:37:00Z</dcterms:modified>
</cp:coreProperties>
</file>