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6A0" w:rsidRPr="00EA337F" w:rsidRDefault="00C926A0" w:rsidP="00C926A0">
      <w:pPr>
        <w:autoSpaceDE w:val="0"/>
        <w:autoSpaceDN w:val="0"/>
        <w:adjustRightInd w:val="0"/>
        <w:spacing w:line="276" w:lineRule="auto"/>
        <w:jc w:val="center"/>
        <w:rPr>
          <w:rFonts w:ascii="Palatino Linotype" w:eastAsiaTheme="minorHAnsi" w:hAnsi="Palatino Linotype"/>
          <w:b/>
          <w:sz w:val="22"/>
          <w:szCs w:val="22"/>
          <w:lang w:eastAsia="en-US"/>
        </w:rPr>
      </w:pPr>
      <w:r w:rsidRPr="00EA337F">
        <w:rPr>
          <w:rFonts w:ascii="Palatino Linotype" w:eastAsiaTheme="minorHAnsi" w:hAnsi="Palatino Linotype"/>
          <w:b/>
          <w:sz w:val="22"/>
          <w:szCs w:val="22"/>
          <w:lang w:eastAsia="en-US"/>
        </w:rPr>
        <w:t>EL CONCEJO METROPOLITANO DE QUITO</w:t>
      </w:r>
    </w:p>
    <w:p w:rsidR="00C926A0" w:rsidRPr="00EA337F" w:rsidRDefault="00C926A0" w:rsidP="00C926A0">
      <w:pPr>
        <w:autoSpaceDE w:val="0"/>
        <w:autoSpaceDN w:val="0"/>
        <w:adjustRightInd w:val="0"/>
        <w:spacing w:line="276" w:lineRule="auto"/>
        <w:jc w:val="center"/>
        <w:rPr>
          <w:rFonts w:ascii="Palatino Linotype" w:eastAsiaTheme="minorHAnsi" w:hAnsi="Palatino Linotype"/>
          <w:b/>
          <w:sz w:val="22"/>
          <w:szCs w:val="22"/>
          <w:lang w:eastAsia="en-US"/>
        </w:rPr>
      </w:pPr>
    </w:p>
    <w:p w:rsidR="00C926A0" w:rsidRPr="00EA337F" w:rsidRDefault="00C926A0" w:rsidP="00C926A0">
      <w:pPr>
        <w:autoSpaceDE w:val="0"/>
        <w:autoSpaceDN w:val="0"/>
        <w:adjustRightInd w:val="0"/>
        <w:spacing w:line="276" w:lineRule="auto"/>
        <w:jc w:val="center"/>
        <w:rPr>
          <w:rFonts w:ascii="Palatino Linotype" w:eastAsiaTheme="minorHAnsi" w:hAnsi="Palatino Linotype"/>
          <w:b/>
          <w:sz w:val="22"/>
          <w:szCs w:val="22"/>
          <w:lang w:eastAsia="en-US"/>
        </w:rPr>
      </w:pPr>
      <w:r w:rsidRPr="00EA337F">
        <w:rPr>
          <w:rFonts w:ascii="Palatino Linotype" w:eastAsiaTheme="minorHAnsi" w:hAnsi="Palatino Linotype"/>
          <w:b/>
          <w:sz w:val="22"/>
          <w:szCs w:val="22"/>
          <w:lang w:eastAsia="en-US"/>
        </w:rPr>
        <w:t>CONSIDERANDO:</w:t>
      </w:r>
    </w:p>
    <w:p w:rsidR="00C926A0" w:rsidRPr="00EA337F" w:rsidRDefault="00C926A0" w:rsidP="00C926A0">
      <w:pPr>
        <w:autoSpaceDE w:val="0"/>
        <w:autoSpaceDN w:val="0"/>
        <w:adjustRightInd w:val="0"/>
        <w:ind w:left="705" w:hanging="705"/>
        <w:jc w:val="both"/>
        <w:rPr>
          <w:rFonts w:ascii="Palatino Linotype" w:eastAsiaTheme="minorHAnsi" w:hAnsi="Palatino Linotype"/>
          <w:i/>
          <w:iCs/>
          <w:sz w:val="22"/>
          <w:szCs w:val="22"/>
          <w:lang w:eastAsia="en-US"/>
        </w:rPr>
      </w:pPr>
      <w:r w:rsidRPr="00EA337F">
        <w:rPr>
          <w:rFonts w:ascii="Palatino Linotype" w:eastAsiaTheme="minorHAnsi" w:hAnsi="Palatino Linotype"/>
          <w:b/>
          <w:bCs/>
          <w:sz w:val="22"/>
          <w:szCs w:val="22"/>
          <w:lang w:eastAsia="en-US"/>
        </w:rPr>
        <w:t>Que</w:t>
      </w:r>
      <w:r w:rsidRPr="00EA337F">
        <w:rPr>
          <w:rFonts w:ascii="Palatino Linotype" w:eastAsiaTheme="minorHAnsi" w:hAnsi="Palatino Linotype"/>
          <w:sz w:val="22"/>
          <w:szCs w:val="22"/>
          <w:lang w:eastAsia="en-US"/>
        </w:rPr>
        <w:t xml:space="preserve">, </w:t>
      </w:r>
      <w:r w:rsidRPr="00EA337F">
        <w:rPr>
          <w:rFonts w:ascii="Palatino Linotype" w:eastAsiaTheme="minorHAnsi" w:hAnsi="Palatino Linotype"/>
          <w:sz w:val="22"/>
          <w:szCs w:val="22"/>
          <w:lang w:eastAsia="en-US"/>
        </w:rPr>
        <w:tab/>
        <w:t xml:space="preserve"> el artículo 240 de la Constitución de República del Ecuador, en adelante Constitución, establece: “</w:t>
      </w:r>
      <w:r w:rsidRPr="00EA337F">
        <w:rPr>
          <w:rFonts w:ascii="Palatino Linotype" w:eastAsiaTheme="minorHAnsi" w:hAnsi="Palatino Linotype"/>
          <w:i/>
          <w:iCs/>
          <w:sz w:val="22"/>
          <w:szCs w:val="22"/>
          <w:lang w:eastAsia="en-US"/>
        </w:rPr>
        <w:t>Los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EA337F">
        <w:rPr>
          <w:rFonts w:ascii="Palatino Linotype" w:eastAsiaTheme="minorHAnsi" w:hAnsi="Palatino Linotype"/>
          <w:b/>
          <w:sz w:val="22"/>
          <w:szCs w:val="22"/>
          <w:lang w:eastAsia="en-US"/>
        </w:rPr>
        <w:t>Que,</w:t>
      </w:r>
      <w:r w:rsidRPr="00EA337F">
        <w:rPr>
          <w:rFonts w:ascii="Palatino Linotype" w:eastAsiaTheme="minorHAnsi" w:hAnsi="Palatino Linotype"/>
          <w:sz w:val="22"/>
          <w:szCs w:val="22"/>
          <w:lang w:eastAsia="en-US"/>
        </w:rPr>
        <w:t xml:space="preserve"> </w:t>
      </w:r>
      <w:r w:rsidRPr="00EA337F">
        <w:rPr>
          <w:rFonts w:ascii="Palatino Linotype" w:eastAsiaTheme="minorHAnsi" w:hAnsi="Palatino Linotype"/>
          <w:sz w:val="22"/>
          <w:szCs w:val="22"/>
          <w:lang w:eastAsia="en-US"/>
        </w:rPr>
        <w:tab/>
        <w:t xml:space="preserve">la Constitución de la República del Ecuador en su artículo 266, determina: </w:t>
      </w:r>
      <w:r w:rsidRPr="00EA337F">
        <w:rPr>
          <w:rFonts w:ascii="Palatino Linotype" w:eastAsiaTheme="minorHAnsi" w:hAnsi="Palatino Linotype"/>
          <w:i/>
          <w:sz w:val="22"/>
          <w:szCs w:val="22"/>
          <w:lang w:eastAsia="en-US"/>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EA337F">
        <w:rPr>
          <w:rFonts w:ascii="Palatino Linotype" w:eastAsiaTheme="minorHAnsi" w:hAnsi="Palatino Linotype"/>
          <w:sz w:val="22"/>
          <w:szCs w:val="22"/>
          <w:lang w:eastAsia="en-US"/>
        </w:rPr>
        <w:t>;</w:t>
      </w: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EA337F" w:rsidRDefault="00C926A0" w:rsidP="00C926A0">
      <w:pPr>
        <w:autoSpaceDE w:val="0"/>
        <w:autoSpaceDN w:val="0"/>
        <w:adjustRightInd w:val="0"/>
        <w:ind w:left="709" w:hanging="709"/>
        <w:jc w:val="both"/>
        <w:rPr>
          <w:rFonts w:ascii="Palatino Linotype" w:eastAsiaTheme="minorHAnsi" w:hAnsi="Palatino Linotype"/>
          <w:i/>
          <w:sz w:val="22"/>
          <w:szCs w:val="22"/>
          <w:lang w:eastAsia="en-US"/>
        </w:rPr>
      </w:pPr>
      <w:r w:rsidRPr="00EA337F">
        <w:rPr>
          <w:rFonts w:ascii="Palatino Linotype" w:eastAsiaTheme="minorHAnsi" w:hAnsi="Palatino Linotype"/>
          <w:b/>
          <w:bCs/>
          <w:sz w:val="22"/>
          <w:szCs w:val="22"/>
          <w:lang w:eastAsia="en-US"/>
        </w:rPr>
        <w:t>Que,</w:t>
      </w:r>
      <w:r w:rsidRPr="00EA337F">
        <w:rPr>
          <w:rFonts w:ascii="Palatino Linotype" w:eastAsiaTheme="minorHAnsi" w:hAnsi="Palatino Linotype"/>
          <w:sz w:val="22"/>
          <w:szCs w:val="22"/>
          <w:lang w:eastAsia="en-US"/>
        </w:rPr>
        <w:t xml:space="preserve"> el literal c) del artículo 84, del Código Orgánico de Organización Territorial, Autonomía y Descentralización, en adelante COOTAD, manifiesta: </w:t>
      </w:r>
      <w:r w:rsidRPr="00EA337F">
        <w:rPr>
          <w:rFonts w:ascii="Palatino Linotype" w:eastAsiaTheme="minorHAnsi" w:hAnsi="Palatino Linotype"/>
          <w:i/>
          <w:sz w:val="22"/>
          <w:szCs w:val="22"/>
          <w:lang w:eastAsia="en-US"/>
        </w:rPr>
        <w:t>"Son funciones del gobierno del distrito autónomo metropolitano: 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EA337F">
        <w:rPr>
          <w:rFonts w:ascii="Palatino Linotype" w:eastAsiaTheme="minorHAnsi" w:hAnsi="Palatino Linotype"/>
          <w:b/>
          <w:sz w:val="22"/>
          <w:szCs w:val="22"/>
          <w:lang w:eastAsia="en-US"/>
        </w:rPr>
        <w:t>Que,</w:t>
      </w:r>
      <w:r w:rsidRPr="00EA337F">
        <w:rPr>
          <w:rFonts w:ascii="Palatino Linotype" w:eastAsiaTheme="minorHAnsi" w:hAnsi="Palatino Linotype"/>
          <w:sz w:val="22"/>
          <w:szCs w:val="22"/>
          <w:lang w:eastAsia="en-US"/>
        </w:rPr>
        <w:t xml:space="preserve"> </w:t>
      </w:r>
      <w:r w:rsidRPr="00EA337F">
        <w:rPr>
          <w:rFonts w:ascii="Palatino Linotype" w:eastAsiaTheme="minorHAnsi" w:hAnsi="Palatino Linotype"/>
          <w:sz w:val="22"/>
          <w:szCs w:val="22"/>
          <w:lang w:eastAsia="en-US"/>
        </w:rPr>
        <w:tab/>
        <w:t xml:space="preserve">los literales a) y d) del artículo 87 del Código Orgánico de Organización Territorial Autonomía y Descentralización, en adelante, “COOTAD”, establecen como atribuciones del Concejo Metropolitano, ejercer la facultad normativa a través de ordenanzas, acuerdos y resoluciones, en el ámbito de competencia del gobierno autónomo descentralizado metropolitano, para regular temas institucionales específicos o reconocer derechos particulares; </w:t>
      </w: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EA337F">
        <w:rPr>
          <w:rFonts w:ascii="Palatino Linotype" w:eastAsiaTheme="minorHAnsi" w:hAnsi="Palatino Linotype"/>
          <w:b/>
          <w:sz w:val="22"/>
          <w:szCs w:val="22"/>
          <w:lang w:eastAsia="en-US"/>
        </w:rPr>
        <w:t>Que,</w:t>
      </w:r>
      <w:r w:rsidRPr="00EA337F">
        <w:rPr>
          <w:rFonts w:ascii="Palatino Linotype" w:eastAsiaTheme="minorHAnsi" w:hAnsi="Palatino Linotype"/>
          <w:sz w:val="22"/>
          <w:szCs w:val="22"/>
          <w:lang w:eastAsia="en-US"/>
        </w:rPr>
        <w:t xml:space="preserve"> </w:t>
      </w:r>
      <w:r w:rsidRPr="00EA337F">
        <w:rPr>
          <w:rFonts w:ascii="Palatino Linotype" w:eastAsiaTheme="minorHAnsi" w:hAnsi="Palatino Linotype"/>
          <w:sz w:val="22"/>
          <w:szCs w:val="22"/>
          <w:lang w:eastAsia="en-US"/>
        </w:rPr>
        <w:tab/>
        <w:t xml:space="preserve">conforme establece el artículo 87, literal v) del COOTAD, al Concejo Metropolitano le corresponde: </w:t>
      </w:r>
      <w:r w:rsidRPr="00EA337F">
        <w:rPr>
          <w:rFonts w:ascii="Palatino Linotype" w:eastAsiaTheme="minorHAnsi" w:hAnsi="Palatino Linotype"/>
          <w:i/>
          <w:sz w:val="22"/>
          <w:szCs w:val="22"/>
          <w:lang w:eastAsia="en-US"/>
        </w:rPr>
        <w:t>“… v) Regular y controlar el uso del suelo en el territorio del distrito metropolitano, de conformidad con las leyes sobre la materia, y establecer el régimen urbanístico de la tierra”;</w:t>
      </w:r>
      <w:r w:rsidRPr="00EA337F">
        <w:rPr>
          <w:rFonts w:ascii="Palatino Linotype" w:eastAsiaTheme="minorHAnsi" w:hAnsi="Palatino Linotype"/>
          <w:sz w:val="22"/>
          <w:szCs w:val="22"/>
          <w:lang w:eastAsia="en-US"/>
        </w:rPr>
        <w:t xml:space="preserve"> </w:t>
      </w: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EA337F" w:rsidRDefault="00C926A0" w:rsidP="00C926A0">
      <w:pPr>
        <w:autoSpaceDE w:val="0"/>
        <w:autoSpaceDN w:val="0"/>
        <w:adjustRightInd w:val="0"/>
        <w:ind w:left="709" w:hanging="709"/>
        <w:jc w:val="both"/>
        <w:rPr>
          <w:rFonts w:ascii="Palatino Linotype" w:eastAsiaTheme="minorHAnsi" w:hAnsi="Palatino Linotype"/>
          <w:i/>
          <w:iCs/>
          <w:sz w:val="22"/>
          <w:szCs w:val="22"/>
          <w:lang w:eastAsia="en-US"/>
        </w:rPr>
      </w:pPr>
      <w:r w:rsidRPr="00EA337F">
        <w:rPr>
          <w:rFonts w:ascii="Palatino Linotype" w:eastAsiaTheme="minorHAnsi" w:hAnsi="Palatino Linotype"/>
          <w:sz w:val="22"/>
          <w:szCs w:val="22"/>
          <w:lang w:eastAsia="en-US"/>
        </w:rPr>
        <w:t xml:space="preserve">Que, </w:t>
      </w:r>
      <w:r w:rsidRPr="00EA337F">
        <w:rPr>
          <w:rFonts w:ascii="Palatino Linotype" w:eastAsiaTheme="minorHAnsi" w:hAnsi="Palatino Linotype"/>
          <w:sz w:val="22"/>
          <w:szCs w:val="22"/>
          <w:lang w:eastAsia="en-US"/>
        </w:rPr>
        <w:tab/>
        <w:t>el artículo 323 del COOTAD establece: “</w:t>
      </w:r>
      <w:r w:rsidRPr="00EA337F">
        <w:rPr>
          <w:rFonts w:ascii="Palatino Linotype" w:eastAsiaTheme="minorHAnsi" w:hAnsi="Palatino Linotype"/>
          <w:i/>
          <w:iCs/>
          <w:sz w:val="22"/>
          <w:szCs w:val="22"/>
          <w:lang w:eastAsia="en-US"/>
        </w:rPr>
        <w:t xml:space="preserve">Aprobación de otros actos normativos.- El órgano normativo del respectivo gobierno autónomo descentralizado podrá expedir además, acuerdos y resoluciones sobre temas que tengan carácter especial o específico, los que serán </w:t>
      </w:r>
      <w:r w:rsidRPr="00EA337F">
        <w:rPr>
          <w:rFonts w:ascii="Palatino Linotype" w:eastAsiaTheme="minorHAnsi" w:hAnsi="Palatino Linotype"/>
          <w:i/>
          <w:iCs/>
          <w:sz w:val="22"/>
          <w:szCs w:val="22"/>
          <w:lang w:eastAsia="en-US"/>
        </w:rPr>
        <w:lastRenderedPageBreak/>
        <w:t>aprobados por el órgano legislativo del gobierno autónomo, por simple mayoría, en un solo debate y serán notificados a los interesados, sin perjuicio de disponer su publicación en cualquiera de los medios determinados en el artículo precedente, de existir mérito para ello. (…)”</w:t>
      </w: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EA337F">
        <w:rPr>
          <w:rFonts w:ascii="Palatino Linotype" w:eastAsiaTheme="minorHAnsi" w:hAnsi="Palatino Linotype"/>
          <w:b/>
          <w:sz w:val="22"/>
          <w:szCs w:val="22"/>
          <w:lang w:eastAsia="en-US"/>
        </w:rPr>
        <w:t>Que,</w:t>
      </w:r>
      <w:r w:rsidR="0099702E" w:rsidRPr="00EA337F">
        <w:rPr>
          <w:rFonts w:ascii="Palatino Linotype" w:eastAsiaTheme="minorHAnsi" w:hAnsi="Palatino Linotype"/>
          <w:sz w:val="22"/>
          <w:szCs w:val="22"/>
          <w:lang w:eastAsia="en-US"/>
        </w:rPr>
        <w:t xml:space="preserve"> </w:t>
      </w:r>
      <w:r w:rsidRPr="00EA337F">
        <w:rPr>
          <w:rFonts w:ascii="Palatino Linotype" w:eastAsiaTheme="minorHAnsi" w:hAnsi="Palatino Linotype"/>
          <w:sz w:val="22"/>
          <w:szCs w:val="22"/>
          <w:lang w:eastAsia="en-US"/>
        </w:rPr>
        <w:t xml:space="preserve">el artículo 326 del COOTAD determina que los órganos legislativos de los gobiernos autónomos descentralizados, conformarán comisiones de trabajo las que emitirán conclusiones y recomendaciones que serán consideradas como base para la discusión y aprobación de sus decisiones; </w:t>
      </w: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r w:rsidRPr="00EA337F">
        <w:rPr>
          <w:rFonts w:ascii="Palatino Linotype" w:eastAsiaTheme="minorHAnsi" w:hAnsi="Palatino Linotype"/>
          <w:b/>
          <w:sz w:val="22"/>
          <w:szCs w:val="22"/>
          <w:lang w:eastAsia="en-US"/>
        </w:rPr>
        <w:t>Que,</w:t>
      </w:r>
      <w:r w:rsidR="0099702E" w:rsidRPr="00EA337F">
        <w:rPr>
          <w:rFonts w:ascii="Palatino Linotype" w:eastAsiaTheme="minorHAnsi" w:hAnsi="Palatino Linotype"/>
          <w:sz w:val="22"/>
          <w:szCs w:val="22"/>
          <w:lang w:eastAsia="en-US"/>
        </w:rPr>
        <w:t xml:space="preserve"> </w:t>
      </w:r>
      <w:r w:rsidRPr="00EA337F">
        <w:rPr>
          <w:rFonts w:ascii="Palatino Linotype" w:eastAsiaTheme="minorHAnsi" w:hAnsi="Palatino Linotype"/>
          <w:sz w:val="22"/>
          <w:szCs w:val="22"/>
          <w:lang w:eastAsia="en-US"/>
        </w:rPr>
        <w:t xml:space="preserve">el artículo 424 del COOTAD señala: </w:t>
      </w:r>
      <w:r w:rsidRPr="00EA337F">
        <w:rPr>
          <w:rFonts w:ascii="Palatino Linotype" w:eastAsiaTheme="minorHAnsi" w:hAnsi="Palatino Linotype"/>
          <w:i/>
          <w:sz w:val="22"/>
          <w:szCs w:val="22"/>
          <w:lang w:eastAsia="en-US"/>
        </w:rPr>
        <w:t xml:space="preserve">“Área verde, comunitaria y vías. - En las subdivisiones y fraccionamientos sujetos o derivados de una autorización administrativa de urbanización, el urbanizador deberá realizar las obras de urbanización, habilitación de vías, áreas verdes y comunitarias, y dichas áreas deberán ser entregadas, por una sola vez, en forma de cesión gratuita y obligatoria al Gobierno Autónomo Descentralizado municipal o metropolitano como bienes de dominio y uso público. Se entregará como mínimo el quince por ciento (15%) calculado del área útil urbanizable del terreno o predio a urbanizar en calidad de áreas verdes y equipamiento comunitario, de acuerdo a lo establecido por la planificación municipal, destinando exclusivamente para áreas verdes al menos el cincuenta por ciento de la superficie entregada. Se exceptúan de esta entrega, las tierras rurales que se fraccionen con fines de partición hereditaria, donación o venta; siempre y cuando no se destinen para urbanización y lotización (...)”; </w:t>
      </w: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EA337F">
        <w:rPr>
          <w:rFonts w:ascii="Palatino Linotype" w:eastAsiaTheme="minorHAnsi" w:hAnsi="Palatino Linotype"/>
          <w:b/>
          <w:sz w:val="22"/>
          <w:szCs w:val="22"/>
          <w:lang w:eastAsia="en-US"/>
        </w:rPr>
        <w:t>Que,</w:t>
      </w:r>
      <w:r w:rsidRPr="00EA337F">
        <w:rPr>
          <w:rFonts w:ascii="Palatino Linotype" w:eastAsiaTheme="minorHAnsi" w:hAnsi="Palatino Linotype"/>
          <w:sz w:val="22"/>
          <w:szCs w:val="22"/>
          <w:lang w:eastAsia="en-US"/>
        </w:rPr>
        <w:t xml:space="preserve"> el artículo 472 del COOTAD señala que: </w:t>
      </w:r>
      <w:r w:rsidRPr="00EA337F">
        <w:rPr>
          <w:rFonts w:ascii="Palatino Linotype" w:eastAsiaTheme="minorHAnsi" w:hAnsi="Palatino Linotype"/>
          <w:i/>
          <w:sz w:val="22"/>
          <w:szCs w:val="22"/>
          <w:lang w:eastAsia="en-US"/>
        </w:rPr>
        <w:t>“Para la fijación de las superficies mínimas en los fraccionamientos urbanos se atenderá a las normas que al efecto contenga el plan de ordenamiento territorial. Los notarios y los registradores de la propiedad, para la suscripción e inscripción de una escritura de fraccionamiento respectivamente, exigirán la autorización del ejecutivo de este nivel de gobierno, concedida para el fraccionamiento de los terrenos”</w:t>
      </w:r>
      <w:r w:rsidRPr="00EA337F">
        <w:rPr>
          <w:rFonts w:ascii="Palatino Linotype" w:eastAsiaTheme="minorHAnsi" w:hAnsi="Palatino Linotype"/>
          <w:sz w:val="22"/>
          <w:szCs w:val="22"/>
          <w:lang w:eastAsia="en-US"/>
        </w:rPr>
        <w:t>;</w:t>
      </w: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r w:rsidRPr="00EA337F">
        <w:rPr>
          <w:rFonts w:ascii="Palatino Linotype" w:eastAsiaTheme="minorHAnsi" w:hAnsi="Palatino Linotype"/>
          <w:b/>
          <w:sz w:val="22"/>
          <w:szCs w:val="22"/>
          <w:lang w:eastAsia="en-US"/>
        </w:rPr>
        <w:t>Que,</w:t>
      </w:r>
      <w:r w:rsidR="0099702E" w:rsidRPr="00EA337F">
        <w:rPr>
          <w:rFonts w:ascii="Palatino Linotype" w:eastAsiaTheme="minorHAnsi" w:hAnsi="Palatino Linotype"/>
          <w:sz w:val="22"/>
          <w:szCs w:val="22"/>
          <w:lang w:eastAsia="en-US"/>
        </w:rPr>
        <w:t xml:space="preserve"> </w:t>
      </w:r>
      <w:r w:rsidRPr="00EA337F">
        <w:rPr>
          <w:rFonts w:ascii="Palatino Linotype" w:eastAsiaTheme="minorHAnsi" w:hAnsi="Palatino Linotype"/>
          <w:sz w:val="22"/>
          <w:szCs w:val="22"/>
          <w:lang w:eastAsia="en-US"/>
        </w:rPr>
        <w:t xml:space="preserve">el artículo 2410 del el Código Civil Ecuatoriano determina que: </w:t>
      </w:r>
      <w:r w:rsidRPr="00EA337F">
        <w:rPr>
          <w:rFonts w:ascii="Palatino Linotype" w:eastAsiaTheme="minorHAnsi" w:hAnsi="Palatino Linotype"/>
          <w:i/>
          <w:sz w:val="22"/>
          <w:szCs w:val="22"/>
          <w:lang w:eastAsia="en-US"/>
        </w:rPr>
        <w:t xml:space="preserve">“dominio de las cosas comerciales que no ha sido adquirido por la prescripción ordinaria, puede serlo por la extraordinaria, bajo las reglas que van a expresarse: 1. Cabe la prescripción extraordinaria contra título inscrito; 2. Para la prescripción extraordinaria no es necesario título alguno; basta la posesión material en los términos del Art. 715; 3. Se presume en ella de derecho la buena fe, sin embargo de la falta de un título adquisitivo de dominio…”; </w:t>
      </w: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EA337F" w:rsidRDefault="00C926A0" w:rsidP="00C926A0">
      <w:pPr>
        <w:autoSpaceDE w:val="0"/>
        <w:autoSpaceDN w:val="0"/>
        <w:adjustRightInd w:val="0"/>
        <w:jc w:val="both"/>
        <w:rPr>
          <w:rFonts w:ascii="Palatino Linotype" w:hAnsi="Palatino Linotype"/>
          <w:sz w:val="22"/>
          <w:szCs w:val="22"/>
        </w:rPr>
      </w:pPr>
    </w:p>
    <w:p w:rsidR="00C926A0" w:rsidRPr="00EA337F" w:rsidRDefault="00C926A0" w:rsidP="00C926A0">
      <w:pPr>
        <w:autoSpaceDE w:val="0"/>
        <w:autoSpaceDN w:val="0"/>
        <w:adjustRightInd w:val="0"/>
        <w:ind w:left="709" w:hanging="709"/>
        <w:jc w:val="both"/>
        <w:rPr>
          <w:rFonts w:ascii="Palatino Linotype" w:eastAsiaTheme="minorHAnsi" w:hAnsi="Palatino Linotype"/>
          <w:sz w:val="22"/>
          <w:szCs w:val="22"/>
          <w:lang w:eastAsia="en-US"/>
        </w:rPr>
      </w:pPr>
      <w:r w:rsidRPr="00EA337F">
        <w:rPr>
          <w:rFonts w:ascii="Palatino Linotype" w:eastAsiaTheme="minorHAnsi" w:hAnsi="Palatino Linotype"/>
          <w:sz w:val="22"/>
          <w:szCs w:val="22"/>
          <w:lang w:eastAsia="en-US"/>
        </w:rPr>
        <w:t>Que,</w:t>
      </w:r>
      <w:r w:rsidRPr="00EA337F">
        <w:rPr>
          <w:rFonts w:ascii="Palatino Linotype" w:eastAsiaTheme="minorHAnsi" w:hAnsi="Palatino Linotype"/>
          <w:sz w:val="22"/>
          <w:szCs w:val="22"/>
          <w:lang w:eastAsia="en-US"/>
        </w:rPr>
        <w:tab/>
        <w:t>el numeral 1, del artículo 2 de la Ley de Régimen para el Distrito Metropolitano de Quito, determina, como finalidad, que el Municipio del Distrito Metropolitano de Quito: “</w:t>
      </w:r>
      <w:r w:rsidRPr="00EA337F">
        <w:rPr>
          <w:rFonts w:ascii="Palatino Linotype" w:eastAsiaTheme="minorHAnsi" w:hAnsi="Palatino Linotype"/>
          <w:i/>
          <w:iCs/>
          <w:sz w:val="22"/>
          <w:szCs w:val="22"/>
          <w:lang w:eastAsia="en-US"/>
        </w:rPr>
        <w:t>regulará el uso y la adecuada ocupación del suelo y ejercerá control sobre el mismo con competencia exclusiva y privativa. De igual manera regulará y controlará, con competencia exclusiva y privativa las construcciones o edificaciones, su estado, utilización y condiciones”</w:t>
      </w:r>
      <w:r w:rsidRPr="00EA337F">
        <w:rPr>
          <w:rFonts w:ascii="Palatino Linotype" w:eastAsiaTheme="minorHAnsi" w:hAnsi="Palatino Linotype"/>
          <w:sz w:val="22"/>
          <w:szCs w:val="22"/>
          <w:lang w:eastAsia="en-US"/>
        </w:rPr>
        <w:t>;</w:t>
      </w: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532857" w:rsidRPr="00EA337F" w:rsidRDefault="00532857" w:rsidP="00532857">
      <w:pPr>
        <w:autoSpaceDE w:val="0"/>
        <w:autoSpaceDN w:val="0"/>
        <w:adjustRightInd w:val="0"/>
        <w:spacing w:line="276" w:lineRule="auto"/>
        <w:ind w:left="709" w:hanging="709"/>
        <w:jc w:val="both"/>
        <w:rPr>
          <w:rFonts w:ascii="Palatino Linotype" w:hAnsi="Palatino Linotype"/>
          <w:sz w:val="22"/>
          <w:szCs w:val="22"/>
        </w:rPr>
      </w:pPr>
      <w:r w:rsidRPr="00EA337F">
        <w:rPr>
          <w:rFonts w:ascii="Palatino Linotype" w:eastAsiaTheme="minorHAnsi" w:hAnsi="Palatino Linotype"/>
          <w:b/>
          <w:sz w:val="22"/>
          <w:szCs w:val="22"/>
          <w:lang w:eastAsia="en-US"/>
        </w:rPr>
        <w:t>Que,</w:t>
      </w:r>
      <w:r w:rsidRPr="00EA337F">
        <w:rPr>
          <w:rFonts w:ascii="Palatino Linotype" w:eastAsiaTheme="minorHAnsi" w:hAnsi="Palatino Linotype"/>
          <w:sz w:val="22"/>
          <w:szCs w:val="22"/>
          <w:lang w:eastAsia="en-US"/>
        </w:rPr>
        <w:t xml:space="preserve"> </w:t>
      </w:r>
      <w:r w:rsidRPr="00EA337F">
        <w:rPr>
          <w:rFonts w:ascii="Palatino Linotype" w:eastAsiaTheme="minorHAnsi" w:hAnsi="Palatino Linotype"/>
          <w:sz w:val="22"/>
          <w:szCs w:val="22"/>
          <w:lang w:eastAsia="en-US"/>
        </w:rPr>
        <w:tab/>
        <w:t xml:space="preserve">el Código Municipal para el Distrito Metropolitano de Quito, en adelante Código Municipal, en su artículo 2162, numeral 1, establece que: </w:t>
      </w:r>
      <w:r w:rsidRPr="00EA337F">
        <w:rPr>
          <w:rFonts w:ascii="Palatino Linotype" w:eastAsiaTheme="minorHAnsi" w:hAnsi="Palatino Linotype"/>
          <w:i/>
          <w:sz w:val="22"/>
          <w:szCs w:val="22"/>
          <w:lang w:eastAsia="en-US"/>
        </w:rPr>
        <w:t>“1. Los proyectos de subdivisión son propuestas que tienen por finalidad dividir y habilitar predios, conforme la zonificación establecida en el PUOS y demás instrumentos de planificación. En todos los casos deberá observarse el lote mínimo establecido en la normativa vigente.</w:t>
      </w:r>
      <w:r w:rsidRPr="00EA337F">
        <w:rPr>
          <w:rFonts w:ascii="Palatino Linotype" w:hAnsi="Palatino Linotype"/>
          <w:i/>
          <w:sz w:val="22"/>
          <w:szCs w:val="22"/>
        </w:rPr>
        <w:t>”</w:t>
      </w:r>
      <w:r w:rsidRPr="00EA337F">
        <w:rPr>
          <w:rFonts w:ascii="Palatino Linotype" w:hAnsi="Palatino Linotype"/>
          <w:sz w:val="22"/>
          <w:szCs w:val="22"/>
        </w:rPr>
        <w:t xml:space="preserve">; </w:t>
      </w:r>
    </w:p>
    <w:p w:rsidR="00532857" w:rsidRPr="00EA337F" w:rsidRDefault="00532857" w:rsidP="00532857">
      <w:pPr>
        <w:autoSpaceDE w:val="0"/>
        <w:autoSpaceDN w:val="0"/>
        <w:adjustRightInd w:val="0"/>
        <w:spacing w:line="276" w:lineRule="auto"/>
        <w:ind w:left="709" w:hanging="709"/>
        <w:jc w:val="both"/>
        <w:rPr>
          <w:rFonts w:ascii="Palatino Linotype" w:hAnsi="Palatino Linotype"/>
          <w:sz w:val="22"/>
          <w:szCs w:val="22"/>
        </w:rPr>
      </w:pPr>
    </w:p>
    <w:p w:rsidR="00532857" w:rsidRPr="00EA337F" w:rsidRDefault="00532857" w:rsidP="00532857">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r w:rsidRPr="00EA337F">
        <w:rPr>
          <w:rFonts w:ascii="Palatino Linotype" w:eastAsiaTheme="minorHAnsi" w:hAnsi="Palatino Linotype"/>
          <w:b/>
          <w:sz w:val="22"/>
          <w:szCs w:val="22"/>
          <w:lang w:eastAsia="en-US"/>
        </w:rPr>
        <w:t>Que,</w:t>
      </w:r>
      <w:r w:rsidRPr="00EA337F">
        <w:rPr>
          <w:rFonts w:ascii="Palatino Linotype" w:eastAsiaTheme="minorHAnsi" w:hAnsi="Palatino Linotype"/>
          <w:sz w:val="22"/>
          <w:szCs w:val="22"/>
          <w:lang w:eastAsia="en-US"/>
        </w:rPr>
        <w:t xml:space="preserve"> </w:t>
      </w:r>
      <w:r w:rsidRPr="00EA337F">
        <w:rPr>
          <w:rFonts w:ascii="Palatino Linotype" w:eastAsiaTheme="minorHAnsi" w:hAnsi="Palatino Linotype"/>
          <w:sz w:val="22"/>
          <w:szCs w:val="22"/>
          <w:lang w:eastAsia="en-US"/>
        </w:rPr>
        <w:tab/>
        <w:t xml:space="preserve">el Código Municipal en su artículo 2171, establece: </w:t>
      </w:r>
      <w:r w:rsidRPr="00EA337F">
        <w:rPr>
          <w:rFonts w:ascii="Palatino Linotype" w:eastAsiaTheme="minorHAnsi" w:hAnsi="Palatino Linotype"/>
          <w:i/>
          <w:sz w:val="22"/>
          <w:szCs w:val="22"/>
          <w:lang w:eastAsia="en-US"/>
        </w:rPr>
        <w:t xml:space="preserve">“Supuestos en el que la contribución de áreas verdes públicas, para subdivisiones puede ser compensada: (...) 4. En el caso de la sentencia ejecutoriada dictada dentro del juicio de prescripción extraordinaria adquisitiva de dominio, de una parte, de un lote que obliga a un fraccionamiento, de conformidad a lo estipulado en el artículo 424 reformado del Código Orgánico de Organización Territorial, Autonomía y Descentralización, se deberá calcular el aporte del 15% del área útil adquirida mediante sentencia. Si el área de la sentencia es inferior a 3000.00 m2, la contribución del 15% del área útil adjudicada, se compensará en valor monetario según el avalúo catastral actualizado, cuando sea menor al lote mínimo asignado en la zonificación vigente”;  </w:t>
      </w: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highlight w:val="yellow"/>
          <w:lang w:eastAsia="en-US"/>
        </w:rPr>
      </w:pPr>
    </w:p>
    <w:p w:rsidR="00027D50" w:rsidRPr="00EA337F" w:rsidRDefault="00027D50" w:rsidP="00027D50">
      <w:pPr>
        <w:autoSpaceDE w:val="0"/>
        <w:autoSpaceDN w:val="0"/>
        <w:adjustRightInd w:val="0"/>
        <w:ind w:left="708" w:hanging="708"/>
        <w:jc w:val="both"/>
        <w:rPr>
          <w:rFonts w:ascii="Palatino Linotype" w:eastAsiaTheme="minorHAnsi" w:hAnsi="Palatino Linotype"/>
          <w:sz w:val="22"/>
          <w:szCs w:val="22"/>
          <w:lang w:eastAsia="en-US"/>
        </w:rPr>
      </w:pPr>
      <w:r w:rsidRPr="00EA337F">
        <w:rPr>
          <w:rFonts w:ascii="Palatino Linotype" w:eastAsiaTheme="minorHAnsi" w:hAnsi="Palatino Linotype"/>
          <w:b/>
          <w:sz w:val="22"/>
          <w:szCs w:val="22"/>
          <w:lang w:eastAsia="en-US"/>
        </w:rPr>
        <w:t>Que,</w:t>
      </w:r>
      <w:r w:rsidRPr="00EA337F">
        <w:rPr>
          <w:rFonts w:ascii="Palatino Linotype" w:eastAsiaTheme="minorHAnsi" w:hAnsi="Palatino Linotype"/>
          <w:sz w:val="22"/>
          <w:szCs w:val="22"/>
          <w:lang w:eastAsia="en-US"/>
        </w:rPr>
        <w:t xml:space="preserve"> mediante oficio Nro.</w:t>
      </w:r>
      <w:r w:rsidRPr="00EA337F">
        <w:rPr>
          <w:rFonts w:ascii="Palatino Linotype" w:hAnsi="Palatino Linotype"/>
          <w:sz w:val="22"/>
          <w:szCs w:val="22"/>
        </w:rPr>
        <w:t xml:space="preserve"> 2950-2010 de 31 de octubre de 2011</w:t>
      </w:r>
      <w:r w:rsidRPr="00EA337F">
        <w:rPr>
          <w:rFonts w:ascii="Palatino Linotype" w:eastAsiaTheme="minorHAnsi" w:hAnsi="Palatino Linotype"/>
          <w:sz w:val="22"/>
          <w:szCs w:val="22"/>
          <w:lang w:eastAsia="en-US"/>
        </w:rPr>
        <w:t xml:space="preserve"> la Procuraduría Metropolitana emitió un </w:t>
      </w:r>
      <w:r w:rsidRPr="00EA337F">
        <w:rPr>
          <w:rFonts w:ascii="Palatino Linotype" w:hAnsi="Palatino Linotype"/>
          <w:sz w:val="22"/>
          <w:szCs w:val="22"/>
        </w:rPr>
        <w:t xml:space="preserve">pronunciamiento en forma general, respecto al marco legal y operativo para todos los casos de </w:t>
      </w:r>
      <w:r w:rsidRPr="00EA337F">
        <w:rPr>
          <w:rFonts w:ascii="Palatino Linotype" w:eastAsiaTheme="minorHAnsi" w:hAnsi="Palatino Linotype"/>
          <w:sz w:val="22"/>
          <w:szCs w:val="22"/>
          <w:lang w:eastAsia="en-US"/>
        </w:rPr>
        <w:t>prescripción extraordinaria adquisitiva de dominio;</w:t>
      </w:r>
    </w:p>
    <w:p w:rsidR="00027D50" w:rsidRPr="00EA337F" w:rsidRDefault="00027D50" w:rsidP="002F7AF5">
      <w:pPr>
        <w:autoSpaceDE w:val="0"/>
        <w:autoSpaceDN w:val="0"/>
        <w:adjustRightInd w:val="0"/>
        <w:ind w:left="708" w:hanging="708"/>
        <w:jc w:val="both"/>
        <w:rPr>
          <w:rFonts w:ascii="Palatino Linotype" w:eastAsiaTheme="minorHAnsi" w:hAnsi="Palatino Linotype"/>
          <w:b/>
          <w:sz w:val="22"/>
          <w:szCs w:val="22"/>
          <w:lang w:eastAsia="en-US"/>
        </w:rPr>
      </w:pPr>
    </w:p>
    <w:p w:rsidR="004712AC" w:rsidRPr="00C97209" w:rsidRDefault="00C926A0" w:rsidP="004712AC">
      <w:pPr>
        <w:autoSpaceDE w:val="0"/>
        <w:autoSpaceDN w:val="0"/>
        <w:adjustRightInd w:val="0"/>
        <w:ind w:left="708" w:hanging="708"/>
        <w:jc w:val="both"/>
        <w:rPr>
          <w:rFonts w:ascii="Palatino Linotype" w:hAnsi="Palatino Linotype"/>
          <w:i/>
          <w:sz w:val="22"/>
          <w:szCs w:val="22"/>
        </w:rPr>
      </w:pPr>
      <w:r w:rsidRPr="00EA337F">
        <w:rPr>
          <w:rFonts w:ascii="Palatino Linotype" w:eastAsiaTheme="minorHAnsi" w:hAnsi="Palatino Linotype"/>
          <w:b/>
          <w:sz w:val="22"/>
          <w:szCs w:val="22"/>
          <w:lang w:eastAsia="en-US"/>
        </w:rPr>
        <w:t>Que,</w:t>
      </w:r>
      <w:r w:rsidRPr="00EA337F">
        <w:rPr>
          <w:rFonts w:ascii="Palatino Linotype" w:eastAsiaTheme="minorHAnsi" w:hAnsi="Palatino Linotype"/>
          <w:sz w:val="22"/>
          <w:szCs w:val="22"/>
          <w:lang w:eastAsia="en-US"/>
        </w:rPr>
        <w:t xml:space="preserve"> </w:t>
      </w:r>
      <w:r w:rsidRPr="00EA337F">
        <w:rPr>
          <w:rFonts w:ascii="Palatino Linotype" w:eastAsiaTheme="minorHAnsi" w:hAnsi="Palatino Linotype"/>
          <w:sz w:val="22"/>
          <w:szCs w:val="22"/>
          <w:lang w:eastAsia="en-US"/>
        </w:rPr>
        <w:tab/>
      </w:r>
      <w:r w:rsidR="004712AC">
        <w:rPr>
          <w:rFonts w:ascii="Palatino Linotype" w:hAnsi="Palatino Linotype"/>
          <w:sz w:val="22"/>
          <w:szCs w:val="22"/>
        </w:rPr>
        <w:t>c</w:t>
      </w:r>
      <w:r w:rsidR="004712AC" w:rsidRPr="00C97209">
        <w:rPr>
          <w:rFonts w:ascii="Palatino Linotype" w:hAnsi="Palatino Linotype"/>
          <w:sz w:val="22"/>
          <w:szCs w:val="22"/>
        </w:rPr>
        <w:t xml:space="preserve">onforme se desprende del informe técnico No. </w:t>
      </w:r>
      <w:r w:rsidR="004712AC" w:rsidRPr="00C97209">
        <w:rPr>
          <w:rStyle w:val="markedcontent"/>
          <w:rFonts w:ascii="Palatino Linotype" w:hAnsi="Palatino Linotype" w:cs="Arial"/>
          <w:sz w:val="22"/>
          <w:szCs w:val="22"/>
        </w:rPr>
        <w:t xml:space="preserve">AZQ-DGT-UGU-IT-2022-262, de 08 de noviembre de 2022, de la Administración Zonal </w:t>
      </w:r>
      <w:r w:rsidR="004712AC" w:rsidRPr="00C97209">
        <w:rPr>
          <w:rFonts w:ascii="Palatino Linotype" w:hAnsi="Palatino Linotype"/>
          <w:sz w:val="22"/>
          <w:szCs w:val="22"/>
        </w:rPr>
        <w:t>Quitumbe</w:t>
      </w:r>
      <w:r w:rsidR="004712AC" w:rsidRPr="00C97209">
        <w:rPr>
          <w:rFonts w:ascii="Palatino Linotype" w:hAnsi="Palatino Linotype"/>
          <w:i/>
          <w:sz w:val="22"/>
          <w:szCs w:val="22"/>
        </w:rPr>
        <w:t xml:space="preserve">, “(…) </w:t>
      </w:r>
      <w:r w:rsidR="004712AC" w:rsidRPr="00C97209">
        <w:rPr>
          <w:rStyle w:val="markedcontent"/>
          <w:rFonts w:ascii="Palatino Linotype" w:hAnsi="Palatino Linotype" w:cs="Arial"/>
          <w:i/>
          <w:sz w:val="22"/>
          <w:szCs w:val="22"/>
        </w:rPr>
        <w:t xml:space="preserve">Con Proceso de Juicio No. 17303-2021-1378, El Juzgado tercero de lo Civil de Pichincha con sede en Quito, Provincia de Pichincha, iniciado 9 de Julio del 2015, se acepta la demanda presentada por la autora Sra. Laura Elisa Villarruel Gudiño en contra del demandado Empresa Inmobiliaria Hipas CIA LTDA se acepta la demanda consecuentemente se declara que ha operado a </w:t>
      </w:r>
      <w:r w:rsidR="004712AC" w:rsidRPr="00C97209">
        <w:rPr>
          <w:rStyle w:val="highlight"/>
          <w:rFonts w:ascii="Palatino Linotype" w:hAnsi="Palatino Linotype" w:cs="Arial"/>
          <w:i/>
          <w:sz w:val="22"/>
          <w:szCs w:val="22"/>
        </w:rPr>
        <w:t>favor</w:t>
      </w:r>
      <w:r w:rsidR="004712AC" w:rsidRPr="00C97209">
        <w:rPr>
          <w:rStyle w:val="markedcontent"/>
          <w:rFonts w:ascii="Palatino Linotype" w:hAnsi="Palatino Linotype" w:cs="Arial"/>
          <w:i/>
          <w:sz w:val="22"/>
          <w:szCs w:val="22"/>
        </w:rPr>
        <w:t xml:space="preserve"> de la señora Laura Villarruel Gudiño la prescripciónadquisitiva de dominio respecto del lote </w:t>
      </w:r>
      <w:r w:rsidR="004712AC" w:rsidRPr="00C97209">
        <w:rPr>
          <w:rStyle w:val="markedcontent"/>
          <w:rFonts w:ascii="Palatino Linotype" w:hAnsi="Palatino Linotype" w:cs="Arial"/>
          <w:i/>
          <w:sz w:val="22"/>
          <w:szCs w:val="22"/>
        </w:rPr>
        <w:lastRenderedPageBreak/>
        <w:t xml:space="preserve">de terreno No 799 y construcciones existentes en el mismo y que se encuentra situado en la provincia de Pichincha, Cantón Quito, Parroquia Chillogallo, barrio la Garzota la calle publica N15 </w:t>
      </w:r>
      <w:r w:rsidR="004712AC" w:rsidRPr="00C97209">
        <w:rPr>
          <w:rFonts w:ascii="Palatino Linotype" w:hAnsi="Palatino Linotype"/>
          <w:i/>
          <w:sz w:val="22"/>
          <w:szCs w:val="22"/>
        </w:rPr>
        <w:t>(...)"</w:t>
      </w:r>
    </w:p>
    <w:p w:rsidR="0022530B" w:rsidRDefault="0022530B" w:rsidP="00633179">
      <w:pPr>
        <w:autoSpaceDE w:val="0"/>
        <w:autoSpaceDN w:val="0"/>
        <w:adjustRightInd w:val="0"/>
        <w:ind w:left="708" w:hanging="708"/>
        <w:jc w:val="both"/>
        <w:rPr>
          <w:rFonts w:ascii="Palatino Linotype" w:eastAsiaTheme="minorHAnsi" w:hAnsi="Palatino Linotype"/>
          <w:sz w:val="22"/>
          <w:szCs w:val="22"/>
          <w:lang w:eastAsia="en-US"/>
        </w:rPr>
      </w:pPr>
    </w:p>
    <w:p w:rsidR="0044483C" w:rsidRDefault="0044483C" w:rsidP="00633179">
      <w:pPr>
        <w:autoSpaceDE w:val="0"/>
        <w:autoSpaceDN w:val="0"/>
        <w:adjustRightInd w:val="0"/>
        <w:ind w:left="708" w:hanging="708"/>
        <w:jc w:val="both"/>
        <w:rPr>
          <w:b/>
          <w:sz w:val="22"/>
          <w:szCs w:val="22"/>
        </w:rPr>
      </w:pPr>
    </w:p>
    <w:p w:rsidR="001F733D" w:rsidRPr="00EA337F" w:rsidRDefault="0013405F" w:rsidP="0013405F">
      <w:pPr>
        <w:pStyle w:val="Default"/>
        <w:ind w:left="708" w:hanging="708"/>
        <w:jc w:val="both"/>
        <w:rPr>
          <w:sz w:val="22"/>
          <w:szCs w:val="22"/>
        </w:rPr>
      </w:pPr>
      <w:r w:rsidRPr="00EA337F">
        <w:rPr>
          <w:b/>
          <w:sz w:val="22"/>
          <w:szCs w:val="22"/>
        </w:rPr>
        <w:t>Que,</w:t>
      </w:r>
      <w:r w:rsidRPr="00EA337F">
        <w:rPr>
          <w:sz w:val="22"/>
          <w:szCs w:val="22"/>
        </w:rPr>
        <w:t xml:space="preserve"> m</w:t>
      </w:r>
      <w:r w:rsidR="001F733D" w:rsidRPr="00EA337F">
        <w:rPr>
          <w:sz w:val="22"/>
          <w:szCs w:val="22"/>
        </w:rPr>
        <w:t>ediante oficio GADDMQ-PM-2021-03</w:t>
      </w:r>
      <w:r w:rsidR="00AC0982" w:rsidRPr="00EA337F">
        <w:rPr>
          <w:sz w:val="22"/>
          <w:szCs w:val="22"/>
        </w:rPr>
        <w:t>96-O de 29 de enero de 2021, el</w:t>
      </w:r>
      <w:r w:rsidR="001F733D" w:rsidRPr="00EA337F">
        <w:rPr>
          <w:sz w:val="22"/>
          <w:szCs w:val="22"/>
        </w:rPr>
        <w:t xml:space="preserve"> Dr. Edison Yépez Vinueza, Subprocurador Metropolitano, señala: </w:t>
      </w:r>
    </w:p>
    <w:p w:rsidR="001F733D" w:rsidRPr="00EA337F" w:rsidRDefault="001F733D" w:rsidP="001F733D">
      <w:pPr>
        <w:tabs>
          <w:tab w:val="left" w:pos="426"/>
        </w:tabs>
        <w:ind w:left="1416" w:right="566"/>
        <w:jc w:val="both"/>
        <w:rPr>
          <w:rFonts w:ascii="Palatino Linotype" w:hAnsi="Palatino Linotype"/>
          <w:i/>
          <w:sz w:val="22"/>
          <w:szCs w:val="22"/>
        </w:rPr>
      </w:pPr>
    </w:p>
    <w:p w:rsidR="001F733D" w:rsidRPr="00EA337F" w:rsidRDefault="001F733D" w:rsidP="001F733D">
      <w:pPr>
        <w:tabs>
          <w:tab w:val="left" w:pos="284"/>
        </w:tabs>
        <w:ind w:left="708"/>
        <w:jc w:val="both"/>
        <w:rPr>
          <w:rFonts w:ascii="Palatino Linotype" w:hAnsi="Palatino Linotype"/>
          <w:i/>
          <w:sz w:val="22"/>
          <w:szCs w:val="22"/>
        </w:rPr>
      </w:pPr>
      <w:r w:rsidRPr="00EA337F">
        <w:rPr>
          <w:rFonts w:ascii="Palatino Linotype" w:hAnsi="Palatino Linotype"/>
          <w:i/>
          <w:sz w:val="22"/>
          <w:szCs w:val="22"/>
        </w:rPr>
        <w:t>“(…) Mediante oficio No. 2950-2010 de 31 de octubre de 2011, la Procuraduría Metropolitana absuelve la consulta planteada por la Secretaría de Coordinación Territorial y Participación Ciudadana, para los casos de fraccionamiento producidos a causa de las sentencias dictadas en juicios de prescripción adquisitiva de dominio y se pronunció respecto del procedimiento a seguir para el cumplimiento y ejecución de dichas sentencias.</w:t>
      </w:r>
    </w:p>
    <w:p w:rsidR="001F733D" w:rsidRPr="00EA337F" w:rsidRDefault="001F733D" w:rsidP="001F733D">
      <w:pPr>
        <w:tabs>
          <w:tab w:val="left" w:pos="284"/>
        </w:tabs>
        <w:ind w:left="708"/>
        <w:jc w:val="both"/>
        <w:rPr>
          <w:rFonts w:ascii="Palatino Linotype" w:hAnsi="Palatino Linotype"/>
          <w:i/>
          <w:sz w:val="22"/>
          <w:szCs w:val="22"/>
        </w:rPr>
      </w:pPr>
      <w:r w:rsidRPr="00EA337F">
        <w:rPr>
          <w:rFonts w:ascii="Palatino Linotype" w:hAnsi="Palatino Linotype"/>
          <w:i/>
          <w:sz w:val="22"/>
          <w:szCs w:val="22"/>
        </w:rPr>
        <w:t>En este sentido, corresponde a las Administraciones Zonales determinar en cada caso particular, la aplicación del criterio anteriormente señalado, para lo cual deberá tomar en cuenta en sujeción a la normativa vigente y por tratarse de un fraccionamiento, los parámetros de lote mínimo, frente mínimo y contribución o compensación de áreas verdes.</w:t>
      </w:r>
    </w:p>
    <w:p w:rsidR="001F733D" w:rsidRPr="00EA337F" w:rsidRDefault="001F733D" w:rsidP="001F733D">
      <w:pPr>
        <w:tabs>
          <w:tab w:val="left" w:pos="284"/>
        </w:tabs>
        <w:ind w:left="708"/>
        <w:jc w:val="both"/>
        <w:rPr>
          <w:rFonts w:ascii="Palatino Linotype" w:hAnsi="Palatino Linotype"/>
          <w:i/>
          <w:sz w:val="22"/>
          <w:szCs w:val="22"/>
        </w:rPr>
      </w:pPr>
      <w:r w:rsidRPr="00EA337F">
        <w:rPr>
          <w:rFonts w:ascii="Palatino Linotype" w:hAnsi="Palatino Linotype"/>
          <w:i/>
          <w:sz w:val="22"/>
          <w:szCs w:val="22"/>
        </w:rPr>
        <w:t>En el evento de que la subdivisión que se genere con la ejecución de la sentencia no cumpla con los parámetros de zonificación respecto a lote y frente mínimos, se remitirá el expediente con los informes de la Administración Zonal, para conocimiento y resolución del Concejo Metropolitano.</w:t>
      </w:r>
    </w:p>
    <w:p w:rsidR="001F733D" w:rsidRPr="00EA337F" w:rsidRDefault="001F733D" w:rsidP="001F733D">
      <w:pPr>
        <w:tabs>
          <w:tab w:val="left" w:pos="284"/>
        </w:tabs>
        <w:ind w:left="708"/>
        <w:jc w:val="both"/>
        <w:rPr>
          <w:rFonts w:ascii="Palatino Linotype" w:hAnsi="Palatino Linotype"/>
          <w:i/>
          <w:sz w:val="22"/>
          <w:szCs w:val="22"/>
        </w:rPr>
      </w:pPr>
      <w:r w:rsidRPr="00EA337F">
        <w:rPr>
          <w:rFonts w:ascii="Palatino Linotype" w:hAnsi="Palatino Linotype"/>
          <w:i/>
          <w:sz w:val="22"/>
          <w:szCs w:val="22"/>
        </w:rPr>
        <w:t>Por lo expuesto, las Administraciones Zonales de acuerdo al régimen jurídico aplicable realizarán el análisis de cumplimiento de los parámetros de zonificación y de la contribución o compensación del área verde, e informarán al Concejo Metropolitano, según los supuestos fácticos que presenten cada uno de los casos en particular.”.</w:t>
      </w:r>
    </w:p>
    <w:p w:rsidR="001F733D" w:rsidRPr="00EA337F" w:rsidRDefault="001F733D" w:rsidP="001F733D">
      <w:pPr>
        <w:tabs>
          <w:tab w:val="left" w:pos="284"/>
        </w:tabs>
        <w:jc w:val="both"/>
        <w:rPr>
          <w:rFonts w:ascii="Palatino Linotype" w:hAnsi="Palatino Linotype"/>
          <w:i/>
          <w:sz w:val="22"/>
          <w:szCs w:val="22"/>
        </w:rPr>
      </w:pPr>
    </w:p>
    <w:p w:rsidR="00E52F52" w:rsidRPr="00C97209" w:rsidRDefault="000B4CF2" w:rsidP="001D6552">
      <w:pPr>
        <w:tabs>
          <w:tab w:val="left" w:pos="1080"/>
        </w:tabs>
        <w:ind w:left="1080" w:hanging="1080"/>
        <w:jc w:val="both"/>
        <w:rPr>
          <w:rFonts w:ascii="Palatino Linotype" w:hAnsi="Palatino Linotype"/>
          <w:sz w:val="22"/>
          <w:szCs w:val="22"/>
        </w:rPr>
      </w:pPr>
      <w:r w:rsidRPr="00EA337F">
        <w:rPr>
          <w:rFonts w:ascii="Palatino Linotype" w:hAnsi="Palatino Linotype"/>
          <w:sz w:val="22"/>
          <w:szCs w:val="22"/>
        </w:rPr>
        <w:t xml:space="preserve">Que, </w:t>
      </w:r>
      <w:r w:rsidR="00E52F52">
        <w:rPr>
          <w:rFonts w:ascii="Palatino Linotype" w:hAnsi="Palatino Linotype"/>
          <w:sz w:val="22"/>
          <w:szCs w:val="22"/>
        </w:rPr>
        <w:t>m</w:t>
      </w:r>
      <w:r w:rsidR="00E52F52" w:rsidRPr="00C97209">
        <w:rPr>
          <w:rFonts w:ascii="Palatino Linotype" w:hAnsi="Palatino Linotype"/>
          <w:sz w:val="22"/>
          <w:szCs w:val="22"/>
        </w:rPr>
        <w:t xml:space="preserve">ediante informe técnico Nro. </w:t>
      </w:r>
      <w:r w:rsidR="00E52F52" w:rsidRPr="00C97209">
        <w:rPr>
          <w:rStyle w:val="markedcontent"/>
          <w:rFonts w:ascii="Palatino Linotype" w:hAnsi="Palatino Linotype" w:cs="Arial"/>
          <w:sz w:val="22"/>
          <w:szCs w:val="22"/>
        </w:rPr>
        <w:t>AZQ-DGT-UGU-IT-2022-262</w:t>
      </w:r>
      <w:r w:rsidR="00E52F52" w:rsidRPr="00C97209">
        <w:rPr>
          <w:rFonts w:ascii="Palatino Linotype" w:hAnsi="Palatino Linotype"/>
          <w:sz w:val="22"/>
          <w:szCs w:val="22"/>
        </w:rPr>
        <w:t xml:space="preserve">, de 08 de noviembre de 2022, la Arq. Ana Lucía Loza, funcionaria de la Administración Zonal Quitumbe, señala: </w:t>
      </w:r>
    </w:p>
    <w:p w:rsidR="00E52F52" w:rsidRPr="00C97209" w:rsidRDefault="00E52F52" w:rsidP="00E52F52">
      <w:pPr>
        <w:tabs>
          <w:tab w:val="left" w:pos="1080"/>
        </w:tabs>
        <w:jc w:val="both"/>
        <w:rPr>
          <w:rFonts w:ascii="Palatino Linotype" w:hAnsi="Palatino Linotype"/>
          <w:b/>
          <w:sz w:val="22"/>
          <w:szCs w:val="22"/>
        </w:rPr>
      </w:pPr>
    </w:p>
    <w:p w:rsidR="00E52F52" w:rsidRPr="00C97209" w:rsidRDefault="00E52F52" w:rsidP="00E52F52">
      <w:pPr>
        <w:tabs>
          <w:tab w:val="left" w:pos="1080"/>
        </w:tabs>
        <w:ind w:left="708"/>
        <w:jc w:val="both"/>
        <w:rPr>
          <w:rStyle w:val="markedcontent"/>
          <w:rFonts w:ascii="Palatino Linotype" w:hAnsi="Palatino Linotype" w:cs="Arial"/>
          <w:i/>
          <w:sz w:val="22"/>
          <w:szCs w:val="22"/>
        </w:rPr>
      </w:pPr>
      <w:r w:rsidRPr="00C97209">
        <w:rPr>
          <w:rFonts w:ascii="Palatino Linotype" w:hAnsi="Palatino Linotype"/>
          <w:i/>
          <w:sz w:val="22"/>
          <w:szCs w:val="22"/>
        </w:rPr>
        <w:t>“(…)</w:t>
      </w:r>
      <w:r w:rsidRPr="00C97209">
        <w:rPr>
          <w:rStyle w:val="markedcontent"/>
          <w:rFonts w:ascii="Palatino Linotype" w:hAnsi="Palatino Linotype" w:cs="Arial"/>
          <w:i/>
          <w:sz w:val="22"/>
          <w:szCs w:val="22"/>
        </w:rPr>
        <w:t xml:space="preserve"> 7. CONCLUSIONES:</w:t>
      </w:r>
    </w:p>
    <w:p w:rsidR="00E52F52" w:rsidRPr="00C97209" w:rsidRDefault="00E52F52" w:rsidP="00E52F52">
      <w:pPr>
        <w:tabs>
          <w:tab w:val="left" w:pos="1080"/>
        </w:tabs>
        <w:ind w:left="708"/>
        <w:jc w:val="both"/>
        <w:rPr>
          <w:rFonts w:ascii="Palatino Linotype" w:hAnsi="Palatino Linotype"/>
          <w:b/>
          <w:i/>
          <w:sz w:val="22"/>
          <w:szCs w:val="22"/>
        </w:rPr>
      </w:pPr>
    </w:p>
    <w:p w:rsidR="00E52F52" w:rsidRPr="00C97209" w:rsidRDefault="00E52F52" w:rsidP="00E52F52">
      <w:pPr>
        <w:tabs>
          <w:tab w:val="left" w:pos="1080"/>
        </w:tabs>
        <w:ind w:left="708"/>
        <w:jc w:val="both"/>
        <w:rPr>
          <w:rStyle w:val="markedcontent"/>
          <w:rFonts w:ascii="Palatino Linotype" w:hAnsi="Palatino Linotype" w:cs="Arial"/>
          <w:i/>
          <w:sz w:val="22"/>
          <w:szCs w:val="22"/>
        </w:rPr>
      </w:pPr>
      <w:r w:rsidRPr="00C97209">
        <w:rPr>
          <w:rStyle w:val="markedcontent"/>
          <w:rFonts w:ascii="Palatino Linotype" w:hAnsi="Palatino Linotype" w:cs="Arial"/>
          <w:i/>
          <w:sz w:val="22"/>
          <w:szCs w:val="22"/>
        </w:rPr>
        <w:t>Del análisis técnico se desprende que, la prescripción adquisitiva de dominio de una parte del inmueble del predio No. 547010, No Cumple con los datos establecidos en la zonificación vigente, tales como, “lote mínimo” y “frente mínimo”, el área prescrita corresponde a 96.79m2 menor a 300m2 zonificación vigente; razón por la que se emite Informe Técnico desfavorable, motivo que no cumple con las condiciones generales de los inmuebles de la zona.</w:t>
      </w:r>
    </w:p>
    <w:p w:rsidR="00E52F52" w:rsidRPr="00C97209" w:rsidRDefault="00E52F52" w:rsidP="00E52F52">
      <w:pPr>
        <w:tabs>
          <w:tab w:val="left" w:pos="1080"/>
        </w:tabs>
        <w:ind w:left="708"/>
        <w:jc w:val="both"/>
        <w:rPr>
          <w:rFonts w:ascii="Palatino Linotype" w:hAnsi="Palatino Linotype"/>
          <w:b/>
          <w:i/>
          <w:sz w:val="22"/>
          <w:szCs w:val="22"/>
        </w:rPr>
      </w:pPr>
      <w:r w:rsidRPr="00C97209">
        <w:rPr>
          <w:rFonts w:ascii="Palatino Linotype" w:hAnsi="Palatino Linotype"/>
          <w:i/>
          <w:sz w:val="22"/>
          <w:szCs w:val="22"/>
        </w:rPr>
        <w:br/>
      </w:r>
      <w:r w:rsidRPr="00C97209">
        <w:rPr>
          <w:rStyle w:val="markedcontent"/>
          <w:rFonts w:ascii="Palatino Linotype" w:hAnsi="Palatino Linotype" w:cs="Arial"/>
          <w:i/>
          <w:sz w:val="22"/>
          <w:szCs w:val="22"/>
        </w:rPr>
        <w:t xml:space="preserve">La Unidad de Gestión Urbana emite este informe en base al CÓDIGO MUNICIPAL PARA EL DISTRITO METROPOLITANO DE QUITO y el Pronunciamiento de la </w:t>
      </w:r>
      <w:r w:rsidRPr="00C97209">
        <w:rPr>
          <w:rStyle w:val="markedcontent"/>
          <w:rFonts w:ascii="Palatino Linotype" w:hAnsi="Palatino Linotype" w:cs="Arial"/>
          <w:i/>
          <w:sz w:val="22"/>
          <w:szCs w:val="22"/>
        </w:rPr>
        <w:lastRenderedPageBreak/>
        <w:t>Procuraduría Metropolitana la misma que se describe en el Expediente No.:2950-2010 de fecha 31 Oct 2011, Referencia: Consulta sobre sentencia de prescripción adquisitiva de dominio, suscrito por la Señora Magíster Natalia Novillo Rameix, SECRETARIA DE COORDINACIÓN TERRITORIAL Y PARTICIPACIÓN CIUDADANA, la cual describe en MARCO NORMATIVO APLICABLE, claramente especifica en el literal B.2.1”.</w:t>
      </w:r>
    </w:p>
    <w:p w:rsidR="000C42C2" w:rsidRDefault="000C42C2" w:rsidP="00BD3F85">
      <w:pPr>
        <w:pStyle w:val="Default"/>
        <w:jc w:val="both"/>
        <w:rPr>
          <w:sz w:val="22"/>
          <w:szCs w:val="22"/>
        </w:rPr>
      </w:pPr>
    </w:p>
    <w:p w:rsidR="001A033B" w:rsidRPr="00C97209" w:rsidRDefault="00E41B4B" w:rsidP="00DD10E5">
      <w:pPr>
        <w:pStyle w:val="Default"/>
        <w:ind w:left="708" w:hanging="708"/>
        <w:jc w:val="both"/>
        <w:rPr>
          <w:sz w:val="22"/>
          <w:szCs w:val="22"/>
        </w:rPr>
      </w:pPr>
      <w:r w:rsidRPr="00EA337F">
        <w:rPr>
          <w:sz w:val="22"/>
          <w:szCs w:val="22"/>
        </w:rPr>
        <w:t xml:space="preserve">Que, </w:t>
      </w:r>
      <w:r w:rsidR="001A033B">
        <w:rPr>
          <w:sz w:val="22"/>
          <w:szCs w:val="22"/>
        </w:rPr>
        <w:t>m</w:t>
      </w:r>
      <w:r w:rsidR="001A033B" w:rsidRPr="00C97209">
        <w:rPr>
          <w:sz w:val="22"/>
          <w:szCs w:val="22"/>
        </w:rPr>
        <w:t xml:space="preserve">ediante </w:t>
      </w:r>
      <w:r w:rsidR="001A033B" w:rsidRPr="00C97209">
        <w:rPr>
          <w:sz w:val="22"/>
          <w:szCs w:val="22"/>
          <w:lang w:val="es-EC"/>
        </w:rPr>
        <w:t xml:space="preserve">memorando Nro. </w:t>
      </w:r>
      <w:r w:rsidR="001A033B" w:rsidRPr="00C97209">
        <w:rPr>
          <w:sz w:val="22"/>
          <w:szCs w:val="22"/>
        </w:rPr>
        <w:t>GADDMQ-AZQ-DAJ-2022-1153-M,</w:t>
      </w:r>
      <w:r w:rsidR="001A033B" w:rsidRPr="00C97209">
        <w:rPr>
          <w:sz w:val="22"/>
          <w:szCs w:val="22"/>
          <w:lang w:val="es-EC"/>
        </w:rPr>
        <w:t xml:space="preserve"> </w:t>
      </w:r>
      <w:r w:rsidR="001A033B" w:rsidRPr="00C97209">
        <w:rPr>
          <w:sz w:val="22"/>
          <w:szCs w:val="22"/>
        </w:rPr>
        <w:t xml:space="preserve">de 10 de noviembre de 2022, la Abg. Gabriela Alexandra Villegas Guerrero, Directora de Asesoría Jurídica de la Administración Zonal Quitumbe, señala: </w:t>
      </w:r>
    </w:p>
    <w:p w:rsidR="001A033B" w:rsidRPr="00C97209" w:rsidRDefault="001A033B" w:rsidP="001A033B">
      <w:pPr>
        <w:pStyle w:val="Default"/>
        <w:jc w:val="both"/>
        <w:rPr>
          <w:i/>
          <w:sz w:val="22"/>
          <w:szCs w:val="22"/>
        </w:rPr>
      </w:pPr>
    </w:p>
    <w:p w:rsidR="001A033B" w:rsidRPr="00C97209" w:rsidRDefault="001A033B" w:rsidP="001A033B">
      <w:pPr>
        <w:tabs>
          <w:tab w:val="left" w:pos="284"/>
        </w:tabs>
        <w:ind w:left="708"/>
        <w:jc w:val="both"/>
        <w:rPr>
          <w:rFonts w:ascii="Palatino Linotype" w:hAnsi="Palatino Linotype"/>
          <w:b/>
          <w:i/>
          <w:sz w:val="22"/>
          <w:szCs w:val="22"/>
        </w:rPr>
      </w:pPr>
      <w:r w:rsidRPr="00C97209">
        <w:rPr>
          <w:rFonts w:ascii="Palatino Linotype" w:eastAsiaTheme="minorHAnsi" w:hAnsi="Palatino Linotype" w:cs="Palatino Linotype"/>
          <w:b/>
          <w:i/>
          <w:color w:val="000000"/>
          <w:sz w:val="22"/>
          <w:szCs w:val="22"/>
          <w:lang w:eastAsia="en-US"/>
        </w:rPr>
        <w:t xml:space="preserve">“(…) </w:t>
      </w:r>
      <w:r w:rsidRPr="00C97209">
        <w:rPr>
          <w:rFonts w:ascii="Palatino Linotype" w:hAnsi="Palatino Linotype"/>
          <w:b/>
          <w:i/>
          <w:sz w:val="22"/>
          <w:szCs w:val="22"/>
        </w:rPr>
        <w:t xml:space="preserve">PRONUNCIAMIENTO LEGAL:  </w:t>
      </w:r>
    </w:p>
    <w:p w:rsidR="001A033B" w:rsidRPr="00C97209" w:rsidRDefault="001A033B" w:rsidP="001A033B">
      <w:pPr>
        <w:tabs>
          <w:tab w:val="left" w:pos="284"/>
        </w:tabs>
        <w:jc w:val="both"/>
        <w:rPr>
          <w:rFonts w:ascii="Palatino Linotype" w:hAnsi="Palatino Linotype"/>
          <w:i/>
          <w:sz w:val="22"/>
          <w:szCs w:val="22"/>
        </w:rPr>
      </w:pPr>
    </w:p>
    <w:p w:rsidR="002A24D9" w:rsidRPr="002A24D9" w:rsidRDefault="000A2106" w:rsidP="002A24D9">
      <w:pPr>
        <w:pStyle w:val="Default"/>
        <w:ind w:left="708"/>
        <w:jc w:val="both"/>
        <w:rPr>
          <w:i/>
          <w:sz w:val="22"/>
          <w:szCs w:val="22"/>
        </w:rPr>
      </w:pPr>
      <w:bookmarkStart w:id="0" w:name="_GoBack"/>
      <w:r w:rsidRPr="002A24D9">
        <w:rPr>
          <w:i/>
          <w:sz w:val="22"/>
          <w:szCs w:val="22"/>
        </w:rPr>
        <w:t>En virtud de los antecedentes expuestos, y con sustento en el Informe Técnico de</w:t>
      </w:r>
      <w:r w:rsidR="002A24D9" w:rsidRPr="002A24D9">
        <w:rPr>
          <w:i/>
          <w:sz w:val="22"/>
          <w:szCs w:val="22"/>
        </w:rPr>
        <w:t xml:space="preserve"> </w:t>
      </w:r>
      <w:r w:rsidRPr="002A24D9">
        <w:rPr>
          <w:i/>
          <w:sz w:val="22"/>
          <w:szCs w:val="22"/>
        </w:rPr>
        <w:t>Prescripción Extraordinaria Adquisitiva Nro. AZQ-DGT-UGU-IT-2022-262 de fecha 08</w:t>
      </w:r>
      <w:r w:rsidR="002A24D9" w:rsidRPr="002A24D9">
        <w:rPr>
          <w:i/>
          <w:sz w:val="22"/>
          <w:szCs w:val="22"/>
        </w:rPr>
        <w:t xml:space="preserve"> </w:t>
      </w:r>
      <w:r w:rsidRPr="002A24D9">
        <w:rPr>
          <w:i/>
          <w:sz w:val="22"/>
          <w:szCs w:val="22"/>
        </w:rPr>
        <w:t>de noviembre del 2022, remitido mediante memorando Nro.</w:t>
      </w:r>
      <w:r w:rsidR="002A24D9" w:rsidRPr="002A24D9">
        <w:rPr>
          <w:i/>
          <w:sz w:val="22"/>
          <w:szCs w:val="22"/>
        </w:rPr>
        <w:t xml:space="preserve"> </w:t>
      </w:r>
      <w:r w:rsidRPr="002A24D9">
        <w:rPr>
          <w:i/>
          <w:sz w:val="22"/>
          <w:szCs w:val="22"/>
        </w:rPr>
        <w:t>GADDMQ-AZQ-DGT-UGU-2022-0531-M de fecha 08 de noviembre de 2022, con el</w:t>
      </w:r>
      <w:r w:rsidR="002A24D9" w:rsidRPr="002A24D9">
        <w:rPr>
          <w:i/>
          <w:sz w:val="22"/>
          <w:szCs w:val="22"/>
        </w:rPr>
        <w:t xml:space="preserve"> </w:t>
      </w:r>
      <w:r w:rsidRPr="002A24D9">
        <w:rPr>
          <w:i/>
          <w:sz w:val="22"/>
          <w:szCs w:val="22"/>
        </w:rPr>
        <w:t>cual se indica que el predio Nro. 547010, No cumple con los datos establecidos en la</w:t>
      </w:r>
      <w:r w:rsidR="001D7418">
        <w:rPr>
          <w:i/>
          <w:sz w:val="22"/>
          <w:szCs w:val="22"/>
        </w:rPr>
        <w:t xml:space="preserve"> </w:t>
      </w:r>
      <w:r w:rsidRPr="002A24D9">
        <w:rPr>
          <w:i/>
          <w:sz w:val="22"/>
          <w:szCs w:val="22"/>
        </w:rPr>
        <w:t>zonificación vigente, tales como, “lote mínimo” y “frente mínimo”, pues el área prescrita</w:t>
      </w:r>
      <w:r w:rsidR="002A24D9" w:rsidRPr="002A24D9">
        <w:rPr>
          <w:i/>
          <w:sz w:val="22"/>
          <w:szCs w:val="22"/>
        </w:rPr>
        <w:t xml:space="preserve"> </w:t>
      </w:r>
      <w:r w:rsidRPr="002A24D9">
        <w:rPr>
          <w:i/>
          <w:sz w:val="22"/>
          <w:szCs w:val="22"/>
        </w:rPr>
        <w:t>corresponde a 96.79 m2, área menor a los 300 m2 establecidos conforme la zonificación</w:t>
      </w:r>
      <w:r w:rsidR="002A24D9" w:rsidRPr="002A24D9">
        <w:rPr>
          <w:i/>
          <w:sz w:val="22"/>
          <w:szCs w:val="22"/>
        </w:rPr>
        <w:t xml:space="preserve"> </w:t>
      </w:r>
      <w:r w:rsidRPr="002A24D9">
        <w:rPr>
          <w:i/>
          <w:sz w:val="22"/>
          <w:szCs w:val="22"/>
        </w:rPr>
        <w:t>vigente; con la finalidad de dar cumplimiento a la sentencia dictada el 09 de julio del</w:t>
      </w:r>
      <w:r w:rsidR="002A24D9" w:rsidRPr="002A24D9">
        <w:rPr>
          <w:i/>
          <w:sz w:val="22"/>
          <w:szCs w:val="22"/>
        </w:rPr>
        <w:t xml:space="preserve"> </w:t>
      </w:r>
      <w:r w:rsidRPr="002A24D9">
        <w:rPr>
          <w:i/>
          <w:sz w:val="22"/>
          <w:szCs w:val="22"/>
        </w:rPr>
        <w:t>2015 a favor de la señora Laura Elisa Villarruel Gudiño, por la Unidad Judicial Civil con</w:t>
      </w:r>
      <w:r w:rsidR="002A24D9" w:rsidRPr="002A24D9">
        <w:rPr>
          <w:i/>
          <w:sz w:val="22"/>
          <w:szCs w:val="22"/>
        </w:rPr>
        <w:t xml:space="preserve"> </w:t>
      </w:r>
      <w:r w:rsidRPr="002A24D9">
        <w:rPr>
          <w:i/>
          <w:sz w:val="22"/>
          <w:szCs w:val="22"/>
        </w:rPr>
        <w:t>sede en el Distrito Metropolitano de Quito, dentro del juicio de prescripción adquisitiva</w:t>
      </w:r>
      <w:r w:rsidR="002A24D9" w:rsidRPr="002A24D9">
        <w:rPr>
          <w:i/>
          <w:sz w:val="22"/>
          <w:szCs w:val="22"/>
        </w:rPr>
        <w:t xml:space="preserve"> </w:t>
      </w:r>
      <w:r w:rsidRPr="002A24D9">
        <w:rPr>
          <w:i/>
          <w:sz w:val="22"/>
          <w:szCs w:val="22"/>
        </w:rPr>
        <w:t>extraordinaria de dominio antes citado, esta Dirección de Asesoría Jurídica emite</w:t>
      </w:r>
      <w:r w:rsidR="002A24D9" w:rsidRPr="002A24D9">
        <w:rPr>
          <w:i/>
          <w:sz w:val="22"/>
          <w:szCs w:val="22"/>
        </w:rPr>
        <w:t xml:space="preserve"> </w:t>
      </w:r>
      <w:r w:rsidRPr="002A24D9">
        <w:rPr>
          <w:i/>
          <w:sz w:val="22"/>
          <w:szCs w:val="22"/>
        </w:rPr>
        <w:t>INFORME LEGAL FAVORABLE para que el Concejo Metropolitano en</w:t>
      </w:r>
      <w:r w:rsidR="002A24D9" w:rsidRPr="002A24D9">
        <w:rPr>
          <w:i/>
          <w:sz w:val="22"/>
          <w:szCs w:val="22"/>
        </w:rPr>
        <w:t xml:space="preserve"> </w:t>
      </w:r>
      <w:r w:rsidRPr="002A24D9">
        <w:rPr>
          <w:i/>
          <w:sz w:val="22"/>
          <w:szCs w:val="22"/>
        </w:rPr>
        <w:t>acatamiento de la sentencia, cambie las condiciones para este inmueble en</w:t>
      </w:r>
      <w:r w:rsidR="002A24D9" w:rsidRPr="002A24D9">
        <w:rPr>
          <w:i/>
          <w:sz w:val="22"/>
          <w:szCs w:val="22"/>
        </w:rPr>
        <w:t xml:space="preserve"> </w:t>
      </w:r>
      <w:r w:rsidRPr="002A24D9">
        <w:rPr>
          <w:i/>
          <w:sz w:val="22"/>
          <w:szCs w:val="22"/>
        </w:rPr>
        <w:t>particular, estableciendo una excepción a las condiciones generales.</w:t>
      </w:r>
    </w:p>
    <w:bookmarkEnd w:id="0"/>
    <w:p w:rsidR="008840B0" w:rsidRPr="002A24D9" w:rsidRDefault="000A2106" w:rsidP="002A24D9">
      <w:pPr>
        <w:pStyle w:val="Default"/>
        <w:ind w:left="708"/>
        <w:jc w:val="both"/>
        <w:rPr>
          <w:i/>
          <w:sz w:val="22"/>
          <w:szCs w:val="22"/>
        </w:rPr>
      </w:pPr>
      <w:r w:rsidRPr="002A24D9">
        <w:rPr>
          <w:i/>
          <w:sz w:val="22"/>
          <w:szCs w:val="22"/>
        </w:rPr>
        <w:br/>
        <w:t>Así mismo, en lo referente al área verde, se ceñirá a lo establecido en el artículo 2197</w:t>
      </w:r>
      <w:r w:rsidR="002A24D9" w:rsidRPr="002A24D9">
        <w:rPr>
          <w:i/>
          <w:sz w:val="22"/>
          <w:szCs w:val="22"/>
        </w:rPr>
        <w:t xml:space="preserve"> </w:t>
      </w:r>
      <w:r w:rsidRPr="002A24D9">
        <w:rPr>
          <w:i/>
          <w:sz w:val="22"/>
          <w:szCs w:val="22"/>
        </w:rPr>
        <w:t>del Código Municipal para el Distrito Metropolitano de Quito</w:t>
      </w:r>
      <w:r w:rsidRPr="002A24D9">
        <w:rPr>
          <w:i/>
          <w:sz w:val="22"/>
          <w:szCs w:val="22"/>
        </w:rPr>
        <w:t>”</w:t>
      </w:r>
      <w:r w:rsidRPr="002A24D9">
        <w:rPr>
          <w:i/>
          <w:sz w:val="22"/>
          <w:szCs w:val="22"/>
        </w:rPr>
        <w:t>.</w:t>
      </w:r>
    </w:p>
    <w:p w:rsidR="000A2106" w:rsidRPr="00EA337F" w:rsidRDefault="000A2106" w:rsidP="005231AD">
      <w:pPr>
        <w:pStyle w:val="Default"/>
        <w:jc w:val="both"/>
        <w:rPr>
          <w:i/>
          <w:sz w:val="22"/>
          <w:szCs w:val="22"/>
        </w:rPr>
      </w:pPr>
    </w:p>
    <w:p w:rsidR="00FE1203" w:rsidRPr="00EA337F" w:rsidRDefault="00FE1203" w:rsidP="00FE1203">
      <w:pPr>
        <w:pStyle w:val="Default"/>
        <w:ind w:left="708" w:hanging="708"/>
        <w:jc w:val="both"/>
        <w:rPr>
          <w:sz w:val="22"/>
          <w:szCs w:val="22"/>
        </w:rPr>
      </w:pPr>
      <w:r w:rsidRPr="00EA337F">
        <w:rPr>
          <w:sz w:val="22"/>
          <w:szCs w:val="22"/>
        </w:rPr>
        <w:t xml:space="preserve">Que, </w:t>
      </w:r>
      <w:r w:rsidRPr="00EA337F">
        <w:rPr>
          <w:sz w:val="22"/>
          <w:szCs w:val="22"/>
        </w:rPr>
        <w:tab/>
        <w:t>la Comisión de Uso de Su</w:t>
      </w:r>
      <w:r w:rsidR="00600134">
        <w:rPr>
          <w:sz w:val="22"/>
          <w:szCs w:val="22"/>
        </w:rPr>
        <w:t>elo en sesión ordinaria Nro. 180</w:t>
      </w:r>
      <w:r w:rsidRPr="00EA337F">
        <w:rPr>
          <w:sz w:val="22"/>
          <w:szCs w:val="22"/>
        </w:rPr>
        <w:t xml:space="preserve">, de </w:t>
      </w:r>
      <w:r w:rsidR="00600134">
        <w:rPr>
          <w:sz w:val="22"/>
          <w:szCs w:val="22"/>
        </w:rPr>
        <w:t xml:space="preserve">12 </w:t>
      </w:r>
      <w:r w:rsidRPr="00EA337F">
        <w:rPr>
          <w:sz w:val="22"/>
          <w:szCs w:val="22"/>
        </w:rPr>
        <w:t xml:space="preserve">de </w:t>
      </w:r>
      <w:r w:rsidR="00600134">
        <w:rPr>
          <w:sz w:val="22"/>
          <w:szCs w:val="22"/>
        </w:rPr>
        <w:t xml:space="preserve">diciembre </w:t>
      </w:r>
      <w:r w:rsidRPr="00EA337F">
        <w:rPr>
          <w:sz w:val="22"/>
          <w:szCs w:val="22"/>
        </w:rPr>
        <w:t xml:space="preserve">de 2022, analizó los informes técnicos y legales, que reposan en el expediente , y emitió dictamen favorable para que el Concejo Metropolitano conozca la sentencia de prescripción extraordinaria adquisitiva de dominio y como efecto de dicha sentencia, y para su efectiva ejecución, autorice la subdivisión del bien en mención, cambiando las condiciones de ese inmueble en particular y generando una excepción a las condiciones generales. </w:t>
      </w:r>
    </w:p>
    <w:p w:rsidR="00035E6C" w:rsidRPr="00EA337F" w:rsidRDefault="00035E6C" w:rsidP="00035E6C">
      <w:pPr>
        <w:autoSpaceDE w:val="0"/>
        <w:autoSpaceDN w:val="0"/>
        <w:adjustRightInd w:val="0"/>
        <w:ind w:left="1416" w:hanging="1416"/>
        <w:jc w:val="both"/>
        <w:rPr>
          <w:rFonts w:ascii="Palatino Linotype" w:eastAsiaTheme="minorHAnsi" w:hAnsi="Palatino Linotype"/>
          <w:sz w:val="22"/>
          <w:szCs w:val="22"/>
          <w:lang w:eastAsia="en-US"/>
        </w:rPr>
      </w:pPr>
    </w:p>
    <w:p w:rsidR="00C926A0" w:rsidRPr="00EA337F" w:rsidRDefault="00C926A0" w:rsidP="00C926A0">
      <w:pPr>
        <w:autoSpaceDE w:val="0"/>
        <w:autoSpaceDN w:val="0"/>
        <w:adjustRightInd w:val="0"/>
        <w:ind w:left="709" w:hanging="709"/>
        <w:jc w:val="both"/>
        <w:rPr>
          <w:rFonts w:ascii="Palatino Linotype" w:eastAsiaTheme="minorHAnsi" w:hAnsi="Palatino Linotype"/>
          <w:sz w:val="22"/>
          <w:szCs w:val="22"/>
          <w:lang w:eastAsia="en-US"/>
        </w:rPr>
      </w:pPr>
      <w:r w:rsidRPr="00EA337F">
        <w:rPr>
          <w:rFonts w:ascii="Palatino Linotype" w:eastAsiaTheme="minorHAnsi" w:hAnsi="Palatino Linotype"/>
          <w:sz w:val="22"/>
          <w:szCs w:val="22"/>
          <w:lang w:eastAsia="en-US"/>
        </w:rPr>
        <w:t xml:space="preserve">Que, </w:t>
      </w:r>
      <w:r w:rsidRPr="00EA337F">
        <w:rPr>
          <w:rFonts w:ascii="Palatino Linotype" w:eastAsiaTheme="minorHAnsi" w:hAnsi="Palatino Linotype"/>
          <w:sz w:val="22"/>
          <w:szCs w:val="22"/>
          <w:lang w:eastAsia="en-US"/>
        </w:rPr>
        <w:tab/>
        <w:t>el Concejo Metropolitano de Quito, en sesión pública ordinaria r</w:t>
      </w:r>
      <w:r w:rsidR="00AC4B2C" w:rsidRPr="00EA337F">
        <w:rPr>
          <w:rFonts w:ascii="Palatino Linotype" w:eastAsiaTheme="minorHAnsi" w:hAnsi="Palatino Linotype"/>
          <w:sz w:val="22"/>
          <w:szCs w:val="22"/>
          <w:lang w:eastAsia="en-US"/>
        </w:rPr>
        <w:t>ealizada el … de … de 2022</w:t>
      </w:r>
      <w:r w:rsidRPr="00EA337F">
        <w:rPr>
          <w:rFonts w:ascii="Palatino Linotype" w:eastAsiaTheme="minorHAnsi" w:hAnsi="Palatino Linotype"/>
          <w:sz w:val="22"/>
          <w:szCs w:val="22"/>
          <w:lang w:eastAsia="en-US"/>
        </w:rPr>
        <w:t>, ana</w:t>
      </w:r>
      <w:r w:rsidR="00144F8A" w:rsidRPr="00EA337F">
        <w:rPr>
          <w:rFonts w:ascii="Palatino Linotype" w:eastAsiaTheme="minorHAnsi" w:hAnsi="Palatino Linotype"/>
          <w:sz w:val="22"/>
          <w:szCs w:val="22"/>
          <w:lang w:eastAsia="en-US"/>
        </w:rPr>
        <w:t>lizó el informe Nro. IC-CUS-202</w:t>
      </w:r>
      <w:r w:rsidR="00A55032" w:rsidRPr="00EA337F">
        <w:rPr>
          <w:rFonts w:ascii="Palatino Linotype" w:eastAsiaTheme="minorHAnsi" w:hAnsi="Palatino Linotype"/>
          <w:sz w:val="22"/>
          <w:szCs w:val="22"/>
          <w:lang w:eastAsia="en-US"/>
        </w:rPr>
        <w:t>2</w:t>
      </w:r>
      <w:r w:rsidR="00745751" w:rsidRPr="00EA337F">
        <w:rPr>
          <w:rFonts w:ascii="Palatino Linotype" w:eastAsiaTheme="minorHAnsi" w:hAnsi="Palatino Linotype"/>
          <w:sz w:val="22"/>
          <w:szCs w:val="22"/>
          <w:lang w:eastAsia="en-US"/>
        </w:rPr>
        <w:t>-</w:t>
      </w:r>
      <w:r w:rsidR="00C75BFB">
        <w:rPr>
          <w:rFonts w:ascii="Palatino Linotype" w:eastAsiaTheme="minorHAnsi" w:hAnsi="Palatino Linotype"/>
          <w:sz w:val="22"/>
          <w:szCs w:val="22"/>
          <w:lang w:eastAsia="en-US"/>
        </w:rPr>
        <w:t>114</w:t>
      </w:r>
      <w:r w:rsidR="00DB552C" w:rsidRPr="00EA337F">
        <w:rPr>
          <w:rFonts w:ascii="Palatino Linotype" w:eastAsiaTheme="minorHAnsi" w:hAnsi="Palatino Linotype"/>
          <w:sz w:val="22"/>
          <w:szCs w:val="22"/>
          <w:lang w:eastAsia="en-US"/>
        </w:rPr>
        <w:t>,</w:t>
      </w:r>
      <w:r w:rsidRPr="00EA337F">
        <w:rPr>
          <w:rFonts w:ascii="Palatino Linotype" w:eastAsiaTheme="minorHAnsi" w:hAnsi="Palatino Linotype"/>
          <w:sz w:val="22"/>
          <w:szCs w:val="22"/>
          <w:lang w:eastAsia="en-US"/>
        </w:rPr>
        <w:t xml:space="preserve"> emitido por la Comisión de Uso de Suelo; </w:t>
      </w:r>
    </w:p>
    <w:p w:rsidR="00C926A0" w:rsidRPr="00EA337F" w:rsidRDefault="00C926A0" w:rsidP="00C926A0">
      <w:pPr>
        <w:autoSpaceDE w:val="0"/>
        <w:autoSpaceDN w:val="0"/>
        <w:adjustRightInd w:val="0"/>
        <w:spacing w:line="276" w:lineRule="auto"/>
        <w:jc w:val="both"/>
        <w:rPr>
          <w:rFonts w:ascii="Palatino Linotype" w:eastAsiaTheme="minorHAnsi" w:hAnsi="Palatino Linotype"/>
          <w:sz w:val="22"/>
          <w:szCs w:val="22"/>
          <w:lang w:eastAsia="en-US"/>
        </w:rPr>
      </w:pPr>
    </w:p>
    <w:p w:rsidR="00C926A0" w:rsidRPr="00EA337F" w:rsidRDefault="00C926A0" w:rsidP="00C926A0">
      <w:pPr>
        <w:autoSpaceDE w:val="0"/>
        <w:autoSpaceDN w:val="0"/>
        <w:adjustRightInd w:val="0"/>
        <w:spacing w:line="276" w:lineRule="auto"/>
        <w:jc w:val="both"/>
        <w:rPr>
          <w:rFonts w:ascii="Palatino Linotype" w:eastAsiaTheme="minorHAnsi" w:hAnsi="Palatino Linotype"/>
          <w:b/>
          <w:bCs/>
          <w:sz w:val="22"/>
          <w:szCs w:val="22"/>
          <w:lang w:eastAsia="en-US"/>
        </w:rPr>
      </w:pPr>
      <w:r w:rsidRPr="00EA337F">
        <w:rPr>
          <w:rFonts w:ascii="Palatino Linotype" w:eastAsiaTheme="minorHAnsi" w:hAnsi="Palatino Linotype"/>
          <w:b/>
          <w:bCs/>
          <w:sz w:val="22"/>
          <w:szCs w:val="22"/>
          <w:lang w:eastAsia="en-US"/>
        </w:rPr>
        <w:t xml:space="preserve">En ejercicio de las atribuciones previstas en el artículo 240 de la Constitución de la República; y artículos 87 literal a) y 323 del Código Orgánico de Organización Territorial, Autonomía y Descentralización. </w:t>
      </w:r>
    </w:p>
    <w:p w:rsidR="00C926A0" w:rsidRPr="00EA337F" w:rsidRDefault="00C926A0" w:rsidP="00C926A0">
      <w:pPr>
        <w:autoSpaceDE w:val="0"/>
        <w:autoSpaceDN w:val="0"/>
        <w:adjustRightInd w:val="0"/>
        <w:spacing w:line="276" w:lineRule="auto"/>
        <w:jc w:val="both"/>
        <w:rPr>
          <w:rFonts w:ascii="Palatino Linotype" w:eastAsiaTheme="minorHAnsi" w:hAnsi="Palatino Linotype"/>
          <w:b/>
          <w:bCs/>
          <w:sz w:val="22"/>
          <w:szCs w:val="22"/>
          <w:lang w:eastAsia="en-US"/>
        </w:rPr>
      </w:pPr>
    </w:p>
    <w:p w:rsidR="00C926A0" w:rsidRPr="00EA337F" w:rsidRDefault="00C926A0" w:rsidP="00C926A0">
      <w:pPr>
        <w:autoSpaceDE w:val="0"/>
        <w:autoSpaceDN w:val="0"/>
        <w:adjustRightInd w:val="0"/>
        <w:spacing w:line="276" w:lineRule="auto"/>
        <w:jc w:val="center"/>
        <w:rPr>
          <w:rFonts w:ascii="Palatino Linotype" w:eastAsiaTheme="minorHAnsi" w:hAnsi="Palatino Linotype"/>
          <w:b/>
          <w:bCs/>
          <w:sz w:val="22"/>
          <w:szCs w:val="22"/>
          <w:lang w:eastAsia="en-US"/>
        </w:rPr>
      </w:pPr>
      <w:r w:rsidRPr="00EA337F">
        <w:rPr>
          <w:rFonts w:ascii="Palatino Linotype" w:eastAsiaTheme="minorHAnsi" w:hAnsi="Palatino Linotype"/>
          <w:b/>
          <w:bCs/>
          <w:sz w:val="22"/>
          <w:szCs w:val="22"/>
          <w:lang w:eastAsia="en-US"/>
        </w:rPr>
        <w:t>RESUELVE:</w:t>
      </w:r>
    </w:p>
    <w:p w:rsidR="00755448" w:rsidRPr="00EA337F" w:rsidRDefault="00755448" w:rsidP="00755448">
      <w:pPr>
        <w:autoSpaceDE w:val="0"/>
        <w:autoSpaceDN w:val="0"/>
        <w:adjustRightInd w:val="0"/>
        <w:spacing w:line="276" w:lineRule="auto"/>
        <w:jc w:val="both"/>
        <w:rPr>
          <w:rFonts w:ascii="Palatino Linotype" w:eastAsiaTheme="minorHAnsi" w:hAnsi="Palatino Linotype"/>
          <w:sz w:val="22"/>
          <w:szCs w:val="22"/>
          <w:lang w:eastAsia="en-US"/>
        </w:rPr>
      </w:pPr>
    </w:p>
    <w:p w:rsidR="005F36E3" w:rsidRPr="00E822C4" w:rsidRDefault="005F36E3" w:rsidP="00755448">
      <w:pPr>
        <w:autoSpaceDE w:val="0"/>
        <w:autoSpaceDN w:val="0"/>
        <w:adjustRightInd w:val="0"/>
        <w:spacing w:line="276" w:lineRule="auto"/>
        <w:jc w:val="both"/>
        <w:rPr>
          <w:rFonts w:ascii="Palatino Linotype" w:hAnsi="Palatino Linotype" w:cs="Arial"/>
          <w:sz w:val="22"/>
          <w:szCs w:val="22"/>
        </w:rPr>
      </w:pPr>
      <w:r w:rsidRPr="00EA337F">
        <w:rPr>
          <w:rFonts w:ascii="Palatino Linotype" w:hAnsi="Palatino Linotype" w:cs="Arial"/>
          <w:b/>
          <w:sz w:val="22"/>
          <w:szCs w:val="22"/>
        </w:rPr>
        <w:t>Artí</w:t>
      </w:r>
      <w:r w:rsidRPr="00AA61B2">
        <w:rPr>
          <w:rFonts w:ascii="Palatino Linotype" w:hAnsi="Palatino Linotype" w:cs="Arial"/>
          <w:b/>
          <w:sz w:val="22"/>
          <w:szCs w:val="22"/>
        </w:rPr>
        <w:t>culo 1.-</w:t>
      </w:r>
      <w:r w:rsidRPr="00AA61B2">
        <w:rPr>
          <w:rFonts w:ascii="Palatino Linotype" w:hAnsi="Palatino Linotype" w:cs="Arial"/>
          <w:sz w:val="22"/>
          <w:szCs w:val="22"/>
        </w:rPr>
        <w:t xml:space="preserve"> Autorizar la subdivisión del predio </w:t>
      </w:r>
      <w:r w:rsidR="00500F55" w:rsidRPr="00C97209">
        <w:rPr>
          <w:rFonts w:ascii="Palatino Linotype" w:hAnsi="Palatino Linotype"/>
          <w:sz w:val="22"/>
          <w:szCs w:val="22"/>
        </w:rPr>
        <w:t>547010</w:t>
      </w:r>
      <w:r w:rsidRPr="00AA61B2">
        <w:rPr>
          <w:rFonts w:ascii="Palatino Linotype" w:hAnsi="Palatino Linotype" w:cs="Arial"/>
          <w:sz w:val="22"/>
          <w:szCs w:val="22"/>
        </w:rPr>
        <w:t xml:space="preserve">, cambiando las condiciones de ese inmueble en particular y generando una excepción a las condiciones generales, de conformidad con la sentencia emitida dentro del proceso judicial No. </w:t>
      </w:r>
      <w:r w:rsidR="00500F55" w:rsidRPr="00500F55">
        <w:rPr>
          <w:rStyle w:val="markedcontent"/>
          <w:rFonts w:ascii="Palatino Linotype" w:hAnsi="Palatino Linotype" w:cs="Arial"/>
          <w:sz w:val="22"/>
          <w:szCs w:val="22"/>
        </w:rPr>
        <w:t>17303-2021-1378</w:t>
      </w:r>
      <w:r w:rsidRPr="00AA61B2">
        <w:rPr>
          <w:rFonts w:ascii="Palatino Linotype" w:hAnsi="Palatino Linotype" w:cs="Arial"/>
          <w:sz w:val="22"/>
          <w:szCs w:val="22"/>
        </w:rPr>
        <w:t>, mediante la cual la Jueza de la Unidad Judicial Civil con sede en la parroquia de Iñaquito del Distrito Metropolitano de Quito, acepta la demanda y declara la Prescripción Extraordinaria Adquisitiva de Do</w:t>
      </w:r>
      <w:r w:rsidR="00633AF6" w:rsidRPr="00AA61B2">
        <w:rPr>
          <w:rFonts w:ascii="Palatino Linotype" w:hAnsi="Palatino Linotype" w:cs="Arial"/>
          <w:sz w:val="22"/>
          <w:szCs w:val="22"/>
        </w:rPr>
        <w:t>minio que ha operado a favor de</w:t>
      </w:r>
      <w:r w:rsidR="00826061" w:rsidRPr="00AA61B2">
        <w:rPr>
          <w:rFonts w:ascii="Palatino Linotype" w:hAnsi="Palatino Linotype" w:cs="Arial"/>
          <w:sz w:val="22"/>
          <w:szCs w:val="22"/>
        </w:rPr>
        <w:t xml:space="preserve"> </w:t>
      </w:r>
      <w:r w:rsidR="001246BD" w:rsidRPr="001246BD">
        <w:rPr>
          <w:rStyle w:val="markedcontent"/>
          <w:rFonts w:ascii="Palatino Linotype" w:hAnsi="Palatino Linotype" w:cs="Arial"/>
          <w:sz w:val="22"/>
          <w:szCs w:val="22"/>
        </w:rPr>
        <w:t>la señora Laura Villarruel Gudiño</w:t>
      </w:r>
      <w:r w:rsidRPr="001246BD">
        <w:rPr>
          <w:rFonts w:ascii="Palatino Linotype" w:hAnsi="Palatino Linotype" w:cs="Arial"/>
          <w:sz w:val="22"/>
          <w:szCs w:val="22"/>
        </w:rPr>
        <w:t>,</w:t>
      </w:r>
      <w:r w:rsidRPr="00E822C4">
        <w:rPr>
          <w:rFonts w:ascii="Palatino Linotype" w:hAnsi="Palatino Linotype" w:cs="Arial"/>
          <w:sz w:val="22"/>
          <w:szCs w:val="22"/>
        </w:rPr>
        <w:t xml:space="preserve"> por una superficie de </w:t>
      </w:r>
      <w:r w:rsidR="00AD3EE5">
        <w:rPr>
          <w:rFonts w:ascii="Palatino Linotype" w:hAnsi="Palatino Linotype"/>
          <w:sz w:val="22"/>
          <w:szCs w:val="22"/>
        </w:rPr>
        <w:t>96,79</w:t>
      </w:r>
      <w:r w:rsidR="00826061" w:rsidRPr="00E822C4">
        <w:rPr>
          <w:rFonts w:ascii="Palatino Linotype" w:hAnsi="Palatino Linotype"/>
          <w:sz w:val="22"/>
          <w:szCs w:val="22"/>
        </w:rPr>
        <w:t xml:space="preserve"> </w:t>
      </w:r>
      <w:r w:rsidR="002F2CCA" w:rsidRPr="00E822C4">
        <w:rPr>
          <w:rFonts w:ascii="Palatino Linotype" w:hAnsi="Palatino Linotype"/>
          <w:sz w:val="22"/>
          <w:szCs w:val="22"/>
        </w:rPr>
        <w:t>m2</w:t>
      </w:r>
      <w:r w:rsidRPr="00E822C4">
        <w:rPr>
          <w:rFonts w:ascii="Palatino Linotype" w:hAnsi="Palatino Linotype" w:cs="Arial"/>
          <w:sz w:val="22"/>
          <w:szCs w:val="22"/>
        </w:rPr>
        <w:t xml:space="preserve">. </w:t>
      </w:r>
    </w:p>
    <w:p w:rsidR="005F36E3" w:rsidRPr="00AA61B2" w:rsidRDefault="005F36E3" w:rsidP="00755448">
      <w:pPr>
        <w:autoSpaceDE w:val="0"/>
        <w:autoSpaceDN w:val="0"/>
        <w:adjustRightInd w:val="0"/>
        <w:spacing w:line="276" w:lineRule="auto"/>
        <w:jc w:val="both"/>
        <w:rPr>
          <w:rFonts w:ascii="Palatino Linotype" w:hAnsi="Palatino Linotype" w:cs="Arial"/>
          <w:sz w:val="22"/>
          <w:szCs w:val="22"/>
        </w:rPr>
      </w:pPr>
    </w:p>
    <w:p w:rsidR="005F36E3" w:rsidRPr="00AA61B2" w:rsidRDefault="005F36E3" w:rsidP="00755448">
      <w:pPr>
        <w:autoSpaceDE w:val="0"/>
        <w:autoSpaceDN w:val="0"/>
        <w:adjustRightInd w:val="0"/>
        <w:spacing w:line="276" w:lineRule="auto"/>
        <w:jc w:val="both"/>
        <w:rPr>
          <w:rFonts w:ascii="Palatino Linotype" w:hAnsi="Palatino Linotype" w:cs="Arial"/>
          <w:sz w:val="22"/>
          <w:szCs w:val="22"/>
        </w:rPr>
      </w:pPr>
      <w:r w:rsidRPr="00AA61B2">
        <w:rPr>
          <w:rFonts w:ascii="Palatino Linotype" w:hAnsi="Palatino Linotype" w:cs="Arial"/>
          <w:sz w:val="22"/>
          <w:szCs w:val="22"/>
        </w:rPr>
        <w:t xml:space="preserve">De conformidad con lo dispuesto en el artículo 2266.160 del Código Municipal para el Distrito Metropolitano de Quito, </w:t>
      </w:r>
      <w:r w:rsidR="00E82A64" w:rsidRPr="00AA61B2">
        <w:rPr>
          <w:rFonts w:ascii="Palatino Linotype" w:hAnsi="Palatino Linotype" w:cs="Arial"/>
          <w:sz w:val="22"/>
          <w:szCs w:val="22"/>
        </w:rPr>
        <w:t xml:space="preserve">a favor de </w:t>
      </w:r>
      <w:r w:rsidR="00E82A64" w:rsidRPr="001246BD">
        <w:rPr>
          <w:rStyle w:val="markedcontent"/>
          <w:rFonts w:ascii="Palatino Linotype" w:hAnsi="Palatino Linotype" w:cs="Arial"/>
          <w:sz w:val="22"/>
          <w:szCs w:val="22"/>
        </w:rPr>
        <w:t>la señora Laura Villarruel Gudiño</w:t>
      </w:r>
      <w:r w:rsidRPr="00AA61B2">
        <w:rPr>
          <w:rFonts w:ascii="Palatino Linotype" w:hAnsi="Palatino Linotype" w:cs="Arial"/>
          <w:sz w:val="22"/>
          <w:szCs w:val="22"/>
        </w:rPr>
        <w:t>, deberá compensar en valor monetario, la contribución del 15% del área útil adjudicada, de acuerdo con el cálculo que realice la Administración Zonal competente.</w:t>
      </w:r>
    </w:p>
    <w:p w:rsidR="005F36E3" w:rsidRPr="00EA337F" w:rsidRDefault="005F36E3" w:rsidP="00755448">
      <w:pPr>
        <w:autoSpaceDE w:val="0"/>
        <w:autoSpaceDN w:val="0"/>
        <w:adjustRightInd w:val="0"/>
        <w:spacing w:line="276" w:lineRule="auto"/>
        <w:jc w:val="both"/>
        <w:rPr>
          <w:rFonts w:ascii="Palatino Linotype" w:eastAsiaTheme="minorHAnsi" w:hAnsi="Palatino Linotype"/>
          <w:sz w:val="22"/>
          <w:szCs w:val="22"/>
          <w:lang w:eastAsia="en-US"/>
        </w:rPr>
      </w:pPr>
    </w:p>
    <w:p w:rsidR="00755448" w:rsidRPr="00EA337F" w:rsidRDefault="00296140" w:rsidP="00755448">
      <w:pPr>
        <w:autoSpaceDE w:val="0"/>
        <w:autoSpaceDN w:val="0"/>
        <w:adjustRightInd w:val="0"/>
        <w:spacing w:line="276" w:lineRule="auto"/>
        <w:jc w:val="both"/>
        <w:rPr>
          <w:rFonts w:ascii="Palatino Linotype" w:eastAsiaTheme="minorHAnsi" w:hAnsi="Palatino Linotype"/>
          <w:b/>
          <w:sz w:val="22"/>
          <w:szCs w:val="22"/>
          <w:lang w:eastAsia="en-US"/>
        </w:rPr>
      </w:pPr>
      <w:r w:rsidRPr="00EA337F">
        <w:rPr>
          <w:rFonts w:ascii="Palatino Linotype" w:eastAsiaTheme="minorHAnsi" w:hAnsi="Palatino Linotype"/>
          <w:b/>
          <w:sz w:val="22"/>
          <w:szCs w:val="22"/>
          <w:lang w:eastAsia="en-US"/>
        </w:rPr>
        <w:t>Disposiciones generales:</w:t>
      </w:r>
    </w:p>
    <w:p w:rsidR="00755448" w:rsidRPr="00EA337F" w:rsidRDefault="00755448" w:rsidP="00755448">
      <w:pPr>
        <w:autoSpaceDE w:val="0"/>
        <w:autoSpaceDN w:val="0"/>
        <w:adjustRightInd w:val="0"/>
        <w:spacing w:line="276" w:lineRule="auto"/>
        <w:jc w:val="both"/>
        <w:rPr>
          <w:rFonts w:ascii="Palatino Linotype" w:eastAsiaTheme="minorHAnsi" w:hAnsi="Palatino Linotype"/>
          <w:b/>
          <w:sz w:val="22"/>
          <w:szCs w:val="22"/>
          <w:lang w:eastAsia="en-US"/>
        </w:rPr>
      </w:pPr>
    </w:p>
    <w:p w:rsidR="00755448" w:rsidRPr="00EA337F" w:rsidRDefault="00755448" w:rsidP="00755448">
      <w:pPr>
        <w:autoSpaceDE w:val="0"/>
        <w:autoSpaceDN w:val="0"/>
        <w:adjustRightInd w:val="0"/>
        <w:spacing w:line="276" w:lineRule="auto"/>
        <w:jc w:val="both"/>
        <w:rPr>
          <w:rFonts w:ascii="Palatino Linotype" w:eastAsiaTheme="minorHAnsi" w:hAnsi="Palatino Linotype"/>
          <w:sz w:val="22"/>
          <w:szCs w:val="22"/>
          <w:lang w:eastAsia="en-US"/>
        </w:rPr>
      </w:pPr>
      <w:r w:rsidRPr="00EA337F">
        <w:rPr>
          <w:rFonts w:ascii="Palatino Linotype" w:eastAsiaTheme="minorHAnsi" w:hAnsi="Palatino Linotype"/>
          <w:b/>
          <w:sz w:val="22"/>
          <w:szCs w:val="22"/>
          <w:lang w:eastAsia="en-US"/>
        </w:rPr>
        <w:t xml:space="preserve">Primera.- </w:t>
      </w:r>
      <w:r w:rsidRPr="00EA337F">
        <w:rPr>
          <w:rFonts w:ascii="Palatino Linotype" w:eastAsiaTheme="minorHAnsi" w:hAnsi="Palatino Linotype"/>
          <w:sz w:val="22"/>
          <w:szCs w:val="22"/>
          <w:lang w:eastAsia="en-US"/>
        </w:rPr>
        <w:t xml:space="preserve">Comuníquese al interesado, a la Administración Zonal correspondiente y, a la Secretaría de Territorio, Hábitat y Vivienda, a fin de que se continúe con los trámites de ley. </w:t>
      </w:r>
    </w:p>
    <w:p w:rsidR="00755448" w:rsidRPr="00EA337F" w:rsidRDefault="00755448" w:rsidP="00755448">
      <w:pPr>
        <w:autoSpaceDE w:val="0"/>
        <w:autoSpaceDN w:val="0"/>
        <w:adjustRightInd w:val="0"/>
        <w:spacing w:line="276" w:lineRule="auto"/>
        <w:rPr>
          <w:rFonts w:ascii="Palatino Linotype" w:eastAsiaTheme="minorHAnsi" w:hAnsi="Palatino Linotype"/>
          <w:sz w:val="22"/>
          <w:szCs w:val="22"/>
          <w:lang w:eastAsia="en-US"/>
        </w:rPr>
      </w:pPr>
    </w:p>
    <w:p w:rsidR="00755448" w:rsidRPr="00EA337F" w:rsidRDefault="00755448" w:rsidP="00755448">
      <w:pPr>
        <w:autoSpaceDE w:val="0"/>
        <w:autoSpaceDN w:val="0"/>
        <w:adjustRightInd w:val="0"/>
        <w:spacing w:line="276" w:lineRule="auto"/>
        <w:rPr>
          <w:rFonts w:ascii="Palatino Linotype" w:eastAsiaTheme="minorHAnsi" w:hAnsi="Palatino Linotype"/>
          <w:sz w:val="22"/>
          <w:szCs w:val="22"/>
          <w:lang w:eastAsia="en-US"/>
        </w:rPr>
      </w:pPr>
      <w:r w:rsidRPr="00EA337F">
        <w:rPr>
          <w:rFonts w:ascii="Palatino Linotype" w:eastAsiaTheme="minorHAnsi" w:hAnsi="Palatino Linotype"/>
          <w:b/>
          <w:sz w:val="22"/>
          <w:szCs w:val="22"/>
          <w:lang w:eastAsia="en-US"/>
        </w:rPr>
        <w:t>Segunda.-</w:t>
      </w:r>
      <w:r w:rsidRPr="00EA337F">
        <w:rPr>
          <w:rFonts w:ascii="Palatino Linotype" w:eastAsiaTheme="minorHAnsi" w:hAnsi="Palatino Linotype"/>
          <w:sz w:val="22"/>
          <w:szCs w:val="22"/>
          <w:lang w:eastAsia="en-US"/>
        </w:rPr>
        <w:t xml:space="preserve"> La presente resolución se aprueba en base a los informes que son de exclusiva responsabilidad de los funcionarios que lo suscriben y realizan.</w:t>
      </w:r>
    </w:p>
    <w:p w:rsidR="00755448" w:rsidRPr="00EA337F" w:rsidRDefault="00755448" w:rsidP="00755448">
      <w:pPr>
        <w:autoSpaceDE w:val="0"/>
        <w:autoSpaceDN w:val="0"/>
        <w:adjustRightInd w:val="0"/>
        <w:spacing w:line="276" w:lineRule="auto"/>
        <w:rPr>
          <w:rFonts w:ascii="Palatino Linotype" w:eastAsiaTheme="minorHAnsi" w:hAnsi="Palatino Linotype"/>
          <w:sz w:val="22"/>
          <w:szCs w:val="22"/>
          <w:lang w:eastAsia="en-US"/>
        </w:rPr>
      </w:pPr>
    </w:p>
    <w:p w:rsidR="00755448" w:rsidRPr="00EA337F" w:rsidRDefault="00755448" w:rsidP="00755448">
      <w:pPr>
        <w:autoSpaceDE w:val="0"/>
        <w:autoSpaceDN w:val="0"/>
        <w:adjustRightInd w:val="0"/>
        <w:spacing w:line="276" w:lineRule="auto"/>
        <w:jc w:val="both"/>
        <w:rPr>
          <w:rFonts w:ascii="Palatino Linotype" w:eastAsiaTheme="minorHAnsi" w:hAnsi="Palatino Linotype"/>
          <w:sz w:val="22"/>
          <w:szCs w:val="22"/>
          <w:lang w:eastAsia="en-US"/>
        </w:rPr>
      </w:pPr>
      <w:r w:rsidRPr="00EA337F">
        <w:rPr>
          <w:rFonts w:ascii="Palatino Linotype" w:eastAsiaTheme="minorHAnsi" w:hAnsi="Palatino Linotype"/>
          <w:b/>
          <w:sz w:val="22"/>
          <w:szCs w:val="22"/>
          <w:lang w:eastAsia="en-US"/>
        </w:rPr>
        <w:t>Disposición Final.-</w:t>
      </w:r>
      <w:r w:rsidRPr="00EA337F">
        <w:rPr>
          <w:rFonts w:ascii="Palatino Linotype" w:eastAsiaTheme="minorHAnsi" w:hAnsi="Palatino Linotype"/>
          <w:sz w:val="22"/>
          <w:szCs w:val="22"/>
          <w:lang w:eastAsia="en-US"/>
        </w:rPr>
        <w:t xml:space="preserve"> La presente resolución entrará en vigencia a partir de su suscripción sin perjuicio de su publicación.</w:t>
      </w:r>
    </w:p>
    <w:p w:rsidR="00755448" w:rsidRPr="00EA337F" w:rsidRDefault="00755448" w:rsidP="00755448">
      <w:pPr>
        <w:autoSpaceDE w:val="0"/>
        <w:autoSpaceDN w:val="0"/>
        <w:adjustRightInd w:val="0"/>
        <w:spacing w:line="276" w:lineRule="auto"/>
        <w:jc w:val="both"/>
        <w:rPr>
          <w:rFonts w:ascii="Palatino Linotype" w:eastAsiaTheme="minorHAnsi" w:hAnsi="Palatino Linotype"/>
          <w:sz w:val="22"/>
          <w:szCs w:val="22"/>
          <w:lang w:eastAsia="en-US"/>
        </w:rPr>
      </w:pPr>
    </w:p>
    <w:p w:rsidR="00755448" w:rsidRPr="00EA337F" w:rsidRDefault="00755448" w:rsidP="00755448">
      <w:pPr>
        <w:spacing w:line="276" w:lineRule="auto"/>
        <w:ind w:left="-5"/>
        <w:jc w:val="both"/>
        <w:rPr>
          <w:rFonts w:ascii="Palatino Linotype" w:hAnsi="Palatino Linotype"/>
          <w:sz w:val="22"/>
          <w:szCs w:val="22"/>
        </w:rPr>
      </w:pPr>
      <w:r w:rsidRPr="00EA337F">
        <w:rPr>
          <w:rFonts w:ascii="Palatino Linotype" w:hAnsi="Palatino Linotype"/>
          <w:sz w:val="22"/>
          <w:szCs w:val="22"/>
        </w:rPr>
        <w:t xml:space="preserve">Dada en la sesión del Concejo Metropolitano de Quito, el ……….. </w:t>
      </w:r>
    </w:p>
    <w:p w:rsidR="00755448" w:rsidRPr="00EA337F" w:rsidRDefault="00755448" w:rsidP="00755448">
      <w:pPr>
        <w:spacing w:line="276" w:lineRule="auto"/>
        <w:ind w:left="-5"/>
        <w:jc w:val="both"/>
        <w:rPr>
          <w:rFonts w:ascii="Palatino Linotype" w:hAnsi="Palatino Linotype"/>
          <w:sz w:val="22"/>
          <w:szCs w:val="22"/>
        </w:rPr>
      </w:pPr>
    </w:p>
    <w:p w:rsidR="00755448" w:rsidRPr="00EA337F" w:rsidRDefault="00755448" w:rsidP="00755448">
      <w:pPr>
        <w:spacing w:line="276" w:lineRule="auto"/>
        <w:ind w:left="-5" w:right="-143"/>
        <w:jc w:val="both"/>
        <w:rPr>
          <w:rFonts w:ascii="Palatino Linotype" w:hAnsi="Palatino Linotype"/>
          <w:sz w:val="22"/>
          <w:szCs w:val="22"/>
        </w:rPr>
      </w:pPr>
      <w:r w:rsidRPr="00EA337F">
        <w:rPr>
          <w:rFonts w:ascii="Palatino Linotype" w:hAnsi="Palatino Linotype"/>
          <w:b/>
          <w:sz w:val="22"/>
          <w:szCs w:val="22"/>
        </w:rPr>
        <w:t xml:space="preserve">Alcaldía del Distrito Metropolitano. - </w:t>
      </w:r>
      <w:r w:rsidRPr="00EA337F">
        <w:rPr>
          <w:rFonts w:ascii="Palatino Linotype" w:hAnsi="Palatino Linotype"/>
          <w:sz w:val="22"/>
          <w:szCs w:val="22"/>
        </w:rPr>
        <w:t>Distrito Metropolitano de Quito, ………..</w:t>
      </w:r>
    </w:p>
    <w:p w:rsidR="00755448" w:rsidRPr="00EA337F" w:rsidRDefault="00755448" w:rsidP="00755448">
      <w:pPr>
        <w:spacing w:line="276" w:lineRule="auto"/>
        <w:jc w:val="both"/>
        <w:rPr>
          <w:rFonts w:ascii="Palatino Linotype" w:hAnsi="Palatino Linotype"/>
          <w:sz w:val="22"/>
          <w:szCs w:val="22"/>
        </w:rPr>
      </w:pPr>
    </w:p>
    <w:p w:rsidR="00755448" w:rsidRPr="00EA337F" w:rsidRDefault="00755448" w:rsidP="00755448">
      <w:pPr>
        <w:spacing w:line="276" w:lineRule="auto"/>
        <w:jc w:val="center"/>
        <w:rPr>
          <w:rFonts w:ascii="Palatino Linotype" w:hAnsi="Palatino Linotype"/>
          <w:sz w:val="22"/>
          <w:szCs w:val="22"/>
        </w:rPr>
      </w:pPr>
      <w:r w:rsidRPr="00EA337F">
        <w:rPr>
          <w:rFonts w:ascii="Palatino Linotype" w:hAnsi="Palatino Linotype"/>
          <w:b/>
          <w:sz w:val="22"/>
          <w:szCs w:val="22"/>
        </w:rPr>
        <w:lastRenderedPageBreak/>
        <w:t>EJECÚTESE:</w:t>
      </w:r>
    </w:p>
    <w:p w:rsidR="00755448" w:rsidRPr="00EA337F" w:rsidRDefault="00755448" w:rsidP="00755448">
      <w:pPr>
        <w:spacing w:line="276" w:lineRule="auto"/>
        <w:ind w:left="51"/>
        <w:jc w:val="center"/>
        <w:rPr>
          <w:rFonts w:ascii="Palatino Linotype" w:hAnsi="Palatino Linotype"/>
          <w:sz w:val="22"/>
          <w:szCs w:val="22"/>
        </w:rPr>
      </w:pPr>
    </w:p>
    <w:p w:rsidR="00755448" w:rsidRPr="00EA337F" w:rsidRDefault="00755448" w:rsidP="00755448">
      <w:pPr>
        <w:spacing w:line="276" w:lineRule="auto"/>
        <w:ind w:left="51"/>
        <w:jc w:val="center"/>
        <w:rPr>
          <w:rFonts w:ascii="Palatino Linotype" w:hAnsi="Palatino Linotype"/>
          <w:sz w:val="22"/>
          <w:szCs w:val="22"/>
        </w:rPr>
      </w:pPr>
    </w:p>
    <w:p w:rsidR="00755448" w:rsidRPr="00EA337F" w:rsidRDefault="00755448" w:rsidP="00755448">
      <w:pPr>
        <w:spacing w:line="276" w:lineRule="auto"/>
        <w:ind w:left="51"/>
        <w:jc w:val="center"/>
        <w:rPr>
          <w:rFonts w:ascii="Palatino Linotype" w:hAnsi="Palatino Linotype"/>
          <w:sz w:val="22"/>
          <w:szCs w:val="22"/>
        </w:rPr>
      </w:pPr>
    </w:p>
    <w:p w:rsidR="00755448" w:rsidRPr="00EA337F" w:rsidRDefault="00755448" w:rsidP="00755448">
      <w:pPr>
        <w:spacing w:line="276" w:lineRule="auto"/>
        <w:ind w:left="51"/>
        <w:jc w:val="center"/>
        <w:rPr>
          <w:rFonts w:ascii="Palatino Linotype" w:hAnsi="Palatino Linotype"/>
          <w:sz w:val="22"/>
          <w:szCs w:val="22"/>
        </w:rPr>
      </w:pPr>
      <w:r w:rsidRPr="00EA337F">
        <w:rPr>
          <w:rFonts w:ascii="Palatino Linotype" w:hAnsi="Palatino Linotype"/>
          <w:sz w:val="22"/>
          <w:szCs w:val="22"/>
        </w:rPr>
        <w:t>Dr. Santiago Guarderas Izquierdo</w:t>
      </w:r>
    </w:p>
    <w:p w:rsidR="00755448" w:rsidRPr="00EA337F" w:rsidRDefault="00755448" w:rsidP="00755448">
      <w:pPr>
        <w:keepNext/>
        <w:keepLines/>
        <w:spacing w:line="276" w:lineRule="auto"/>
        <w:ind w:left="10" w:right="6" w:hanging="10"/>
        <w:jc w:val="center"/>
        <w:outlineLvl w:val="0"/>
        <w:rPr>
          <w:rFonts w:ascii="Palatino Linotype" w:eastAsia="Palatino Linotype" w:hAnsi="Palatino Linotype" w:cs="Palatino Linotype"/>
          <w:b/>
          <w:color w:val="000000"/>
          <w:sz w:val="22"/>
          <w:szCs w:val="22"/>
          <w:lang w:eastAsia="es-EC"/>
        </w:rPr>
      </w:pPr>
      <w:r w:rsidRPr="00EA337F">
        <w:rPr>
          <w:rFonts w:ascii="Palatino Linotype" w:eastAsia="Palatino Linotype" w:hAnsi="Palatino Linotype" w:cs="Palatino Linotype"/>
          <w:b/>
          <w:color w:val="000000"/>
          <w:sz w:val="22"/>
          <w:szCs w:val="22"/>
          <w:lang w:eastAsia="es-EC"/>
        </w:rPr>
        <w:t>ALCALDE DEL DISTRITO METROPOLITANO DE QUITO</w:t>
      </w:r>
    </w:p>
    <w:p w:rsidR="00755448" w:rsidRPr="00EA337F" w:rsidRDefault="00755448" w:rsidP="00755448">
      <w:pPr>
        <w:spacing w:line="276" w:lineRule="auto"/>
        <w:jc w:val="center"/>
        <w:rPr>
          <w:rFonts w:ascii="Palatino Linotype" w:hAnsi="Palatino Linotype"/>
          <w:sz w:val="22"/>
          <w:szCs w:val="22"/>
        </w:rPr>
      </w:pPr>
    </w:p>
    <w:p w:rsidR="00755448" w:rsidRPr="00EA337F" w:rsidRDefault="00755448" w:rsidP="00755448">
      <w:pPr>
        <w:spacing w:line="276" w:lineRule="auto"/>
        <w:ind w:left="-5"/>
        <w:jc w:val="both"/>
        <w:rPr>
          <w:rFonts w:ascii="Palatino Linotype" w:hAnsi="Palatino Linotype"/>
          <w:sz w:val="22"/>
          <w:szCs w:val="22"/>
        </w:rPr>
      </w:pPr>
      <w:r w:rsidRPr="00EA337F">
        <w:rPr>
          <w:rFonts w:ascii="Palatino Linotype" w:hAnsi="Palatino Linotype"/>
          <w:b/>
          <w:sz w:val="22"/>
          <w:szCs w:val="22"/>
        </w:rPr>
        <w:t>CERTIFICO,</w:t>
      </w:r>
      <w:r w:rsidRPr="00EA337F">
        <w:rPr>
          <w:rFonts w:ascii="Palatino Linotype" w:hAnsi="Palatino Linotype"/>
          <w:sz w:val="22"/>
          <w:szCs w:val="22"/>
        </w:rPr>
        <w:t xml:space="preserve"> que la presente resolución fue discutida y aprobada en la sesión ordinaria del Concejo Metropolitano de Quito, el xx de xx de 2022; y, suscrita por el Dr. Santiago Guarderas Izquierdo, Alcalde del Distrito Metropolitano de Quito, el xx de xx de 2022. </w:t>
      </w:r>
    </w:p>
    <w:p w:rsidR="00755448" w:rsidRPr="00EA337F" w:rsidRDefault="00755448" w:rsidP="00755448">
      <w:pPr>
        <w:spacing w:line="276" w:lineRule="auto"/>
        <w:jc w:val="both"/>
        <w:rPr>
          <w:rFonts w:ascii="Palatino Linotype" w:hAnsi="Palatino Linotype"/>
          <w:sz w:val="22"/>
          <w:szCs w:val="22"/>
        </w:rPr>
      </w:pPr>
      <w:r w:rsidRPr="00EA337F">
        <w:rPr>
          <w:rFonts w:ascii="Palatino Linotype" w:hAnsi="Palatino Linotype"/>
          <w:b/>
          <w:sz w:val="22"/>
          <w:szCs w:val="22"/>
        </w:rPr>
        <w:t xml:space="preserve"> </w:t>
      </w:r>
    </w:p>
    <w:p w:rsidR="00755448" w:rsidRPr="00EA337F" w:rsidRDefault="00755448" w:rsidP="00755448">
      <w:pPr>
        <w:spacing w:line="276" w:lineRule="auto"/>
        <w:ind w:left="-5"/>
        <w:jc w:val="both"/>
        <w:rPr>
          <w:rFonts w:ascii="Palatino Linotype" w:hAnsi="Palatino Linotype"/>
          <w:sz w:val="22"/>
          <w:szCs w:val="22"/>
          <w:highlight w:val="yellow"/>
        </w:rPr>
      </w:pPr>
      <w:r w:rsidRPr="00EA337F">
        <w:rPr>
          <w:rFonts w:ascii="Palatino Linotype" w:hAnsi="Palatino Linotype"/>
          <w:b/>
          <w:sz w:val="22"/>
          <w:szCs w:val="22"/>
        </w:rPr>
        <w:t xml:space="preserve">Lo certifico. - </w:t>
      </w:r>
      <w:r w:rsidRPr="00EA337F">
        <w:rPr>
          <w:rFonts w:ascii="Palatino Linotype" w:hAnsi="Palatino Linotype"/>
          <w:sz w:val="22"/>
          <w:szCs w:val="22"/>
        </w:rPr>
        <w:t xml:space="preserve">Distrito Metropolitano de Quito. </w:t>
      </w:r>
    </w:p>
    <w:p w:rsidR="00755448" w:rsidRPr="00EA337F" w:rsidRDefault="00755448" w:rsidP="00755448">
      <w:pPr>
        <w:spacing w:line="276" w:lineRule="auto"/>
        <w:jc w:val="both"/>
        <w:rPr>
          <w:rFonts w:ascii="Palatino Linotype" w:hAnsi="Palatino Linotype"/>
          <w:sz w:val="22"/>
          <w:szCs w:val="22"/>
          <w:highlight w:val="yellow"/>
        </w:rPr>
      </w:pPr>
      <w:r w:rsidRPr="00EA337F">
        <w:rPr>
          <w:rFonts w:ascii="Palatino Linotype" w:hAnsi="Palatino Linotype"/>
          <w:sz w:val="22"/>
          <w:szCs w:val="22"/>
          <w:highlight w:val="yellow"/>
        </w:rPr>
        <w:t xml:space="preserve"> </w:t>
      </w:r>
    </w:p>
    <w:p w:rsidR="00755448" w:rsidRPr="00EA337F" w:rsidRDefault="00755448" w:rsidP="00755448">
      <w:pPr>
        <w:spacing w:line="276" w:lineRule="auto"/>
        <w:jc w:val="both"/>
        <w:rPr>
          <w:rFonts w:ascii="Palatino Linotype" w:hAnsi="Palatino Linotype"/>
          <w:sz w:val="22"/>
          <w:szCs w:val="22"/>
          <w:highlight w:val="yellow"/>
        </w:rPr>
      </w:pPr>
    </w:p>
    <w:p w:rsidR="00755448" w:rsidRPr="00EA337F" w:rsidRDefault="00755448" w:rsidP="00755448">
      <w:pPr>
        <w:spacing w:line="276" w:lineRule="auto"/>
        <w:jc w:val="both"/>
        <w:rPr>
          <w:rFonts w:ascii="Palatino Linotype" w:hAnsi="Palatino Linotype"/>
          <w:sz w:val="22"/>
          <w:szCs w:val="22"/>
          <w:highlight w:val="yellow"/>
        </w:rPr>
      </w:pPr>
      <w:r w:rsidRPr="00EA337F">
        <w:rPr>
          <w:rFonts w:ascii="Palatino Linotype" w:hAnsi="Palatino Linotype"/>
          <w:sz w:val="22"/>
          <w:szCs w:val="22"/>
          <w:highlight w:val="yellow"/>
        </w:rPr>
        <w:t xml:space="preserve"> </w:t>
      </w:r>
    </w:p>
    <w:p w:rsidR="00755448" w:rsidRPr="00EA337F" w:rsidRDefault="00755448" w:rsidP="00755448">
      <w:pPr>
        <w:spacing w:line="276" w:lineRule="auto"/>
        <w:jc w:val="both"/>
        <w:rPr>
          <w:rFonts w:ascii="Palatino Linotype" w:hAnsi="Palatino Linotype"/>
          <w:sz w:val="22"/>
          <w:szCs w:val="22"/>
          <w:highlight w:val="yellow"/>
        </w:rPr>
      </w:pPr>
      <w:r w:rsidRPr="00EA337F">
        <w:rPr>
          <w:rFonts w:ascii="Palatino Linotype" w:hAnsi="Palatino Linotype"/>
          <w:sz w:val="22"/>
          <w:szCs w:val="22"/>
          <w:highlight w:val="yellow"/>
        </w:rPr>
        <w:t xml:space="preserve"> </w:t>
      </w:r>
    </w:p>
    <w:p w:rsidR="00755448" w:rsidRPr="00EA337F" w:rsidRDefault="00755448" w:rsidP="00755448">
      <w:pPr>
        <w:spacing w:line="276" w:lineRule="auto"/>
        <w:jc w:val="center"/>
        <w:rPr>
          <w:rFonts w:ascii="Palatino Linotype" w:hAnsi="Palatino Linotype"/>
          <w:sz w:val="22"/>
          <w:szCs w:val="22"/>
        </w:rPr>
      </w:pPr>
      <w:r w:rsidRPr="00EA337F">
        <w:rPr>
          <w:rFonts w:ascii="Palatino Linotype" w:hAnsi="Palatino Linotype"/>
          <w:sz w:val="22"/>
          <w:szCs w:val="22"/>
        </w:rPr>
        <w:t>Abg. Pablo Santillán Paredes</w:t>
      </w:r>
    </w:p>
    <w:p w:rsidR="00751D1C" w:rsidRPr="00DF0B4F" w:rsidRDefault="00755448" w:rsidP="00DF0B4F">
      <w:pPr>
        <w:spacing w:line="276" w:lineRule="auto"/>
        <w:jc w:val="center"/>
        <w:rPr>
          <w:rFonts w:ascii="Palatino Linotype" w:eastAsia="Calibri" w:hAnsi="Palatino Linotype"/>
          <w:b/>
          <w:sz w:val="22"/>
          <w:szCs w:val="22"/>
          <w:lang w:eastAsia="en-US"/>
        </w:rPr>
      </w:pPr>
      <w:r w:rsidRPr="00EA337F">
        <w:rPr>
          <w:rFonts w:ascii="Palatino Linotype" w:eastAsia="Calibri" w:hAnsi="Palatino Linotype"/>
          <w:b/>
          <w:sz w:val="22"/>
          <w:szCs w:val="22"/>
          <w:lang w:eastAsia="en-US"/>
        </w:rPr>
        <w:t>SECRETARIO GENERAL DE</w:t>
      </w:r>
      <w:r w:rsidR="00DF0B4F">
        <w:rPr>
          <w:rFonts w:ascii="Palatino Linotype" w:eastAsia="Calibri" w:hAnsi="Palatino Linotype"/>
          <w:b/>
          <w:sz w:val="22"/>
          <w:szCs w:val="22"/>
          <w:lang w:eastAsia="en-US"/>
        </w:rPr>
        <w:t xml:space="preserve">L CONCEJO METROPOLITANO DE QUITO </w:t>
      </w:r>
    </w:p>
    <w:sectPr w:rsidR="00751D1C" w:rsidRPr="00DF0B4F" w:rsidSect="005D2467">
      <w:headerReference w:type="default" r:id="rId6"/>
      <w:footerReference w:type="default" r:id="rId7"/>
      <w:pgSz w:w="12240" w:h="15840"/>
      <w:pgMar w:top="1985" w:right="1701" w:bottom="1560"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084" w:rsidRDefault="00BF1084">
      <w:r>
        <w:separator/>
      </w:r>
    </w:p>
  </w:endnote>
  <w:endnote w:type="continuationSeparator" w:id="0">
    <w:p w:rsidR="00BF1084" w:rsidRDefault="00BF1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hAnsi="Palatino Linotype"/>
        <w:sz w:val="20"/>
        <w:szCs w:val="20"/>
      </w:rPr>
      <w:id w:val="708761303"/>
      <w:docPartObj>
        <w:docPartGallery w:val="Page Numbers (Bottom of Page)"/>
        <w:docPartUnique/>
      </w:docPartObj>
    </w:sdtPr>
    <w:sdtEndPr/>
    <w:sdtContent>
      <w:sdt>
        <w:sdtPr>
          <w:rPr>
            <w:rFonts w:ascii="Palatino Linotype" w:hAnsi="Palatino Linotype"/>
            <w:sz w:val="20"/>
            <w:szCs w:val="20"/>
          </w:rPr>
          <w:id w:val="860082579"/>
          <w:docPartObj>
            <w:docPartGallery w:val="Page Numbers (Top of Page)"/>
            <w:docPartUnique/>
          </w:docPartObj>
        </w:sdtPr>
        <w:sdtEndPr/>
        <w:sdtContent>
          <w:p w:rsidR="00707DE5" w:rsidRDefault="00C926A0">
            <w:pPr>
              <w:pStyle w:val="Piedepgina"/>
              <w:jc w:val="right"/>
              <w:rPr>
                <w:rFonts w:ascii="Palatino Linotype" w:hAnsi="Palatino Linotype"/>
                <w:b/>
                <w:bCs/>
                <w:sz w:val="20"/>
                <w:szCs w:val="20"/>
              </w:rPr>
            </w:pPr>
            <w:r w:rsidRPr="00707DE5">
              <w:rPr>
                <w:rFonts w:ascii="Palatino Linotype" w:hAnsi="Palatino Linotype"/>
                <w:sz w:val="20"/>
                <w:szCs w:val="20"/>
              </w:rPr>
              <w:t xml:space="preserve">Página </w:t>
            </w:r>
            <w:r w:rsidRPr="00707DE5">
              <w:rPr>
                <w:rFonts w:ascii="Palatino Linotype" w:hAnsi="Palatino Linotype"/>
                <w:b/>
                <w:bCs/>
                <w:sz w:val="20"/>
                <w:szCs w:val="20"/>
              </w:rPr>
              <w:fldChar w:fldCharType="begin"/>
            </w:r>
            <w:r w:rsidRPr="00707DE5">
              <w:rPr>
                <w:rFonts w:ascii="Palatino Linotype" w:hAnsi="Palatino Linotype"/>
                <w:b/>
                <w:bCs/>
                <w:sz w:val="20"/>
                <w:szCs w:val="20"/>
              </w:rPr>
              <w:instrText>PAGE</w:instrText>
            </w:r>
            <w:r w:rsidRPr="00707DE5">
              <w:rPr>
                <w:rFonts w:ascii="Palatino Linotype" w:hAnsi="Palatino Linotype"/>
                <w:b/>
                <w:bCs/>
                <w:sz w:val="20"/>
                <w:szCs w:val="20"/>
              </w:rPr>
              <w:fldChar w:fldCharType="separate"/>
            </w:r>
            <w:r w:rsidR="001D7418">
              <w:rPr>
                <w:rFonts w:ascii="Palatino Linotype" w:hAnsi="Palatino Linotype"/>
                <w:b/>
                <w:bCs/>
                <w:noProof/>
                <w:sz w:val="20"/>
                <w:szCs w:val="20"/>
              </w:rPr>
              <w:t>6</w:t>
            </w:r>
            <w:r w:rsidRPr="00707DE5">
              <w:rPr>
                <w:rFonts w:ascii="Palatino Linotype" w:hAnsi="Palatino Linotype"/>
                <w:b/>
                <w:bCs/>
                <w:sz w:val="20"/>
                <w:szCs w:val="20"/>
              </w:rPr>
              <w:fldChar w:fldCharType="end"/>
            </w:r>
            <w:r w:rsidRPr="00707DE5">
              <w:rPr>
                <w:rFonts w:ascii="Palatino Linotype" w:hAnsi="Palatino Linotype"/>
                <w:sz w:val="20"/>
                <w:szCs w:val="20"/>
              </w:rPr>
              <w:t xml:space="preserve"> de </w:t>
            </w:r>
            <w:r w:rsidRPr="00707DE5">
              <w:rPr>
                <w:rFonts w:ascii="Palatino Linotype" w:hAnsi="Palatino Linotype"/>
                <w:b/>
                <w:bCs/>
                <w:sz w:val="20"/>
                <w:szCs w:val="20"/>
              </w:rPr>
              <w:fldChar w:fldCharType="begin"/>
            </w:r>
            <w:r w:rsidRPr="00707DE5">
              <w:rPr>
                <w:rFonts w:ascii="Palatino Linotype" w:hAnsi="Palatino Linotype"/>
                <w:b/>
                <w:bCs/>
                <w:sz w:val="20"/>
                <w:szCs w:val="20"/>
              </w:rPr>
              <w:instrText>NUMPAGES</w:instrText>
            </w:r>
            <w:r w:rsidRPr="00707DE5">
              <w:rPr>
                <w:rFonts w:ascii="Palatino Linotype" w:hAnsi="Palatino Linotype"/>
                <w:b/>
                <w:bCs/>
                <w:sz w:val="20"/>
                <w:szCs w:val="20"/>
              </w:rPr>
              <w:fldChar w:fldCharType="separate"/>
            </w:r>
            <w:r w:rsidR="001D7418">
              <w:rPr>
                <w:rFonts w:ascii="Palatino Linotype" w:hAnsi="Palatino Linotype"/>
                <w:b/>
                <w:bCs/>
                <w:noProof/>
                <w:sz w:val="20"/>
                <w:szCs w:val="20"/>
              </w:rPr>
              <w:t>7</w:t>
            </w:r>
            <w:r w:rsidRPr="00707DE5">
              <w:rPr>
                <w:rFonts w:ascii="Palatino Linotype" w:hAnsi="Palatino Linotype"/>
                <w:b/>
                <w:bCs/>
                <w:sz w:val="20"/>
                <w:szCs w:val="20"/>
              </w:rPr>
              <w:fldChar w:fldCharType="end"/>
            </w:r>
          </w:p>
          <w:p w:rsidR="005D2467" w:rsidRPr="008479FB" w:rsidRDefault="00BF1084">
            <w:pPr>
              <w:pStyle w:val="Piedepgina"/>
              <w:jc w:val="right"/>
              <w:rPr>
                <w:rFonts w:ascii="Palatino Linotype" w:hAnsi="Palatino Linotype"/>
                <w:sz w:val="20"/>
                <w:szCs w:val="20"/>
              </w:rPr>
            </w:pPr>
          </w:p>
        </w:sdtContent>
      </w:sdt>
    </w:sdtContent>
  </w:sdt>
  <w:p w:rsidR="005D2467" w:rsidRPr="008479FB" w:rsidRDefault="00BF1084">
    <w:pPr>
      <w:pStyle w:val="Piedepgina"/>
      <w:rPr>
        <w:rFonts w:ascii="Palatino Linotype" w:hAnsi="Palatino Linotype"/>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084" w:rsidRDefault="00BF1084">
      <w:r>
        <w:separator/>
      </w:r>
    </w:p>
  </w:footnote>
  <w:footnote w:type="continuationSeparator" w:id="0">
    <w:p w:rsidR="00BF1084" w:rsidRDefault="00BF10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DE5" w:rsidRDefault="00BF1084" w:rsidP="00253163">
    <w:pPr>
      <w:autoSpaceDE w:val="0"/>
      <w:autoSpaceDN w:val="0"/>
      <w:adjustRightInd w:val="0"/>
      <w:jc w:val="center"/>
      <w:rPr>
        <w:rFonts w:ascii="Palatino Linotype" w:eastAsiaTheme="minorHAnsi" w:hAnsi="Palatino Linotype"/>
        <w:b/>
        <w:bCs/>
        <w:sz w:val="22"/>
        <w:szCs w:val="22"/>
        <w:lang w:eastAsia="en-US"/>
      </w:rPr>
    </w:pPr>
  </w:p>
  <w:p w:rsidR="00707DE5" w:rsidRDefault="00BF1084" w:rsidP="00253163">
    <w:pPr>
      <w:autoSpaceDE w:val="0"/>
      <w:autoSpaceDN w:val="0"/>
      <w:adjustRightInd w:val="0"/>
      <w:jc w:val="center"/>
      <w:rPr>
        <w:rFonts w:ascii="Palatino Linotype" w:eastAsiaTheme="minorHAnsi" w:hAnsi="Palatino Linotype"/>
        <w:b/>
        <w:bCs/>
        <w:sz w:val="22"/>
        <w:szCs w:val="22"/>
        <w:lang w:eastAsia="en-US"/>
      </w:rPr>
    </w:pPr>
  </w:p>
  <w:p w:rsidR="005D2467" w:rsidRDefault="00BF108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6A0"/>
    <w:rsid w:val="000077F9"/>
    <w:rsid w:val="000264CB"/>
    <w:rsid w:val="00027D50"/>
    <w:rsid w:val="00030386"/>
    <w:rsid w:val="00035E6C"/>
    <w:rsid w:val="00036141"/>
    <w:rsid w:val="0004203F"/>
    <w:rsid w:val="00063D30"/>
    <w:rsid w:val="00067AEE"/>
    <w:rsid w:val="0008033C"/>
    <w:rsid w:val="00082941"/>
    <w:rsid w:val="00090E26"/>
    <w:rsid w:val="000944D7"/>
    <w:rsid w:val="000A17A7"/>
    <w:rsid w:val="000A2106"/>
    <w:rsid w:val="000A6FF4"/>
    <w:rsid w:val="000A70A0"/>
    <w:rsid w:val="000B4CF2"/>
    <w:rsid w:val="000C42C2"/>
    <w:rsid w:val="000E121C"/>
    <w:rsid w:val="000E205E"/>
    <w:rsid w:val="000E2423"/>
    <w:rsid w:val="000F2170"/>
    <w:rsid w:val="00115787"/>
    <w:rsid w:val="001246BD"/>
    <w:rsid w:val="0012759E"/>
    <w:rsid w:val="0013405F"/>
    <w:rsid w:val="00144F8A"/>
    <w:rsid w:val="001526B1"/>
    <w:rsid w:val="0017481B"/>
    <w:rsid w:val="00177E42"/>
    <w:rsid w:val="001A033B"/>
    <w:rsid w:val="001A17A7"/>
    <w:rsid w:val="001A2E60"/>
    <w:rsid w:val="001A5724"/>
    <w:rsid w:val="001B2FFD"/>
    <w:rsid w:val="001C1FC7"/>
    <w:rsid w:val="001C7456"/>
    <w:rsid w:val="001D6552"/>
    <w:rsid w:val="001D7418"/>
    <w:rsid w:val="001F679D"/>
    <w:rsid w:val="001F733D"/>
    <w:rsid w:val="00207C53"/>
    <w:rsid w:val="002125AB"/>
    <w:rsid w:val="00224DF1"/>
    <w:rsid w:val="0022530B"/>
    <w:rsid w:val="00236DB4"/>
    <w:rsid w:val="0024403E"/>
    <w:rsid w:val="00245D20"/>
    <w:rsid w:val="00252078"/>
    <w:rsid w:val="00253AA5"/>
    <w:rsid w:val="0026215F"/>
    <w:rsid w:val="00264155"/>
    <w:rsid w:val="00283DE3"/>
    <w:rsid w:val="00296140"/>
    <w:rsid w:val="00296D2E"/>
    <w:rsid w:val="002A24D9"/>
    <w:rsid w:val="002C44A1"/>
    <w:rsid w:val="002D4C5C"/>
    <w:rsid w:val="002E4C52"/>
    <w:rsid w:val="002F2CCA"/>
    <w:rsid w:val="002F7AF5"/>
    <w:rsid w:val="00306191"/>
    <w:rsid w:val="00313677"/>
    <w:rsid w:val="00315545"/>
    <w:rsid w:val="00336073"/>
    <w:rsid w:val="00345885"/>
    <w:rsid w:val="00360B0F"/>
    <w:rsid w:val="00371D37"/>
    <w:rsid w:val="003A3AD1"/>
    <w:rsid w:val="003E3BAD"/>
    <w:rsid w:val="004014CA"/>
    <w:rsid w:val="00406F51"/>
    <w:rsid w:val="0042799B"/>
    <w:rsid w:val="004336C0"/>
    <w:rsid w:val="0044483C"/>
    <w:rsid w:val="00445381"/>
    <w:rsid w:val="00470AD9"/>
    <w:rsid w:val="004712AC"/>
    <w:rsid w:val="00481F59"/>
    <w:rsid w:val="00495B8D"/>
    <w:rsid w:val="004B008D"/>
    <w:rsid w:val="004B2063"/>
    <w:rsid w:val="004B4258"/>
    <w:rsid w:val="004C50EC"/>
    <w:rsid w:val="004E2C3F"/>
    <w:rsid w:val="004E76E0"/>
    <w:rsid w:val="004F5036"/>
    <w:rsid w:val="00500F55"/>
    <w:rsid w:val="00511047"/>
    <w:rsid w:val="005231AD"/>
    <w:rsid w:val="0052683E"/>
    <w:rsid w:val="00532857"/>
    <w:rsid w:val="00552CDD"/>
    <w:rsid w:val="0055556E"/>
    <w:rsid w:val="005720AF"/>
    <w:rsid w:val="00587F4F"/>
    <w:rsid w:val="005A0BB9"/>
    <w:rsid w:val="005A5A6A"/>
    <w:rsid w:val="005A6B15"/>
    <w:rsid w:val="005B6971"/>
    <w:rsid w:val="005B7C5B"/>
    <w:rsid w:val="005C419B"/>
    <w:rsid w:val="005C6371"/>
    <w:rsid w:val="005C733B"/>
    <w:rsid w:val="005D1661"/>
    <w:rsid w:val="005D3837"/>
    <w:rsid w:val="005D5471"/>
    <w:rsid w:val="005D775D"/>
    <w:rsid w:val="005F36E3"/>
    <w:rsid w:val="005F6F40"/>
    <w:rsid w:val="00600134"/>
    <w:rsid w:val="00606C06"/>
    <w:rsid w:val="00617C1E"/>
    <w:rsid w:val="00633179"/>
    <w:rsid w:val="00633AF6"/>
    <w:rsid w:val="00636664"/>
    <w:rsid w:val="00662D01"/>
    <w:rsid w:val="00673059"/>
    <w:rsid w:val="00677109"/>
    <w:rsid w:val="00687C0C"/>
    <w:rsid w:val="00694141"/>
    <w:rsid w:val="006A6DA4"/>
    <w:rsid w:val="006A7937"/>
    <w:rsid w:val="006C76D0"/>
    <w:rsid w:val="006E179D"/>
    <w:rsid w:val="006E34DC"/>
    <w:rsid w:val="006F4C5D"/>
    <w:rsid w:val="00704ACB"/>
    <w:rsid w:val="00707BCF"/>
    <w:rsid w:val="0071609F"/>
    <w:rsid w:val="007315B0"/>
    <w:rsid w:val="007353A7"/>
    <w:rsid w:val="00740EE8"/>
    <w:rsid w:val="00745751"/>
    <w:rsid w:val="007500BA"/>
    <w:rsid w:val="00751D1C"/>
    <w:rsid w:val="00755448"/>
    <w:rsid w:val="00757091"/>
    <w:rsid w:val="007B4D6C"/>
    <w:rsid w:val="007C3147"/>
    <w:rsid w:val="007D2680"/>
    <w:rsid w:val="007D2D4F"/>
    <w:rsid w:val="007E60E9"/>
    <w:rsid w:val="008044F7"/>
    <w:rsid w:val="00805221"/>
    <w:rsid w:val="0081380B"/>
    <w:rsid w:val="0082482D"/>
    <w:rsid w:val="00826061"/>
    <w:rsid w:val="00832D35"/>
    <w:rsid w:val="00854CBC"/>
    <w:rsid w:val="00855B0B"/>
    <w:rsid w:val="00862F11"/>
    <w:rsid w:val="0087756E"/>
    <w:rsid w:val="008824CB"/>
    <w:rsid w:val="008834D1"/>
    <w:rsid w:val="008840B0"/>
    <w:rsid w:val="008863D6"/>
    <w:rsid w:val="00893065"/>
    <w:rsid w:val="00893F13"/>
    <w:rsid w:val="008A3F72"/>
    <w:rsid w:val="008B4153"/>
    <w:rsid w:val="00907185"/>
    <w:rsid w:val="0093701E"/>
    <w:rsid w:val="00941F2B"/>
    <w:rsid w:val="00942032"/>
    <w:rsid w:val="00953717"/>
    <w:rsid w:val="0096109F"/>
    <w:rsid w:val="00962351"/>
    <w:rsid w:val="00964BBC"/>
    <w:rsid w:val="0097359A"/>
    <w:rsid w:val="00983736"/>
    <w:rsid w:val="0098647F"/>
    <w:rsid w:val="00993181"/>
    <w:rsid w:val="0099372E"/>
    <w:rsid w:val="0099702E"/>
    <w:rsid w:val="009A0E93"/>
    <w:rsid w:val="009C157E"/>
    <w:rsid w:val="009C6921"/>
    <w:rsid w:val="009E1D0C"/>
    <w:rsid w:val="009F6F24"/>
    <w:rsid w:val="00A23206"/>
    <w:rsid w:val="00A24962"/>
    <w:rsid w:val="00A35D24"/>
    <w:rsid w:val="00A42FBD"/>
    <w:rsid w:val="00A45C33"/>
    <w:rsid w:val="00A47A36"/>
    <w:rsid w:val="00A47D5C"/>
    <w:rsid w:val="00A55032"/>
    <w:rsid w:val="00A56888"/>
    <w:rsid w:val="00A60EBB"/>
    <w:rsid w:val="00A654D7"/>
    <w:rsid w:val="00A66C89"/>
    <w:rsid w:val="00A76A16"/>
    <w:rsid w:val="00AA23EE"/>
    <w:rsid w:val="00AA2620"/>
    <w:rsid w:val="00AA61B2"/>
    <w:rsid w:val="00AC0982"/>
    <w:rsid w:val="00AC4B2C"/>
    <w:rsid w:val="00AC6F62"/>
    <w:rsid w:val="00AD0CAC"/>
    <w:rsid w:val="00AD1557"/>
    <w:rsid w:val="00AD3EE5"/>
    <w:rsid w:val="00AD767B"/>
    <w:rsid w:val="00AE18B4"/>
    <w:rsid w:val="00AE1F80"/>
    <w:rsid w:val="00AE5F25"/>
    <w:rsid w:val="00B007F0"/>
    <w:rsid w:val="00B0169E"/>
    <w:rsid w:val="00B27543"/>
    <w:rsid w:val="00B35D39"/>
    <w:rsid w:val="00B418BF"/>
    <w:rsid w:val="00B42040"/>
    <w:rsid w:val="00B46254"/>
    <w:rsid w:val="00B5446C"/>
    <w:rsid w:val="00B655A0"/>
    <w:rsid w:val="00B706B2"/>
    <w:rsid w:val="00B748ED"/>
    <w:rsid w:val="00B84C96"/>
    <w:rsid w:val="00B9672E"/>
    <w:rsid w:val="00BA13FF"/>
    <w:rsid w:val="00BA3CE3"/>
    <w:rsid w:val="00BA63E5"/>
    <w:rsid w:val="00BD292F"/>
    <w:rsid w:val="00BD3F85"/>
    <w:rsid w:val="00BD7EFF"/>
    <w:rsid w:val="00BF1084"/>
    <w:rsid w:val="00BF4249"/>
    <w:rsid w:val="00C06097"/>
    <w:rsid w:val="00C16E75"/>
    <w:rsid w:val="00C2568C"/>
    <w:rsid w:val="00C31C0C"/>
    <w:rsid w:val="00C4735F"/>
    <w:rsid w:val="00C6216E"/>
    <w:rsid w:val="00C72611"/>
    <w:rsid w:val="00C75BFB"/>
    <w:rsid w:val="00C7771D"/>
    <w:rsid w:val="00C82C59"/>
    <w:rsid w:val="00C926A0"/>
    <w:rsid w:val="00CB1FAE"/>
    <w:rsid w:val="00CB5779"/>
    <w:rsid w:val="00CB59A1"/>
    <w:rsid w:val="00CD3D6A"/>
    <w:rsid w:val="00CF05C8"/>
    <w:rsid w:val="00CF748D"/>
    <w:rsid w:val="00D1552F"/>
    <w:rsid w:val="00D230FE"/>
    <w:rsid w:val="00D23C29"/>
    <w:rsid w:val="00D31070"/>
    <w:rsid w:val="00D41F15"/>
    <w:rsid w:val="00D4445E"/>
    <w:rsid w:val="00D5311D"/>
    <w:rsid w:val="00D57722"/>
    <w:rsid w:val="00D64A4C"/>
    <w:rsid w:val="00D86EE7"/>
    <w:rsid w:val="00DA146A"/>
    <w:rsid w:val="00DA4995"/>
    <w:rsid w:val="00DB552C"/>
    <w:rsid w:val="00DC5625"/>
    <w:rsid w:val="00DD0991"/>
    <w:rsid w:val="00DD10E5"/>
    <w:rsid w:val="00DD5FF2"/>
    <w:rsid w:val="00DF0B4F"/>
    <w:rsid w:val="00DF5C85"/>
    <w:rsid w:val="00E02AE3"/>
    <w:rsid w:val="00E22628"/>
    <w:rsid w:val="00E332EA"/>
    <w:rsid w:val="00E41B4B"/>
    <w:rsid w:val="00E46A96"/>
    <w:rsid w:val="00E52F52"/>
    <w:rsid w:val="00E5406F"/>
    <w:rsid w:val="00E81779"/>
    <w:rsid w:val="00E822C4"/>
    <w:rsid w:val="00E82A64"/>
    <w:rsid w:val="00E8345C"/>
    <w:rsid w:val="00E84326"/>
    <w:rsid w:val="00E97A2B"/>
    <w:rsid w:val="00EA337F"/>
    <w:rsid w:val="00EA5D12"/>
    <w:rsid w:val="00EB7F33"/>
    <w:rsid w:val="00EC6091"/>
    <w:rsid w:val="00EE4C7B"/>
    <w:rsid w:val="00EF6F62"/>
    <w:rsid w:val="00F073C7"/>
    <w:rsid w:val="00F235E3"/>
    <w:rsid w:val="00F33C5B"/>
    <w:rsid w:val="00F5205A"/>
    <w:rsid w:val="00F6236F"/>
    <w:rsid w:val="00F64624"/>
    <w:rsid w:val="00F659D7"/>
    <w:rsid w:val="00F950D9"/>
    <w:rsid w:val="00FA7F92"/>
    <w:rsid w:val="00FB2C86"/>
    <w:rsid w:val="00FC3E6E"/>
    <w:rsid w:val="00FD6ECF"/>
    <w:rsid w:val="00FE1203"/>
    <w:rsid w:val="00FE3412"/>
    <w:rsid w:val="00FF3F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A8DF7"/>
  <w15:docId w15:val="{056DDC9B-0919-4E0E-AF71-A543C7315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6A0"/>
    <w:pPr>
      <w:spacing w:after="0" w:line="240" w:lineRule="auto"/>
    </w:pPr>
    <w:rPr>
      <w:rFonts w:ascii="Times New Roman" w:eastAsia="Times New Roman" w:hAnsi="Times New Roman" w:cs="Times New Roman"/>
      <w:sz w:val="24"/>
      <w:szCs w:val="24"/>
      <w:lang w:val="es-EC"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C926A0"/>
    <w:pPr>
      <w:jc w:val="both"/>
    </w:pPr>
    <w:rPr>
      <w:rFonts w:asciiTheme="minorHAnsi" w:eastAsiaTheme="minorHAnsi" w:hAnsiTheme="minorHAnsi" w:cstheme="minorBidi"/>
      <w:sz w:val="20"/>
      <w:szCs w:val="20"/>
      <w:lang w:eastAsia="en-US"/>
    </w:rPr>
  </w:style>
  <w:style w:type="character" w:customStyle="1" w:styleId="SinespaciadoCar">
    <w:name w:val="Sin espaciado Car"/>
    <w:basedOn w:val="Fuentedeprrafopredeter"/>
    <w:link w:val="Sinespaciado"/>
    <w:uiPriority w:val="1"/>
    <w:rsid w:val="00C926A0"/>
    <w:rPr>
      <w:sz w:val="20"/>
      <w:szCs w:val="20"/>
      <w:lang w:val="es-EC"/>
    </w:rPr>
  </w:style>
  <w:style w:type="paragraph" w:styleId="Piedepgina">
    <w:name w:val="footer"/>
    <w:basedOn w:val="Normal"/>
    <w:link w:val="PiedepginaCar"/>
    <w:uiPriority w:val="99"/>
    <w:unhideWhenUsed/>
    <w:rsid w:val="00C926A0"/>
    <w:pPr>
      <w:tabs>
        <w:tab w:val="center" w:pos="4252"/>
        <w:tab w:val="right" w:pos="8504"/>
      </w:tabs>
    </w:pPr>
  </w:style>
  <w:style w:type="character" w:customStyle="1" w:styleId="PiedepginaCar">
    <w:name w:val="Pie de página Car"/>
    <w:basedOn w:val="Fuentedeprrafopredeter"/>
    <w:link w:val="Piedepgina"/>
    <w:uiPriority w:val="99"/>
    <w:rsid w:val="00C926A0"/>
    <w:rPr>
      <w:rFonts w:ascii="Times New Roman" w:eastAsia="Times New Roman" w:hAnsi="Times New Roman" w:cs="Times New Roman"/>
      <w:sz w:val="24"/>
      <w:szCs w:val="24"/>
      <w:lang w:val="es-EC" w:eastAsia="es-ES_tradnl"/>
    </w:rPr>
  </w:style>
  <w:style w:type="paragraph" w:styleId="Encabezado">
    <w:name w:val="header"/>
    <w:basedOn w:val="Normal"/>
    <w:link w:val="EncabezadoCar"/>
    <w:uiPriority w:val="99"/>
    <w:unhideWhenUsed/>
    <w:rsid w:val="00C926A0"/>
    <w:pPr>
      <w:tabs>
        <w:tab w:val="center" w:pos="4419"/>
        <w:tab w:val="right" w:pos="8838"/>
      </w:tabs>
    </w:pPr>
  </w:style>
  <w:style w:type="character" w:customStyle="1" w:styleId="EncabezadoCar">
    <w:name w:val="Encabezado Car"/>
    <w:basedOn w:val="Fuentedeprrafopredeter"/>
    <w:link w:val="Encabezado"/>
    <w:uiPriority w:val="99"/>
    <w:rsid w:val="00C926A0"/>
    <w:rPr>
      <w:rFonts w:ascii="Times New Roman" w:eastAsia="Times New Roman" w:hAnsi="Times New Roman" w:cs="Times New Roman"/>
      <w:sz w:val="24"/>
      <w:szCs w:val="24"/>
      <w:lang w:val="es-EC" w:eastAsia="es-ES_tradnl"/>
    </w:rPr>
  </w:style>
  <w:style w:type="paragraph" w:styleId="NormalWeb">
    <w:name w:val="Normal (Web)"/>
    <w:basedOn w:val="Normal"/>
    <w:uiPriority w:val="99"/>
    <w:unhideWhenUsed/>
    <w:rsid w:val="00C926A0"/>
    <w:pPr>
      <w:spacing w:before="100" w:beforeAutospacing="1" w:after="100" w:afterAutospacing="1"/>
    </w:pPr>
  </w:style>
  <w:style w:type="paragraph" w:customStyle="1" w:styleId="Default">
    <w:name w:val="Default"/>
    <w:rsid w:val="001F733D"/>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markedcontent">
    <w:name w:val="markedcontent"/>
    <w:basedOn w:val="Fuentedeprrafopredeter"/>
    <w:rsid w:val="0042799B"/>
  </w:style>
  <w:style w:type="character" w:customStyle="1" w:styleId="highlight">
    <w:name w:val="highlight"/>
    <w:basedOn w:val="Fuentedeprrafopredeter"/>
    <w:rsid w:val="00A76A16"/>
  </w:style>
  <w:style w:type="paragraph" w:styleId="Prrafodelista">
    <w:name w:val="List Paragraph"/>
    <w:basedOn w:val="Normal"/>
    <w:uiPriority w:val="34"/>
    <w:qFormat/>
    <w:rsid w:val="006A7937"/>
    <w:pPr>
      <w:ind w:left="720"/>
      <w:contextualSpacing/>
    </w:pPr>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7</Pages>
  <Words>2269</Words>
  <Characters>12594</Characters>
  <Application>Microsoft Office Word</Application>
  <DocSecurity>0</DocSecurity>
  <Lines>503</Lines>
  <Paragraphs>225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de Concejo</dc:creator>
  <cp:lastModifiedBy>Marisela Caleno</cp:lastModifiedBy>
  <cp:revision>454</cp:revision>
  <dcterms:created xsi:type="dcterms:W3CDTF">2021-03-30T15:44:00Z</dcterms:created>
  <dcterms:modified xsi:type="dcterms:W3CDTF">2023-04-20T21:07:00Z</dcterms:modified>
</cp:coreProperties>
</file>