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EL CONCEJO METROPOLITANO DE QUITO</w:t>
      </w: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CONSIDERANDO:</w:t>
      </w:r>
    </w:p>
    <w:p w:rsidR="00C926A0" w:rsidRPr="00EA337F" w:rsidRDefault="00C926A0" w:rsidP="00C926A0">
      <w:pPr>
        <w:autoSpaceDE w:val="0"/>
        <w:autoSpaceDN w:val="0"/>
        <w:adjustRightInd w:val="0"/>
        <w:ind w:left="705" w:hanging="705"/>
        <w:jc w:val="both"/>
        <w:rPr>
          <w:rFonts w:ascii="Palatino Linotype" w:eastAsiaTheme="minorHAnsi" w:hAnsi="Palatino Linotype"/>
          <w:i/>
          <w:iCs/>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 el artículo 240 de la Constitución de República del Ecuador, en adelante Constitución, establece: “</w:t>
      </w:r>
      <w:r w:rsidRPr="00EA337F">
        <w:rPr>
          <w:rFonts w:ascii="Palatino Linotype" w:eastAsiaTheme="minorHAnsi" w:hAnsi="Palatino Linotype"/>
          <w:i/>
          <w:iCs/>
          <w:sz w:val="22"/>
          <w:szCs w:val="22"/>
          <w:lang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la Constitución de la República del Ecuador en su artículo 266, determina: </w:t>
      </w:r>
      <w:r w:rsidRPr="00EA337F">
        <w:rPr>
          <w:rFonts w:ascii="Palatino Linotype" w:eastAsiaTheme="minorHAnsi" w:hAnsi="Palatino Linotype"/>
          <w:i/>
          <w:sz w:val="22"/>
          <w:szCs w:val="22"/>
          <w:lang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bCs/>
          <w:sz w:val="22"/>
          <w:szCs w:val="22"/>
          <w:lang w:eastAsia="en-US"/>
        </w:rPr>
        <w:t>Que,</w:t>
      </w:r>
      <w:r w:rsidRPr="00EA337F">
        <w:rPr>
          <w:rFonts w:ascii="Palatino Linotype" w:eastAsiaTheme="minorHAnsi" w:hAnsi="Palatino Linotype"/>
          <w:sz w:val="22"/>
          <w:szCs w:val="22"/>
          <w:lang w:eastAsia="en-US"/>
        </w:rPr>
        <w:t xml:space="preserve"> el literal c) del artículo 84, del Código Orgánico de Organización Territorial, Autonomía y Descentralización, en adelante COOTAD, manifiesta: </w:t>
      </w:r>
      <w:r w:rsidRPr="00EA337F">
        <w:rPr>
          <w:rFonts w:ascii="Palatino Linotype" w:eastAsiaTheme="minorHAnsi" w:hAnsi="Palatino Linotype"/>
          <w:i/>
          <w:sz w:val="22"/>
          <w:szCs w:val="22"/>
          <w:lang w:eastAsia="en-US"/>
        </w:rPr>
        <w:t>"Son funciones del gobierno del distrito autónomo metropolitano: 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los literales a) y d) del artículo 87 del Código Orgánico de Organización Territorial Autonomía y Descentralización, en adelante, “COOTAD”, establecen como atribuciones del Concejo Metropolitano, ejercer la facultad normativa a través de ordenanzas, acuerdos y resoluciones, en el ámbito de competencia del gobierno autónomo descentralizado metropolitano, para regular temas institucionales específicos o reconocer derechos particulares;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conforme establece el artículo 87, literal v) del COOTAD, al Concejo Metropolitano le corresponde: </w:t>
      </w:r>
      <w:r w:rsidRPr="00EA337F">
        <w:rPr>
          <w:rFonts w:ascii="Palatino Linotype" w:eastAsiaTheme="minorHAnsi" w:hAnsi="Palatino Linotype"/>
          <w:i/>
          <w:sz w:val="22"/>
          <w:szCs w:val="22"/>
          <w:lang w:eastAsia="en-US"/>
        </w:rPr>
        <w:t>“… v) Regular y controlar el uso del suelo en el territorio del distrito metropolitano, de conformidad con las leyes sobre la materia, y establecer el régimen urbanístico de la tierra”;</w:t>
      </w:r>
      <w:r w:rsidRPr="00EA337F">
        <w:rPr>
          <w:rFonts w:ascii="Palatino Linotype" w:eastAsiaTheme="minorHAnsi" w:hAnsi="Palatino Linotype"/>
          <w:sz w:val="22"/>
          <w:szCs w:val="22"/>
          <w:lang w:eastAsia="en-US"/>
        </w:rPr>
        <w:t xml:space="preserv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i/>
          <w:iCs/>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artículo 323 del COOTAD establece: “</w:t>
      </w:r>
      <w:r w:rsidRPr="00EA337F">
        <w:rPr>
          <w:rFonts w:ascii="Palatino Linotype" w:eastAsiaTheme="minorHAnsi" w:hAnsi="Palatino Linotype"/>
          <w:i/>
          <w:iCs/>
          <w:sz w:val="22"/>
          <w:szCs w:val="22"/>
          <w:lang w:eastAsia="en-US"/>
        </w:rPr>
        <w:t xml:space="preserve">Aprobación de otros actos normativos.- El órgano normativo del respectivo gobierno autónomo descentralizado podrá expedir además, acuerdos y resoluciones sobre temas que tengan carácter especial o específico, los que serán </w:t>
      </w:r>
      <w:r w:rsidRPr="00EA337F">
        <w:rPr>
          <w:rFonts w:ascii="Palatino Linotype" w:eastAsiaTheme="minorHAnsi" w:hAnsi="Palatino Linotype"/>
          <w:i/>
          <w:iCs/>
          <w:sz w:val="22"/>
          <w:szCs w:val="22"/>
          <w:lang w:eastAsia="en-US"/>
        </w:rPr>
        <w:lastRenderedPageBreak/>
        <w:t>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326 del COOTAD determina que los órganos legislativos de los gobiernos autónomos descentralizados, conformarán comisiones de trabajo las que emitirán conclusiones y recomendaciones que serán consideradas como base para la discusión y aprobación de sus decisiones;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424 del COOTAD señala: </w:t>
      </w:r>
      <w:r w:rsidRPr="00EA337F">
        <w:rPr>
          <w:rFonts w:ascii="Palatino Linotype" w:eastAsiaTheme="minorHAnsi" w:hAnsi="Palatino Linotype"/>
          <w:i/>
          <w:sz w:val="22"/>
          <w:szCs w:val="22"/>
          <w:lang w:eastAsia="en-US"/>
        </w:rPr>
        <w:t xml:space="preserve">“Área verde, comunitaria y vías. -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el artículo 472 del COOTAD señala que: </w:t>
      </w:r>
      <w:r w:rsidRPr="00EA337F">
        <w:rPr>
          <w:rFonts w:ascii="Palatino Linotype" w:eastAsiaTheme="minorHAnsi" w:hAnsi="Palatino Linotype"/>
          <w:i/>
          <w:sz w:val="22"/>
          <w:szCs w:val="22"/>
          <w:lang w:eastAsia="en-US"/>
        </w:rPr>
        <w:t>“Para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0099702E"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 xml:space="preserve">el artículo 2410 del el Código Civil Ecuatoriano determina que: </w:t>
      </w:r>
      <w:r w:rsidRPr="00EA337F">
        <w:rPr>
          <w:rFonts w:ascii="Palatino Linotype" w:eastAsiaTheme="minorHAnsi" w:hAnsi="Palatino Linotype"/>
          <w:i/>
          <w:sz w:val="22"/>
          <w:szCs w:val="22"/>
          <w:lang w:eastAsia="en-US"/>
        </w:rPr>
        <w:t xml:space="preserve">“dominio de las cosas comerciales que no ha sido adquirido por la prescripción ordinaria, puede serlo por la extraordinaria, bajo las reglas que van a expresarse: 1. Cabe la prescripción extraordinaria contra título inscrito; 2. Para la prescripción extraordinaria no es necesario título alguno; basta la posesión material en los términos del Art. 715; 3. Se presume en ella de derecho la buena fe, sin embargo de la falta de un título adquisitivo de dominio…”;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jc w:val="both"/>
        <w:rPr>
          <w:rFonts w:ascii="Palatino Linotype" w:hAnsi="Palatino Linotype"/>
          <w:sz w:val="22"/>
          <w:szCs w:val="22"/>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Que,</w:t>
      </w:r>
      <w:r w:rsidRPr="00EA337F">
        <w:rPr>
          <w:rFonts w:ascii="Palatino Linotype" w:eastAsiaTheme="minorHAnsi" w:hAnsi="Palatino Linotype"/>
          <w:sz w:val="22"/>
          <w:szCs w:val="22"/>
          <w:lang w:eastAsia="en-US"/>
        </w:rPr>
        <w:tab/>
        <w:t>el numeral 1, del artículo 2 de la Ley de Régimen para el Distrito Metropolitano de Quito, determina, como finalidad, que el Municipio del Distrito Metropolitano de Quito: “</w:t>
      </w:r>
      <w:r w:rsidRPr="00EA337F">
        <w:rPr>
          <w:rFonts w:ascii="Palatino Linotype" w:eastAsiaTheme="minorHAnsi" w:hAnsi="Palatino Linotype"/>
          <w:i/>
          <w:iCs/>
          <w:sz w:val="22"/>
          <w:szCs w:val="22"/>
          <w:lang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EA337F">
        <w:rPr>
          <w:rFonts w:ascii="Palatino Linotype" w:eastAsiaTheme="minorHAnsi" w:hAnsi="Palatino Linotype"/>
          <w:sz w:val="22"/>
          <w:szCs w:val="22"/>
          <w:lang w:eastAsia="en-US"/>
        </w:rPr>
        <w:t>;</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lang w:eastAsia="en-US"/>
        </w:rPr>
      </w:pP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para el Distrito Metropolitano de Quito, en adelante Código Municipal, en su artículo 2162, numeral 1, establece que: </w:t>
      </w:r>
      <w:r w:rsidRPr="00EA337F">
        <w:rPr>
          <w:rFonts w:ascii="Palatino Linotype" w:eastAsiaTheme="minorHAnsi" w:hAnsi="Palatino Linotype"/>
          <w:i/>
          <w:sz w:val="22"/>
          <w:szCs w:val="22"/>
          <w:lang w:eastAsia="en-US"/>
        </w:rPr>
        <w:t>“1. Los proyectos de subdivisión son propuestas que tienen por finalidad dividir y habilitar predios, conforme la zonificación establecida en el PUOS y demás instrumentos de planificación. En todos los casos deberá observarse el lote mínimo establecido en la normativa vigente.</w:t>
      </w:r>
      <w:r w:rsidRPr="00EA337F">
        <w:rPr>
          <w:rFonts w:ascii="Palatino Linotype" w:hAnsi="Palatino Linotype"/>
          <w:i/>
          <w:sz w:val="22"/>
          <w:szCs w:val="22"/>
        </w:rPr>
        <w:t>”</w:t>
      </w:r>
      <w:r w:rsidRPr="00EA337F">
        <w:rPr>
          <w:rFonts w:ascii="Palatino Linotype" w:hAnsi="Palatino Linotype"/>
          <w:sz w:val="22"/>
          <w:szCs w:val="22"/>
        </w:rPr>
        <w:t xml:space="preserve">; </w:t>
      </w:r>
    </w:p>
    <w:p w:rsidR="00532857" w:rsidRPr="00EA337F" w:rsidRDefault="00532857" w:rsidP="00532857">
      <w:pPr>
        <w:autoSpaceDE w:val="0"/>
        <w:autoSpaceDN w:val="0"/>
        <w:adjustRightInd w:val="0"/>
        <w:spacing w:line="276" w:lineRule="auto"/>
        <w:ind w:left="709" w:hanging="709"/>
        <w:jc w:val="both"/>
        <w:rPr>
          <w:rFonts w:ascii="Palatino Linotype" w:hAnsi="Palatino Linotype"/>
          <w:sz w:val="22"/>
          <w:szCs w:val="22"/>
        </w:rPr>
      </w:pPr>
    </w:p>
    <w:p w:rsidR="00532857" w:rsidRPr="00EA337F" w:rsidRDefault="00532857" w:rsidP="00532857">
      <w:pPr>
        <w:autoSpaceDE w:val="0"/>
        <w:autoSpaceDN w:val="0"/>
        <w:adjustRightInd w:val="0"/>
        <w:spacing w:line="276" w:lineRule="auto"/>
        <w:ind w:left="709" w:hanging="709"/>
        <w:jc w:val="both"/>
        <w:rPr>
          <w:rFonts w:ascii="Palatino Linotype" w:eastAsiaTheme="minorHAnsi" w:hAnsi="Palatino Linotype"/>
          <w:i/>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t xml:space="preserve">el Código Municipal en su artículo 2171, establece: </w:t>
      </w:r>
      <w:r w:rsidRPr="00EA337F">
        <w:rPr>
          <w:rFonts w:ascii="Palatino Linotype" w:eastAsiaTheme="minorHAnsi" w:hAnsi="Palatino Linotype"/>
          <w:i/>
          <w:sz w:val="22"/>
          <w:szCs w:val="22"/>
          <w:lang w:eastAsia="en-US"/>
        </w:rPr>
        <w:t xml:space="preserve">“Supuestos en el que la contribución de áreas verdes públicas, para subdivisiones puede ser compensada: (...) 4. En el caso de la sentencia ejecutoriada dictada dentro del juicio de prescripción extraordinaria adquisitiva de dominio, de una parte, de un lote que obliga a un fraccionamiento, de conformidad a lo estipulado en el artículo 424 reformado del Código Orgánico de Organización Territorial, Autonomía y Descentralización, se deberá calcular el aporte del 15% del área útil adquirida mediante sentencia. Si el área de la sentencia es inferior a 3000.00 m2, la contribución del 15% del área útil adjudicada, se compensará en valor monetario según el avalúo catastral actualizado, cuando sea menor al lote mínimo asignado en la zonificación vigente”;  </w:t>
      </w:r>
    </w:p>
    <w:p w:rsidR="00C926A0" w:rsidRPr="00EA337F" w:rsidRDefault="00C926A0" w:rsidP="00C926A0">
      <w:pPr>
        <w:autoSpaceDE w:val="0"/>
        <w:autoSpaceDN w:val="0"/>
        <w:adjustRightInd w:val="0"/>
        <w:spacing w:line="276" w:lineRule="auto"/>
        <w:ind w:left="709" w:hanging="709"/>
        <w:jc w:val="both"/>
        <w:rPr>
          <w:rFonts w:ascii="Palatino Linotype" w:eastAsiaTheme="minorHAnsi" w:hAnsi="Palatino Linotype"/>
          <w:sz w:val="22"/>
          <w:szCs w:val="22"/>
          <w:highlight w:val="yellow"/>
          <w:lang w:eastAsia="en-US"/>
        </w:rPr>
      </w:pPr>
    </w:p>
    <w:p w:rsidR="00027D50" w:rsidRPr="00EA337F" w:rsidRDefault="00027D50" w:rsidP="00027D50">
      <w:pPr>
        <w:autoSpaceDE w:val="0"/>
        <w:autoSpaceDN w:val="0"/>
        <w:adjustRightInd w:val="0"/>
        <w:ind w:left="708" w:hanging="708"/>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mediante oficio Nro.</w:t>
      </w:r>
      <w:r w:rsidRPr="00EA337F">
        <w:rPr>
          <w:rFonts w:ascii="Palatino Linotype" w:hAnsi="Palatino Linotype"/>
          <w:sz w:val="22"/>
          <w:szCs w:val="22"/>
        </w:rPr>
        <w:t xml:space="preserve"> 2950-2010 de 31 de octubre de 2011</w:t>
      </w:r>
      <w:r w:rsidRPr="00EA337F">
        <w:rPr>
          <w:rFonts w:ascii="Palatino Linotype" w:eastAsiaTheme="minorHAnsi" w:hAnsi="Palatino Linotype"/>
          <w:sz w:val="22"/>
          <w:szCs w:val="22"/>
          <w:lang w:eastAsia="en-US"/>
        </w:rPr>
        <w:t xml:space="preserve"> la Procuraduría Metropolitana emitió un </w:t>
      </w:r>
      <w:r w:rsidRPr="00EA337F">
        <w:rPr>
          <w:rFonts w:ascii="Palatino Linotype" w:hAnsi="Palatino Linotype"/>
          <w:sz w:val="22"/>
          <w:szCs w:val="22"/>
        </w:rPr>
        <w:t xml:space="preserve">pronunciamiento en forma general, respecto al marco legal y operativo para todos los casos de </w:t>
      </w:r>
      <w:r w:rsidRPr="00EA337F">
        <w:rPr>
          <w:rFonts w:ascii="Palatino Linotype" w:eastAsiaTheme="minorHAnsi" w:hAnsi="Palatino Linotype"/>
          <w:sz w:val="22"/>
          <w:szCs w:val="22"/>
          <w:lang w:eastAsia="en-US"/>
        </w:rPr>
        <w:t>prescripción extraordinaria adquisitiva de dominio;</w:t>
      </w:r>
    </w:p>
    <w:p w:rsidR="00027D50" w:rsidRPr="00EA337F" w:rsidRDefault="00027D50" w:rsidP="002F7AF5">
      <w:pPr>
        <w:autoSpaceDE w:val="0"/>
        <w:autoSpaceDN w:val="0"/>
        <w:adjustRightInd w:val="0"/>
        <w:ind w:left="708" w:hanging="708"/>
        <w:jc w:val="both"/>
        <w:rPr>
          <w:rFonts w:ascii="Palatino Linotype" w:eastAsiaTheme="minorHAnsi" w:hAnsi="Palatino Linotype"/>
          <w:b/>
          <w:sz w:val="22"/>
          <w:szCs w:val="22"/>
          <w:lang w:eastAsia="en-US"/>
        </w:rPr>
      </w:pPr>
    </w:p>
    <w:p w:rsidR="009369B6" w:rsidRPr="00263D0D" w:rsidRDefault="00C926A0" w:rsidP="00B14060">
      <w:pPr>
        <w:autoSpaceDE w:val="0"/>
        <w:autoSpaceDN w:val="0"/>
        <w:adjustRightInd w:val="0"/>
        <w:ind w:left="708" w:hanging="708"/>
        <w:jc w:val="both"/>
        <w:rPr>
          <w:rFonts w:ascii="Palatino Linotype" w:hAnsi="Palatino Linotype"/>
          <w:i/>
          <w:sz w:val="22"/>
          <w:szCs w:val="22"/>
        </w:rPr>
      </w:pPr>
      <w:r w:rsidRPr="00EA337F">
        <w:rPr>
          <w:rFonts w:ascii="Palatino Linotype" w:eastAsiaTheme="minorHAnsi" w:hAnsi="Palatino Linotype"/>
          <w:b/>
          <w:sz w:val="22"/>
          <w:szCs w:val="22"/>
          <w:lang w:eastAsia="en-US"/>
        </w:rPr>
        <w:t>Que,</w:t>
      </w:r>
      <w:r w:rsidRPr="00EA337F">
        <w:rPr>
          <w:rFonts w:ascii="Palatino Linotype" w:eastAsiaTheme="minorHAnsi" w:hAnsi="Palatino Linotype"/>
          <w:sz w:val="22"/>
          <w:szCs w:val="22"/>
          <w:lang w:eastAsia="en-US"/>
        </w:rPr>
        <w:t xml:space="preserve"> </w:t>
      </w:r>
      <w:r w:rsidRPr="00EA337F">
        <w:rPr>
          <w:rFonts w:ascii="Palatino Linotype" w:eastAsiaTheme="minorHAnsi" w:hAnsi="Palatino Linotype"/>
          <w:sz w:val="22"/>
          <w:szCs w:val="22"/>
          <w:lang w:eastAsia="en-US"/>
        </w:rPr>
        <w:tab/>
      </w:r>
      <w:r w:rsidR="009369B6">
        <w:rPr>
          <w:rFonts w:ascii="Palatino Linotype" w:hAnsi="Palatino Linotype"/>
          <w:sz w:val="22"/>
          <w:szCs w:val="22"/>
        </w:rPr>
        <w:t>c</w:t>
      </w:r>
      <w:r w:rsidR="009369B6" w:rsidRPr="00263D0D">
        <w:rPr>
          <w:rFonts w:ascii="Palatino Linotype" w:hAnsi="Palatino Linotype"/>
          <w:sz w:val="22"/>
          <w:szCs w:val="22"/>
        </w:rPr>
        <w:t xml:space="preserve">onforme se desprende del informe técnico No. </w:t>
      </w:r>
      <w:r w:rsidR="009369B6" w:rsidRPr="00263D0D">
        <w:rPr>
          <w:rStyle w:val="markedcontent"/>
          <w:rFonts w:ascii="Palatino Linotype" w:hAnsi="Palatino Linotype" w:cs="Arial"/>
          <w:sz w:val="22"/>
          <w:szCs w:val="22"/>
        </w:rPr>
        <w:t xml:space="preserve">AZQ-DGT-UGU-IT-2022-250, de 27 de octubre de 2022, de la Administración Zonal </w:t>
      </w:r>
      <w:r w:rsidR="009369B6" w:rsidRPr="00263D0D">
        <w:rPr>
          <w:rFonts w:ascii="Palatino Linotype" w:hAnsi="Palatino Linotype"/>
          <w:sz w:val="22"/>
          <w:szCs w:val="22"/>
        </w:rPr>
        <w:t>Quitumbe,</w:t>
      </w:r>
      <w:r w:rsidR="009369B6" w:rsidRPr="00263D0D">
        <w:rPr>
          <w:rFonts w:ascii="Palatino Linotype" w:hAnsi="Palatino Linotype"/>
          <w:i/>
          <w:sz w:val="22"/>
          <w:szCs w:val="22"/>
        </w:rPr>
        <w:t xml:space="preserve"> “(…) Con Proceso de Juicio No. 17233-2017-03590, El presente informe se emite en base a la sentencia del Dr. Cevallos Ampidia Edwin Ernesto a favor del Sr. Pullupaxi Ninacuri Manuel Wilson: " (... ) La disposición legal del Art. 406 del Código Orgánico de la Función Judicial, sin que sea necesario realizar más análisis, ADMINISTRADO JUSTICIA, EN NOMBRE DEL PUEBLO SOBERANO DEL ECUADOR, Y POR AUTORIDAD DE LA </w:t>
      </w:r>
      <w:r w:rsidR="009369B6" w:rsidRPr="00263D0D">
        <w:rPr>
          <w:rFonts w:ascii="Palatino Linotype" w:hAnsi="Palatino Linotype"/>
          <w:i/>
          <w:sz w:val="22"/>
          <w:szCs w:val="22"/>
        </w:rPr>
        <w:lastRenderedPageBreak/>
        <w:t>CONSTITUCIÓN Y LAS LEYES DE LA REPÚBLICA, Se ratifica también la decisión tomada en la Audiencia de 14 de diciembre del año 2018 declarando que Manuel Pullupaxi Ninacuri y Melva Chicaiza Chimborazo, han adquirido por prescripción adquisitiva extraordinaria de dominio la porción de terreno equivalente al 25% fincados dentro de un lote de mayor extinción signado con el No.6,ubicado en la lotización “Matilde Álvarez”, sector Guamaní, parroquia Chillogallo, cantón Quito, Provincia de Pichincha derechos y acciones que tiene los siguientes linderos y superficies actuales: Norte: En 16,75 metros lineales ,con propiedad de los propios demandantes Manuel Pullupaxi Ninacuri y Melva Chicaiza Chimborazo, Sur: En 16.68 metros lineales, con calle 4ta transversal de la lotización, Este.-En 17,24 metros lineales con la propiedad los propios demandantes ,Manuel Pullupaxi Ninacuri Y Melva Chicaiza Chimborazo: y al Oeste: En 17,31 metros lineales con propiedad de Martha Guerrero Andrade, derechos y acciones de una superficie de 288,81 metros cuadrados (...)"</w:t>
      </w:r>
    </w:p>
    <w:p w:rsidR="0022530B" w:rsidRDefault="0022530B" w:rsidP="002727B2">
      <w:pPr>
        <w:pStyle w:val="Default"/>
        <w:jc w:val="both"/>
        <w:rPr>
          <w:b/>
          <w:sz w:val="22"/>
          <w:szCs w:val="22"/>
        </w:rPr>
      </w:pPr>
    </w:p>
    <w:p w:rsidR="001F733D" w:rsidRPr="00EA337F" w:rsidRDefault="0013405F" w:rsidP="0013405F">
      <w:pPr>
        <w:pStyle w:val="Default"/>
        <w:ind w:left="708" w:hanging="708"/>
        <w:jc w:val="both"/>
        <w:rPr>
          <w:sz w:val="22"/>
          <w:szCs w:val="22"/>
        </w:rPr>
      </w:pPr>
      <w:r w:rsidRPr="00EA337F">
        <w:rPr>
          <w:b/>
          <w:sz w:val="22"/>
          <w:szCs w:val="22"/>
        </w:rPr>
        <w:t>Que,</w:t>
      </w:r>
      <w:r w:rsidRPr="00EA337F">
        <w:rPr>
          <w:sz w:val="22"/>
          <w:szCs w:val="22"/>
        </w:rPr>
        <w:t xml:space="preserve"> m</w:t>
      </w:r>
      <w:r w:rsidR="001F733D" w:rsidRPr="00EA337F">
        <w:rPr>
          <w:sz w:val="22"/>
          <w:szCs w:val="22"/>
        </w:rPr>
        <w:t>ediante oficio GADDMQ-PM-2021-03</w:t>
      </w:r>
      <w:r w:rsidR="00AC0982" w:rsidRPr="00EA337F">
        <w:rPr>
          <w:sz w:val="22"/>
          <w:szCs w:val="22"/>
        </w:rPr>
        <w:t>96-O de 29 de enero de 2021, el</w:t>
      </w:r>
      <w:r w:rsidR="001F733D" w:rsidRPr="00EA337F">
        <w:rPr>
          <w:sz w:val="22"/>
          <w:szCs w:val="22"/>
        </w:rPr>
        <w:t xml:space="preserve"> Dr. Edison Yépez Vinueza, Subprocurador Metropolitano, señala: </w:t>
      </w:r>
    </w:p>
    <w:p w:rsidR="001F733D" w:rsidRPr="00EA337F" w:rsidRDefault="001F733D" w:rsidP="001F733D">
      <w:pPr>
        <w:tabs>
          <w:tab w:val="left" w:pos="426"/>
        </w:tabs>
        <w:ind w:left="1416" w:right="566"/>
        <w:jc w:val="both"/>
        <w:rPr>
          <w:rFonts w:ascii="Palatino Linotype" w:hAnsi="Palatino Linotype"/>
          <w:i/>
          <w:sz w:val="22"/>
          <w:szCs w:val="22"/>
        </w:rPr>
      </w:pP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 Mediante oficio No. 2950-2010 de 31 de octubre de 2011, la Procuraduría Metropolitana absuelve la consulta planteada por la Secretaría de Coordinación Territorial y Participación Ciudadana, para los casos de fraccionamiento producidos a causa de las sentencias dictadas en juicios de prescripción adquisitiva de dominio y se pronunció respecto del procedimiento a seguir para el cumplimiento y ejecución de dichas sentencias.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este sentido, corresponde a las Administraciones Zonales determinar en cada caso particular, la aplicación del criterio anteriormente señalado, para lo cual deberá tomar en cuenta en sujeción a la normativa vigente y por tratarse de un fraccionamiento, los parámetros de lote mínimo, frente mínimo y contribución o compensación de áreas verdes.</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En el evento de que la subdivisión que se genere con la ejecución de la sentencia no cumpla con los parámetros de zonificación respecto a lote y frente mínimos, se remitirá el expediente con los informes de la Administración Zonal, para conocimiento y resolución del Concejo Metropolitano.</w:t>
      </w:r>
    </w:p>
    <w:p w:rsidR="001F733D" w:rsidRPr="00EA337F" w:rsidRDefault="001F733D" w:rsidP="001F733D">
      <w:pPr>
        <w:tabs>
          <w:tab w:val="left" w:pos="284"/>
        </w:tabs>
        <w:ind w:left="708"/>
        <w:jc w:val="both"/>
        <w:rPr>
          <w:rFonts w:ascii="Palatino Linotype" w:hAnsi="Palatino Linotype"/>
          <w:i/>
          <w:sz w:val="22"/>
          <w:szCs w:val="22"/>
        </w:rPr>
      </w:pPr>
      <w:r w:rsidRPr="00EA337F">
        <w:rPr>
          <w:rFonts w:ascii="Palatino Linotype" w:hAnsi="Palatino Linotype"/>
          <w:i/>
          <w:sz w:val="22"/>
          <w:szCs w:val="22"/>
        </w:rPr>
        <w:t>Por lo expuesto, las Administraciones Zonales de acuerdo al régimen jurídico aplicable realizarán el análisis de cumplimiento de los parámetros de zonificación y de la contribución o compensación del área verde, e informarán al Concejo Metropolitano, según los supuestos fácticos que presenten cada uno de los casos en particular.”.</w:t>
      </w:r>
    </w:p>
    <w:p w:rsidR="001F733D" w:rsidRPr="00EA337F" w:rsidRDefault="001F733D" w:rsidP="001F733D">
      <w:pPr>
        <w:tabs>
          <w:tab w:val="left" w:pos="284"/>
        </w:tabs>
        <w:jc w:val="both"/>
        <w:rPr>
          <w:rFonts w:ascii="Palatino Linotype" w:hAnsi="Palatino Linotype"/>
          <w:i/>
          <w:sz w:val="22"/>
          <w:szCs w:val="22"/>
        </w:rPr>
      </w:pPr>
    </w:p>
    <w:p w:rsidR="007020E6" w:rsidRPr="00263D0D" w:rsidRDefault="000B4CF2" w:rsidP="007020E6">
      <w:pPr>
        <w:tabs>
          <w:tab w:val="left" w:pos="1080"/>
        </w:tabs>
        <w:ind w:left="1080" w:hanging="1080"/>
        <w:jc w:val="both"/>
        <w:rPr>
          <w:rFonts w:ascii="Palatino Linotype" w:hAnsi="Palatino Linotype"/>
          <w:sz w:val="22"/>
          <w:szCs w:val="22"/>
        </w:rPr>
      </w:pPr>
      <w:r w:rsidRPr="00EA337F">
        <w:rPr>
          <w:rFonts w:ascii="Palatino Linotype" w:hAnsi="Palatino Linotype"/>
          <w:sz w:val="22"/>
          <w:szCs w:val="22"/>
        </w:rPr>
        <w:t xml:space="preserve">Que, </w:t>
      </w:r>
      <w:r w:rsidR="007020E6">
        <w:rPr>
          <w:rFonts w:ascii="Palatino Linotype" w:hAnsi="Palatino Linotype"/>
          <w:sz w:val="22"/>
          <w:szCs w:val="22"/>
        </w:rPr>
        <w:t>m</w:t>
      </w:r>
      <w:r w:rsidR="007020E6" w:rsidRPr="00263D0D">
        <w:rPr>
          <w:rFonts w:ascii="Palatino Linotype" w:hAnsi="Palatino Linotype"/>
          <w:sz w:val="22"/>
          <w:szCs w:val="22"/>
        </w:rPr>
        <w:t xml:space="preserve">ediante informe técnico Nro. </w:t>
      </w:r>
      <w:r w:rsidR="007020E6" w:rsidRPr="00263D0D">
        <w:rPr>
          <w:rStyle w:val="markedcontent"/>
          <w:rFonts w:ascii="Palatino Linotype" w:hAnsi="Palatino Linotype" w:cs="Arial"/>
          <w:sz w:val="22"/>
          <w:szCs w:val="22"/>
        </w:rPr>
        <w:t>AZQ-DGT-UGU-IT-2022-250</w:t>
      </w:r>
      <w:r w:rsidR="007020E6" w:rsidRPr="00263D0D">
        <w:rPr>
          <w:rFonts w:ascii="Palatino Linotype" w:hAnsi="Palatino Linotype"/>
          <w:sz w:val="22"/>
          <w:szCs w:val="22"/>
        </w:rPr>
        <w:t xml:space="preserve">, de 27 de octubre de 2022, la Arq. Ana Lucía Loza, funcionaria de la Administración Zonal Quitumbe, señala: </w:t>
      </w:r>
    </w:p>
    <w:p w:rsidR="007020E6" w:rsidRPr="00263D0D" w:rsidRDefault="007020E6" w:rsidP="007020E6">
      <w:pPr>
        <w:tabs>
          <w:tab w:val="left" w:pos="1080"/>
        </w:tabs>
        <w:jc w:val="both"/>
        <w:rPr>
          <w:rFonts w:ascii="Palatino Linotype" w:hAnsi="Palatino Linotype"/>
          <w:b/>
          <w:sz w:val="22"/>
          <w:szCs w:val="22"/>
        </w:rPr>
      </w:pPr>
    </w:p>
    <w:p w:rsidR="007020E6" w:rsidRPr="00263D0D" w:rsidRDefault="007020E6" w:rsidP="007020E6">
      <w:pPr>
        <w:tabs>
          <w:tab w:val="left" w:pos="1080"/>
        </w:tabs>
        <w:ind w:left="708"/>
        <w:jc w:val="both"/>
        <w:rPr>
          <w:rStyle w:val="markedcontent"/>
          <w:rFonts w:ascii="Palatino Linotype" w:hAnsi="Palatino Linotype" w:cs="Arial"/>
          <w:i/>
          <w:sz w:val="22"/>
          <w:szCs w:val="22"/>
        </w:rPr>
      </w:pPr>
      <w:r w:rsidRPr="00263D0D">
        <w:rPr>
          <w:rFonts w:ascii="Palatino Linotype" w:hAnsi="Palatino Linotype"/>
          <w:i/>
          <w:sz w:val="22"/>
          <w:szCs w:val="22"/>
        </w:rPr>
        <w:t>“(…)</w:t>
      </w:r>
      <w:r w:rsidRPr="00263D0D">
        <w:rPr>
          <w:rStyle w:val="markedcontent"/>
          <w:rFonts w:ascii="Palatino Linotype" w:hAnsi="Palatino Linotype" w:cs="Arial"/>
          <w:i/>
          <w:sz w:val="22"/>
          <w:szCs w:val="22"/>
        </w:rPr>
        <w:t xml:space="preserve"> 5. CONCLUSIONES:</w:t>
      </w:r>
    </w:p>
    <w:p w:rsidR="007020E6" w:rsidRPr="00263D0D" w:rsidRDefault="007020E6" w:rsidP="007020E6">
      <w:pPr>
        <w:tabs>
          <w:tab w:val="left" w:pos="1080"/>
        </w:tabs>
        <w:ind w:left="708"/>
        <w:jc w:val="both"/>
        <w:rPr>
          <w:rStyle w:val="markedcontent"/>
          <w:rFonts w:ascii="Palatino Linotype" w:hAnsi="Palatino Linotype" w:cs="Arial"/>
          <w:b/>
          <w:i/>
          <w:sz w:val="22"/>
          <w:szCs w:val="22"/>
          <w:u w:val="single"/>
        </w:rPr>
      </w:pPr>
      <w:r w:rsidRPr="00263D0D">
        <w:rPr>
          <w:rFonts w:ascii="Palatino Linotype" w:hAnsi="Palatino Linotype"/>
          <w:i/>
          <w:sz w:val="22"/>
          <w:szCs w:val="22"/>
        </w:rPr>
        <w:lastRenderedPageBreak/>
        <w:br/>
      </w:r>
      <w:r w:rsidRPr="00263D0D">
        <w:rPr>
          <w:rStyle w:val="markedcontent"/>
          <w:rFonts w:ascii="Palatino Linotype" w:hAnsi="Palatino Linotype" w:cs="Arial"/>
          <w:i/>
          <w:sz w:val="22"/>
          <w:szCs w:val="22"/>
        </w:rPr>
        <w:t>Del análisis técnico se desprende que, la prescripción adquisitiva de dominio de una parte del inmueble del predio No. 435659, No Cumple con los datos establecidos en la zonificación vigente, tales como, “lote</w:t>
      </w:r>
      <w:r w:rsidR="00EB322D">
        <w:rPr>
          <w:rStyle w:val="markedcontent"/>
          <w:rFonts w:ascii="Palatino Linotype" w:hAnsi="Palatino Linotype" w:cs="Arial"/>
          <w:i/>
          <w:sz w:val="22"/>
          <w:szCs w:val="22"/>
        </w:rPr>
        <w:t xml:space="preserve"> </w:t>
      </w:r>
      <w:r w:rsidRPr="00263D0D">
        <w:rPr>
          <w:rStyle w:val="markedcontent"/>
          <w:rFonts w:ascii="Palatino Linotype" w:hAnsi="Palatino Linotype" w:cs="Arial"/>
          <w:i/>
          <w:sz w:val="22"/>
          <w:szCs w:val="22"/>
        </w:rPr>
        <w:t xml:space="preserve">mínimo” y “frente mínimo”, el área prescrita corresponde a 288.81m2 menor a 300m2 zonificación vigente; razón por la que se emite </w:t>
      </w:r>
      <w:r w:rsidRPr="00263D0D">
        <w:rPr>
          <w:rStyle w:val="markedcontent"/>
          <w:rFonts w:ascii="Palatino Linotype" w:hAnsi="Palatino Linotype" w:cs="Arial"/>
          <w:b/>
          <w:i/>
          <w:sz w:val="22"/>
          <w:szCs w:val="22"/>
          <w:u w:val="single"/>
        </w:rPr>
        <w:t>Informe Técnico desfavorable, motivo que no cumple con las condiciones</w:t>
      </w:r>
      <w:r>
        <w:rPr>
          <w:rStyle w:val="markedcontent"/>
          <w:rFonts w:ascii="Palatino Linotype" w:hAnsi="Palatino Linotype" w:cs="Arial"/>
          <w:b/>
          <w:i/>
          <w:sz w:val="22"/>
          <w:szCs w:val="22"/>
          <w:u w:val="single"/>
        </w:rPr>
        <w:t xml:space="preserve"> </w:t>
      </w:r>
      <w:r w:rsidRPr="00263D0D">
        <w:rPr>
          <w:rStyle w:val="markedcontent"/>
          <w:rFonts w:ascii="Palatino Linotype" w:hAnsi="Palatino Linotype" w:cs="Arial"/>
          <w:b/>
          <w:i/>
          <w:sz w:val="22"/>
          <w:szCs w:val="22"/>
          <w:u w:val="single"/>
        </w:rPr>
        <w:t>generales de los inmuebles de la zona.</w:t>
      </w:r>
    </w:p>
    <w:p w:rsidR="007020E6" w:rsidRPr="00263D0D" w:rsidRDefault="007020E6" w:rsidP="007020E6">
      <w:pPr>
        <w:tabs>
          <w:tab w:val="left" w:pos="1080"/>
        </w:tabs>
        <w:ind w:left="708"/>
        <w:jc w:val="both"/>
        <w:rPr>
          <w:rStyle w:val="markedcontent"/>
          <w:rFonts w:ascii="Palatino Linotype" w:hAnsi="Palatino Linotype" w:cs="Arial"/>
          <w:i/>
          <w:sz w:val="22"/>
          <w:szCs w:val="22"/>
        </w:rPr>
      </w:pPr>
      <w:r w:rsidRPr="00263D0D">
        <w:rPr>
          <w:rFonts w:ascii="Palatino Linotype" w:hAnsi="Palatino Linotype"/>
          <w:i/>
          <w:sz w:val="22"/>
          <w:szCs w:val="22"/>
        </w:rPr>
        <w:br/>
      </w:r>
      <w:r w:rsidRPr="00263D0D">
        <w:rPr>
          <w:rStyle w:val="markedcontent"/>
          <w:rFonts w:ascii="Palatino Linotype" w:hAnsi="Palatino Linotype" w:cs="Arial"/>
          <w:i/>
          <w:sz w:val="22"/>
          <w:szCs w:val="22"/>
        </w:rPr>
        <w:t>La Unidad de Gestión Urbana emite este informe en base al CÓDIGO MUNICIPAL PARA EL DISTRITO METROPOLITANO DE QUITO y el Pronunciamiento de la Procuraduría Metropolitana la misma que se</w:t>
      </w:r>
      <w:r>
        <w:rPr>
          <w:rStyle w:val="markedcontent"/>
          <w:rFonts w:ascii="Palatino Linotype" w:hAnsi="Palatino Linotype" w:cs="Arial"/>
          <w:i/>
          <w:sz w:val="22"/>
          <w:szCs w:val="22"/>
        </w:rPr>
        <w:t xml:space="preserve"> </w:t>
      </w:r>
      <w:r w:rsidRPr="00263D0D">
        <w:rPr>
          <w:rStyle w:val="markedcontent"/>
          <w:rFonts w:ascii="Palatino Linotype" w:hAnsi="Palatino Linotype" w:cs="Arial"/>
          <w:i/>
          <w:sz w:val="22"/>
          <w:szCs w:val="22"/>
        </w:rPr>
        <w:t>describe en el Expediente No.:2950-2010 de fecha 31 Oct 2011, Referencia: Consulta sobre sentencia de prescripción adquisitiva de dominio, suscrito por la Señora Magíster Natalia Novillo Rameix, SECRETARIA DE COORDINACIÓN TERRITORIAL Y PARTICIPACIÓN CIUDADANA, la cual describe en MARCO NORMATIVO</w:t>
      </w:r>
      <w:r>
        <w:rPr>
          <w:rStyle w:val="markedcontent"/>
          <w:rFonts w:ascii="Palatino Linotype" w:hAnsi="Palatino Linotype" w:cs="Arial"/>
          <w:i/>
          <w:sz w:val="22"/>
          <w:szCs w:val="22"/>
        </w:rPr>
        <w:t xml:space="preserve"> </w:t>
      </w:r>
      <w:r w:rsidRPr="00263D0D">
        <w:rPr>
          <w:rStyle w:val="markedcontent"/>
          <w:rFonts w:ascii="Palatino Linotype" w:hAnsi="Palatino Linotype" w:cs="Arial"/>
          <w:i/>
          <w:sz w:val="22"/>
          <w:szCs w:val="22"/>
        </w:rPr>
        <w:t>APLICABLE, claramente especifica en el literal B.2.1.</w:t>
      </w:r>
    </w:p>
    <w:p w:rsidR="006A7937" w:rsidRPr="00D11C26" w:rsidRDefault="007020E6" w:rsidP="007020E6">
      <w:pPr>
        <w:tabs>
          <w:tab w:val="left" w:pos="1080"/>
        </w:tabs>
        <w:ind w:left="1080" w:hanging="1080"/>
        <w:jc w:val="both"/>
        <w:rPr>
          <w:rFonts w:ascii="Palatino Linotype" w:hAnsi="Palatino Linotype"/>
          <w:b/>
          <w:sz w:val="22"/>
          <w:szCs w:val="22"/>
        </w:rPr>
      </w:pPr>
      <w:r w:rsidRPr="00263D0D">
        <w:rPr>
          <w:rFonts w:ascii="Palatino Linotype" w:hAnsi="Palatino Linotype"/>
          <w:i/>
          <w:sz w:val="22"/>
          <w:szCs w:val="22"/>
        </w:rPr>
        <w:br/>
      </w:r>
      <w:r w:rsidRPr="00263D0D">
        <w:rPr>
          <w:rStyle w:val="markedcontent"/>
          <w:rFonts w:ascii="Palatino Linotype" w:hAnsi="Palatino Linotype" w:cs="Arial"/>
          <w:i/>
          <w:sz w:val="22"/>
          <w:szCs w:val="22"/>
        </w:rPr>
        <w:t>La Dirección de Asesoría Jurídica verificará la idoneidad de la documentación y la factibilidad legal del trámite, dará continuidad conforme en el ámbito de sus competencias lo que el marco legal vigente.”</w:t>
      </w:r>
    </w:p>
    <w:p w:rsidR="000C42C2" w:rsidRDefault="000C42C2" w:rsidP="00662D01">
      <w:pPr>
        <w:pStyle w:val="Default"/>
        <w:ind w:left="708" w:hanging="708"/>
        <w:jc w:val="both"/>
        <w:rPr>
          <w:sz w:val="22"/>
          <w:szCs w:val="22"/>
        </w:rPr>
      </w:pPr>
    </w:p>
    <w:p w:rsidR="003C3864" w:rsidRPr="00263D0D" w:rsidRDefault="00E41B4B" w:rsidP="00511C63">
      <w:pPr>
        <w:pStyle w:val="Default"/>
        <w:ind w:left="708" w:hanging="708"/>
        <w:jc w:val="both"/>
        <w:rPr>
          <w:sz w:val="22"/>
          <w:szCs w:val="22"/>
        </w:rPr>
      </w:pPr>
      <w:r w:rsidRPr="00EA337F">
        <w:rPr>
          <w:sz w:val="22"/>
          <w:szCs w:val="22"/>
        </w:rPr>
        <w:t xml:space="preserve">Que, </w:t>
      </w:r>
      <w:r w:rsidR="003C3864">
        <w:rPr>
          <w:sz w:val="22"/>
          <w:szCs w:val="22"/>
        </w:rPr>
        <w:t>m</w:t>
      </w:r>
      <w:r w:rsidR="003C3864" w:rsidRPr="00263D0D">
        <w:rPr>
          <w:sz w:val="22"/>
          <w:szCs w:val="22"/>
        </w:rPr>
        <w:t xml:space="preserve">ediante </w:t>
      </w:r>
      <w:r w:rsidR="003C3864" w:rsidRPr="00263D0D">
        <w:rPr>
          <w:sz w:val="22"/>
          <w:szCs w:val="22"/>
          <w:lang w:val="es-EC"/>
        </w:rPr>
        <w:t xml:space="preserve">memorando Nro. </w:t>
      </w:r>
      <w:r w:rsidR="003C3864" w:rsidRPr="00263D0D">
        <w:rPr>
          <w:sz w:val="22"/>
          <w:szCs w:val="22"/>
        </w:rPr>
        <w:t>GADDMQ-AZQ-DAJ-2022-1146-M,</w:t>
      </w:r>
      <w:r w:rsidR="003C3864" w:rsidRPr="00263D0D">
        <w:rPr>
          <w:sz w:val="22"/>
          <w:szCs w:val="22"/>
          <w:lang w:val="es-EC"/>
        </w:rPr>
        <w:t xml:space="preserve"> </w:t>
      </w:r>
      <w:r w:rsidR="003C3864" w:rsidRPr="00263D0D">
        <w:rPr>
          <w:sz w:val="22"/>
          <w:szCs w:val="22"/>
        </w:rPr>
        <w:t xml:space="preserve">de 09 de noviembre de 2022, la Abg. Gabriela Alexandra Villegas Guerrero, Directora de Asesoría Jurídica de la Administración Zonal Quitumbe, señala: </w:t>
      </w:r>
    </w:p>
    <w:p w:rsidR="003C3864" w:rsidRPr="00263D0D" w:rsidRDefault="003C3864" w:rsidP="003C3864">
      <w:pPr>
        <w:pStyle w:val="Default"/>
        <w:jc w:val="both"/>
        <w:rPr>
          <w:i/>
          <w:sz w:val="22"/>
          <w:szCs w:val="22"/>
        </w:rPr>
      </w:pPr>
    </w:p>
    <w:p w:rsidR="003C3864" w:rsidRPr="00263D0D" w:rsidRDefault="003C3864" w:rsidP="003C3864">
      <w:pPr>
        <w:tabs>
          <w:tab w:val="left" w:pos="284"/>
        </w:tabs>
        <w:ind w:left="708"/>
        <w:jc w:val="both"/>
        <w:rPr>
          <w:rFonts w:ascii="Palatino Linotype" w:hAnsi="Palatino Linotype"/>
          <w:b/>
          <w:i/>
          <w:sz w:val="22"/>
          <w:szCs w:val="22"/>
        </w:rPr>
      </w:pPr>
      <w:r w:rsidRPr="00263D0D">
        <w:rPr>
          <w:rFonts w:ascii="Palatino Linotype" w:eastAsiaTheme="minorHAnsi" w:hAnsi="Palatino Linotype" w:cs="Palatino Linotype"/>
          <w:b/>
          <w:i/>
          <w:color w:val="000000"/>
          <w:sz w:val="22"/>
          <w:szCs w:val="22"/>
          <w:lang w:eastAsia="en-US"/>
        </w:rPr>
        <w:t xml:space="preserve">“(…) </w:t>
      </w:r>
      <w:r w:rsidRPr="00263D0D">
        <w:rPr>
          <w:rFonts w:ascii="Palatino Linotype" w:hAnsi="Palatino Linotype"/>
          <w:b/>
          <w:i/>
          <w:sz w:val="22"/>
          <w:szCs w:val="22"/>
        </w:rPr>
        <w:t xml:space="preserve">PRONUNCIAMIENTO LEGAL:  </w:t>
      </w:r>
    </w:p>
    <w:p w:rsidR="003C3864" w:rsidRPr="00263D0D" w:rsidRDefault="003C3864" w:rsidP="003C3864">
      <w:pPr>
        <w:tabs>
          <w:tab w:val="left" w:pos="284"/>
        </w:tabs>
        <w:jc w:val="both"/>
        <w:rPr>
          <w:rFonts w:ascii="Palatino Linotype" w:hAnsi="Palatino Linotype"/>
          <w:i/>
          <w:sz w:val="22"/>
          <w:szCs w:val="22"/>
        </w:rPr>
      </w:pPr>
    </w:p>
    <w:p w:rsidR="003C3864" w:rsidRPr="003C3864" w:rsidRDefault="003C3864" w:rsidP="003C3864">
      <w:pPr>
        <w:tabs>
          <w:tab w:val="left" w:pos="284"/>
        </w:tabs>
        <w:ind w:left="708"/>
        <w:jc w:val="both"/>
        <w:rPr>
          <w:rFonts w:ascii="Palatino Linotype" w:hAnsi="Palatino Linotype"/>
          <w:i/>
          <w:sz w:val="22"/>
          <w:szCs w:val="22"/>
        </w:rPr>
      </w:pPr>
      <w:r w:rsidRPr="00263D0D">
        <w:rPr>
          <w:rFonts w:ascii="Palatino Linotype" w:hAnsi="Palatino Linotype"/>
          <w:i/>
          <w:sz w:val="22"/>
          <w:szCs w:val="22"/>
        </w:rPr>
        <w:t>En virtud de los antecedentes expuestos, y con sustento en el Informe Técnico de Prescripción Extraordinaria Adquisitiva Nro. AZQ-DGT-UGU-IT-2021-250 de fecha 27 de octubre del 2022, remitido mediante memorando Nro. GADDMQ-AZQ-DGT-UGU-2022-0498-M de la misma fecha, con el cual se indica que el predio Nro. 435659, No cumple con los datos establecidos en la zonificación vigente, tales como, “lote mínimo” y “frente mínimo”, pues el área prescrita corresponde a 288.81 m2, área menor a 300 m2 conforme la zonificación vigente; con la finalidad de dar cumplimiento a la sentencia dictada el 24 de enero de 2019 a favor de los señores Manuel Pullupaxi Ninacuri y Melva Chicaiza Chimborazo, por la Unidad Judicial Civil con sede</w:t>
      </w:r>
      <w:r w:rsidRPr="00263D0D">
        <w:rPr>
          <w:rFonts w:ascii="Palatino Linotype" w:hAnsi="Palatino Linotype"/>
          <w:i/>
          <w:sz w:val="22"/>
          <w:szCs w:val="22"/>
        </w:rPr>
        <w:br/>
        <w:t xml:space="preserve">en la parroquia Quitumbe del Distrito Metropolitano de Quito, dentro del juicio de prescripción adquisitiva extraordinaria de dominio antes citado, esta Dirección de Asesoría jurídica emite </w:t>
      </w:r>
      <w:r w:rsidRPr="00263D0D">
        <w:rPr>
          <w:rFonts w:ascii="Palatino Linotype" w:hAnsi="Palatino Linotype"/>
          <w:b/>
          <w:i/>
          <w:sz w:val="22"/>
          <w:szCs w:val="22"/>
        </w:rPr>
        <w:t xml:space="preserve">INFORME LEGAL FAVORABLE </w:t>
      </w:r>
      <w:r w:rsidRPr="003C3864">
        <w:rPr>
          <w:rFonts w:ascii="Palatino Linotype" w:hAnsi="Palatino Linotype"/>
          <w:i/>
          <w:sz w:val="22"/>
          <w:szCs w:val="22"/>
        </w:rPr>
        <w:t>para que el Concejo Metropolitano en acatamiento de la sentencia, cambie las condiciones para este inmueble en particular, estableciendo una excepción a las condiciones generales”.</w:t>
      </w:r>
    </w:p>
    <w:p w:rsidR="003C3864" w:rsidRPr="003C3864" w:rsidRDefault="003C3864" w:rsidP="003C3864">
      <w:pPr>
        <w:tabs>
          <w:tab w:val="left" w:pos="284"/>
        </w:tabs>
        <w:ind w:left="708"/>
        <w:jc w:val="both"/>
        <w:rPr>
          <w:rFonts w:ascii="Palatino Linotype" w:hAnsi="Palatino Linotype"/>
          <w:i/>
          <w:sz w:val="22"/>
          <w:szCs w:val="22"/>
        </w:rPr>
      </w:pPr>
      <w:r w:rsidRPr="003C3864">
        <w:rPr>
          <w:rFonts w:ascii="Palatino Linotype" w:hAnsi="Palatino Linotype"/>
          <w:i/>
          <w:sz w:val="22"/>
          <w:szCs w:val="22"/>
        </w:rPr>
        <w:lastRenderedPageBreak/>
        <w:br/>
        <w:t>Así mismo, en lo referente al área verde, se ceñirá a lo establecido en el artículo 2197 del Código Municipal para el Distrito Metropolitano de Quito.</w:t>
      </w:r>
    </w:p>
    <w:p w:rsidR="00FC3E6E" w:rsidRPr="00EA337F" w:rsidRDefault="00FC3E6E" w:rsidP="00725AB0">
      <w:pPr>
        <w:pStyle w:val="Default"/>
        <w:jc w:val="both"/>
        <w:rPr>
          <w:i/>
          <w:sz w:val="22"/>
          <w:szCs w:val="22"/>
        </w:rPr>
      </w:pPr>
    </w:p>
    <w:p w:rsidR="00FE1203" w:rsidRPr="00EA337F" w:rsidRDefault="00FE1203" w:rsidP="00FE1203">
      <w:pPr>
        <w:pStyle w:val="Default"/>
        <w:ind w:left="708" w:hanging="708"/>
        <w:jc w:val="both"/>
        <w:rPr>
          <w:sz w:val="22"/>
          <w:szCs w:val="22"/>
        </w:rPr>
      </w:pPr>
      <w:r w:rsidRPr="00EA337F">
        <w:rPr>
          <w:sz w:val="22"/>
          <w:szCs w:val="22"/>
        </w:rPr>
        <w:t xml:space="preserve">Que, </w:t>
      </w:r>
      <w:r w:rsidRPr="00EA337F">
        <w:rPr>
          <w:sz w:val="22"/>
          <w:szCs w:val="22"/>
        </w:rPr>
        <w:tab/>
        <w:t>la Comisión de Uso de Su</w:t>
      </w:r>
      <w:r w:rsidR="00C82651">
        <w:rPr>
          <w:sz w:val="22"/>
          <w:szCs w:val="22"/>
        </w:rPr>
        <w:t>elo en sesión ordinaria Nro. 180</w:t>
      </w:r>
      <w:r w:rsidRPr="00EA337F">
        <w:rPr>
          <w:sz w:val="22"/>
          <w:szCs w:val="22"/>
        </w:rPr>
        <w:t xml:space="preserve">, de </w:t>
      </w:r>
      <w:r w:rsidR="00C82651">
        <w:rPr>
          <w:sz w:val="22"/>
          <w:szCs w:val="22"/>
        </w:rPr>
        <w:t xml:space="preserve">12 </w:t>
      </w:r>
      <w:r w:rsidRPr="00EA337F">
        <w:rPr>
          <w:sz w:val="22"/>
          <w:szCs w:val="22"/>
        </w:rPr>
        <w:t xml:space="preserve">de </w:t>
      </w:r>
      <w:r w:rsidR="00C82651">
        <w:rPr>
          <w:sz w:val="22"/>
          <w:szCs w:val="22"/>
        </w:rPr>
        <w:t xml:space="preserve">diciembre </w:t>
      </w:r>
      <w:r w:rsidRPr="00EA337F">
        <w:rPr>
          <w:sz w:val="22"/>
          <w:szCs w:val="22"/>
        </w:rPr>
        <w:t xml:space="preserve">de 2022, analizó los informes técnicos y legales, que reposan en el expediente , y emitió dictamen favorable para que el Concejo Metropolitano conozca la sentencia de prescripción extraordinaria adquisitiva de dominio y como efecto de dicha sentencia, y para su efectiva ejecución, autorice la subdivisión del bien en mención, cambiando las condiciones de ese inmueble en particular y generando una excepción a las condiciones generales. </w:t>
      </w:r>
    </w:p>
    <w:p w:rsidR="00035E6C" w:rsidRPr="00EA337F" w:rsidRDefault="00035E6C" w:rsidP="00035E6C">
      <w:pPr>
        <w:autoSpaceDE w:val="0"/>
        <w:autoSpaceDN w:val="0"/>
        <w:adjustRightInd w:val="0"/>
        <w:ind w:left="1416" w:hanging="1416"/>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ind w:left="709" w:hanging="709"/>
        <w:jc w:val="both"/>
        <w:rPr>
          <w:rFonts w:ascii="Palatino Linotype" w:eastAsiaTheme="minorHAnsi" w:hAnsi="Palatino Linotype"/>
          <w:sz w:val="22"/>
          <w:szCs w:val="22"/>
          <w:lang w:eastAsia="en-US"/>
        </w:rPr>
      </w:pPr>
      <w:r w:rsidRPr="00EA337F">
        <w:rPr>
          <w:rFonts w:ascii="Palatino Linotype" w:eastAsiaTheme="minorHAnsi" w:hAnsi="Palatino Linotype"/>
          <w:sz w:val="22"/>
          <w:szCs w:val="22"/>
          <w:lang w:eastAsia="en-US"/>
        </w:rPr>
        <w:t xml:space="preserve">Que, </w:t>
      </w:r>
      <w:r w:rsidRPr="00EA337F">
        <w:rPr>
          <w:rFonts w:ascii="Palatino Linotype" w:eastAsiaTheme="minorHAnsi" w:hAnsi="Palatino Linotype"/>
          <w:sz w:val="22"/>
          <w:szCs w:val="22"/>
          <w:lang w:eastAsia="en-US"/>
        </w:rPr>
        <w:tab/>
        <w:t>el Concejo Metropolitano de Quito, en sesión pública ordinaria r</w:t>
      </w:r>
      <w:r w:rsidR="00AC4B2C" w:rsidRPr="00EA337F">
        <w:rPr>
          <w:rFonts w:ascii="Palatino Linotype" w:eastAsiaTheme="minorHAnsi" w:hAnsi="Palatino Linotype"/>
          <w:sz w:val="22"/>
          <w:szCs w:val="22"/>
          <w:lang w:eastAsia="en-US"/>
        </w:rPr>
        <w:t>ealizada el … de … de 2022</w:t>
      </w:r>
      <w:r w:rsidRPr="00EA337F">
        <w:rPr>
          <w:rFonts w:ascii="Palatino Linotype" w:eastAsiaTheme="minorHAnsi" w:hAnsi="Palatino Linotype"/>
          <w:sz w:val="22"/>
          <w:szCs w:val="22"/>
          <w:lang w:eastAsia="en-US"/>
        </w:rPr>
        <w:t>, ana</w:t>
      </w:r>
      <w:r w:rsidR="00144F8A" w:rsidRPr="00EA337F">
        <w:rPr>
          <w:rFonts w:ascii="Palatino Linotype" w:eastAsiaTheme="minorHAnsi" w:hAnsi="Palatino Linotype"/>
          <w:sz w:val="22"/>
          <w:szCs w:val="22"/>
          <w:lang w:eastAsia="en-US"/>
        </w:rPr>
        <w:t>lizó el informe Nro. IC-CUS-202</w:t>
      </w:r>
      <w:r w:rsidR="00A55032" w:rsidRPr="00EA337F">
        <w:rPr>
          <w:rFonts w:ascii="Palatino Linotype" w:eastAsiaTheme="minorHAnsi" w:hAnsi="Palatino Linotype"/>
          <w:sz w:val="22"/>
          <w:szCs w:val="22"/>
          <w:lang w:eastAsia="en-US"/>
        </w:rPr>
        <w:t>2</w:t>
      </w:r>
      <w:r w:rsidR="00745751" w:rsidRPr="00EA337F">
        <w:rPr>
          <w:rFonts w:ascii="Palatino Linotype" w:eastAsiaTheme="minorHAnsi" w:hAnsi="Palatino Linotype"/>
          <w:sz w:val="22"/>
          <w:szCs w:val="22"/>
          <w:lang w:eastAsia="en-US"/>
        </w:rPr>
        <w:t>-</w:t>
      </w:r>
      <w:r w:rsidR="00C82651">
        <w:rPr>
          <w:rFonts w:ascii="Palatino Linotype" w:eastAsiaTheme="minorHAnsi" w:hAnsi="Palatino Linotype"/>
          <w:sz w:val="22"/>
          <w:szCs w:val="22"/>
          <w:lang w:eastAsia="en-US"/>
        </w:rPr>
        <w:t>112</w:t>
      </w:r>
      <w:r w:rsidR="00DB552C" w:rsidRPr="00EA337F">
        <w:rPr>
          <w:rFonts w:ascii="Palatino Linotype" w:eastAsiaTheme="minorHAnsi" w:hAnsi="Palatino Linotype"/>
          <w:sz w:val="22"/>
          <w:szCs w:val="22"/>
          <w:lang w:eastAsia="en-US"/>
        </w:rPr>
        <w:t>,</w:t>
      </w:r>
      <w:r w:rsidRPr="00EA337F">
        <w:rPr>
          <w:rFonts w:ascii="Palatino Linotype" w:eastAsiaTheme="minorHAnsi" w:hAnsi="Palatino Linotype"/>
          <w:sz w:val="22"/>
          <w:szCs w:val="22"/>
          <w:lang w:eastAsia="en-US"/>
        </w:rPr>
        <w:t xml:space="preserve"> emitido por la Comisión de Uso de Suelo; </w:t>
      </w:r>
    </w:p>
    <w:p w:rsidR="00C926A0" w:rsidRPr="00EA337F" w:rsidRDefault="00C926A0" w:rsidP="00C926A0">
      <w:pPr>
        <w:autoSpaceDE w:val="0"/>
        <w:autoSpaceDN w:val="0"/>
        <w:adjustRightInd w:val="0"/>
        <w:spacing w:line="276" w:lineRule="auto"/>
        <w:jc w:val="both"/>
        <w:rPr>
          <w:rFonts w:ascii="Palatino Linotype" w:eastAsiaTheme="minorHAnsi" w:hAnsi="Palatino Linotype"/>
          <w:sz w:val="22"/>
          <w:szCs w:val="22"/>
          <w:lang w:eastAsia="en-US"/>
        </w:rPr>
      </w:pP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 xml:space="preserve">En ejercicio de las atribuciones previstas en el artículo 240 de la Constitución de la República; y artículos 87 literal a) y 323 del Código Orgánico de Organización Territorial, Autonomía y Descentralización. </w:t>
      </w:r>
    </w:p>
    <w:p w:rsidR="00C926A0" w:rsidRPr="00EA337F" w:rsidRDefault="00C926A0" w:rsidP="00C926A0">
      <w:pPr>
        <w:autoSpaceDE w:val="0"/>
        <w:autoSpaceDN w:val="0"/>
        <w:adjustRightInd w:val="0"/>
        <w:spacing w:line="276" w:lineRule="auto"/>
        <w:jc w:val="both"/>
        <w:rPr>
          <w:rFonts w:ascii="Palatino Linotype" w:eastAsiaTheme="minorHAnsi" w:hAnsi="Palatino Linotype"/>
          <w:b/>
          <w:bCs/>
          <w:sz w:val="22"/>
          <w:szCs w:val="22"/>
          <w:lang w:eastAsia="en-US"/>
        </w:rPr>
      </w:pPr>
    </w:p>
    <w:p w:rsidR="00C926A0" w:rsidRPr="00EA337F" w:rsidRDefault="00C926A0" w:rsidP="00C926A0">
      <w:pPr>
        <w:autoSpaceDE w:val="0"/>
        <w:autoSpaceDN w:val="0"/>
        <w:adjustRightInd w:val="0"/>
        <w:spacing w:line="276" w:lineRule="auto"/>
        <w:jc w:val="center"/>
        <w:rPr>
          <w:rFonts w:ascii="Palatino Linotype" w:eastAsiaTheme="minorHAnsi" w:hAnsi="Palatino Linotype"/>
          <w:b/>
          <w:bCs/>
          <w:sz w:val="22"/>
          <w:szCs w:val="22"/>
          <w:lang w:eastAsia="en-US"/>
        </w:rPr>
      </w:pPr>
      <w:r w:rsidRPr="00EA337F">
        <w:rPr>
          <w:rFonts w:ascii="Palatino Linotype" w:eastAsiaTheme="minorHAnsi" w:hAnsi="Palatino Linotype"/>
          <w:b/>
          <w:bCs/>
          <w:sz w:val="22"/>
          <w:szCs w:val="22"/>
          <w:lang w:eastAsia="en-US"/>
        </w:rPr>
        <w:t>RESUELVE:</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r w:rsidRPr="00EA337F">
        <w:rPr>
          <w:rFonts w:ascii="Palatino Linotype" w:hAnsi="Palatino Linotype" w:cs="Arial"/>
          <w:b/>
          <w:sz w:val="22"/>
          <w:szCs w:val="22"/>
        </w:rPr>
        <w:t>Artí</w:t>
      </w:r>
      <w:r w:rsidRPr="00AA61B2">
        <w:rPr>
          <w:rFonts w:ascii="Palatino Linotype" w:hAnsi="Palatino Linotype" w:cs="Arial"/>
          <w:b/>
          <w:sz w:val="22"/>
          <w:szCs w:val="22"/>
        </w:rPr>
        <w:t>culo 1.-</w:t>
      </w:r>
      <w:r w:rsidRPr="00AA61B2">
        <w:rPr>
          <w:rFonts w:ascii="Palatino Linotype" w:hAnsi="Palatino Linotype" w:cs="Arial"/>
          <w:sz w:val="22"/>
          <w:szCs w:val="22"/>
        </w:rPr>
        <w:t xml:space="preserve"> Autorizar la subdivisión del predio </w:t>
      </w:r>
      <w:r w:rsidR="00D2136E" w:rsidRPr="00263D0D">
        <w:rPr>
          <w:rStyle w:val="markedcontent"/>
          <w:rFonts w:ascii="Palatino Linotype" w:hAnsi="Palatino Linotype" w:cs="Arial"/>
          <w:sz w:val="22"/>
          <w:szCs w:val="22"/>
        </w:rPr>
        <w:t>435659</w:t>
      </w:r>
      <w:r w:rsidRPr="00AA61B2">
        <w:rPr>
          <w:rFonts w:ascii="Palatino Linotype" w:hAnsi="Palatino Linotype" w:cs="Arial"/>
          <w:sz w:val="22"/>
          <w:szCs w:val="22"/>
        </w:rPr>
        <w:t xml:space="preserve">, cambiando las condiciones de ese inmueble en particular y generando una excepción a las condiciones generales, de conformidad con la sentencia emitida dentro del proceso judicial No. </w:t>
      </w:r>
      <w:r w:rsidR="00D2136E" w:rsidRPr="00D2136E">
        <w:rPr>
          <w:rFonts w:ascii="Palatino Linotype" w:hAnsi="Palatino Linotype"/>
          <w:sz w:val="22"/>
          <w:szCs w:val="22"/>
        </w:rPr>
        <w:t>17233-2017-03590</w:t>
      </w:r>
      <w:r w:rsidRPr="00AA61B2">
        <w:rPr>
          <w:rFonts w:ascii="Palatino Linotype" w:hAnsi="Palatino Linotype" w:cs="Arial"/>
          <w:sz w:val="22"/>
          <w:szCs w:val="22"/>
        </w:rPr>
        <w:t>, mediante la cual la Jueza de la Unidad Judicial Civil con sede en la parroquia de Iñaquito del Distrito Metropolitano de Quito, acepta la demanda y declara la Prescripción Extraordinaria Adquisitiva de Do</w:t>
      </w:r>
      <w:r w:rsidR="00633AF6" w:rsidRPr="00AA61B2">
        <w:rPr>
          <w:rFonts w:ascii="Palatino Linotype" w:hAnsi="Palatino Linotype" w:cs="Arial"/>
          <w:sz w:val="22"/>
          <w:szCs w:val="22"/>
        </w:rPr>
        <w:t>minio que ha operado a favor de</w:t>
      </w:r>
      <w:r w:rsidR="00CC4891">
        <w:rPr>
          <w:rFonts w:ascii="Palatino Linotype" w:hAnsi="Palatino Linotype" w:cs="Arial"/>
          <w:sz w:val="22"/>
          <w:szCs w:val="22"/>
        </w:rPr>
        <w:t>l señor</w:t>
      </w:r>
      <w:r w:rsidR="00826061" w:rsidRPr="00AA61B2">
        <w:rPr>
          <w:rFonts w:ascii="Palatino Linotype" w:hAnsi="Palatino Linotype" w:cs="Arial"/>
          <w:sz w:val="22"/>
          <w:szCs w:val="22"/>
        </w:rPr>
        <w:t xml:space="preserve"> </w:t>
      </w:r>
      <w:r w:rsidR="00CC4891" w:rsidRPr="00CC4891">
        <w:rPr>
          <w:rFonts w:ascii="Palatino Linotype" w:hAnsi="Palatino Linotype"/>
          <w:sz w:val="22"/>
          <w:szCs w:val="22"/>
        </w:rPr>
        <w:t>Pullupaxi Ninacuri Manuel Wilson</w:t>
      </w:r>
      <w:r w:rsidRPr="00AA61B2">
        <w:rPr>
          <w:rFonts w:ascii="Palatino Linotype" w:hAnsi="Palatino Linotype" w:cs="Arial"/>
          <w:sz w:val="22"/>
          <w:szCs w:val="22"/>
        </w:rPr>
        <w:t xml:space="preserve">, por una superficie de </w:t>
      </w:r>
      <w:r w:rsidR="00491D6A">
        <w:rPr>
          <w:rFonts w:ascii="Palatino Linotype" w:hAnsi="Palatino Linotype"/>
          <w:sz w:val="22"/>
          <w:szCs w:val="22"/>
        </w:rPr>
        <w:t>288,81</w:t>
      </w:r>
      <w:r w:rsidR="00826061" w:rsidRPr="00AA61B2">
        <w:rPr>
          <w:rFonts w:ascii="Palatino Linotype" w:hAnsi="Palatino Linotype"/>
          <w:sz w:val="22"/>
          <w:szCs w:val="22"/>
        </w:rPr>
        <w:t xml:space="preserve"> </w:t>
      </w:r>
      <w:r w:rsidR="002F2CCA" w:rsidRPr="00AA61B2">
        <w:rPr>
          <w:rFonts w:ascii="Palatino Linotype" w:hAnsi="Palatino Linotype"/>
          <w:sz w:val="22"/>
          <w:szCs w:val="22"/>
        </w:rPr>
        <w:t>m2</w:t>
      </w:r>
      <w:r w:rsidRPr="00AA61B2">
        <w:rPr>
          <w:rFonts w:ascii="Palatino Linotype" w:hAnsi="Palatino Linotype" w:cs="Arial"/>
          <w:sz w:val="22"/>
          <w:szCs w:val="22"/>
        </w:rPr>
        <w:t xml:space="preserve">. </w:t>
      </w: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p>
    <w:p w:rsidR="005F36E3" w:rsidRPr="00AA61B2" w:rsidRDefault="005F36E3" w:rsidP="00755448">
      <w:pPr>
        <w:autoSpaceDE w:val="0"/>
        <w:autoSpaceDN w:val="0"/>
        <w:adjustRightInd w:val="0"/>
        <w:spacing w:line="276" w:lineRule="auto"/>
        <w:jc w:val="both"/>
        <w:rPr>
          <w:rFonts w:ascii="Palatino Linotype" w:hAnsi="Palatino Linotype" w:cs="Arial"/>
          <w:sz w:val="22"/>
          <w:szCs w:val="22"/>
        </w:rPr>
      </w:pPr>
      <w:r w:rsidRPr="00AA61B2">
        <w:rPr>
          <w:rFonts w:ascii="Palatino Linotype" w:hAnsi="Palatino Linotype" w:cs="Arial"/>
          <w:sz w:val="22"/>
          <w:szCs w:val="22"/>
        </w:rPr>
        <w:t xml:space="preserve">De conformidad con lo dispuesto en el artículo 2266.160 del Código Municipal para el Distrito Metropolitano de Quito, </w:t>
      </w:r>
      <w:r w:rsidR="00DB5148">
        <w:rPr>
          <w:rFonts w:ascii="Palatino Linotype" w:hAnsi="Palatino Linotype" w:cs="Arial"/>
          <w:sz w:val="22"/>
          <w:szCs w:val="22"/>
        </w:rPr>
        <w:t xml:space="preserve">el </w:t>
      </w:r>
      <w:bookmarkStart w:id="0" w:name="_GoBack"/>
      <w:bookmarkEnd w:id="0"/>
      <w:r w:rsidR="00DB5148">
        <w:rPr>
          <w:rFonts w:ascii="Palatino Linotype" w:hAnsi="Palatino Linotype" w:cs="Arial"/>
          <w:sz w:val="22"/>
          <w:szCs w:val="22"/>
        </w:rPr>
        <w:t>señor</w:t>
      </w:r>
      <w:r w:rsidR="00DB5148" w:rsidRPr="00AA61B2">
        <w:rPr>
          <w:rFonts w:ascii="Palatino Linotype" w:hAnsi="Palatino Linotype" w:cs="Arial"/>
          <w:sz w:val="22"/>
          <w:szCs w:val="22"/>
        </w:rPr>
        <w:t xml:space="preserve"> </w:t>
      </w:r>
      <w:r w:rsidR="00DB5148" w:rsidRPr="00CC4891">
        <w:rPr>
          <w:rFonts w:ascii="Palatino Linotype" w:hAnsi="Palatino Linotype"/>
          <w:sz w:val="22"/>
          <w:szCs w:val="22"/>
        </w:rPr>
        <w:t>Pullupaxi Ninacuri Manuel Wilson</w:t>
      </w:r>
      <w:r w:rsidRPr="00AA61B2">
        <w:rPr>
          <w:rFonts w:ascii="Palatino Linotype" w:hAnsi="Palatino Linotype" w:cs="Arial"/>
          <w:sz w:val="22"/>
          <w:szCs w:val="22"/>
        </w:rPr>
        <w:t>, deberá compensar en valor monetario, la contribución del 15% del área útil adjudicada, de acuerdo con el cálculo que realice la Administración Zonal competente.</w:t>
      </w:r>
    </w:p>
    <w:p w:rsidR="005F36E3" w:rsidRPr="00EA337F" w:rsidRDefault="005F36E3"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296140" w:rsidP="00755448">
      <w:pPr>
        <w:autoSpaceDE w:val="0"/>
        <w:autoSpaceDN w:val="0"/>
        <w:adjustRightInd w:val="0"/>
        <w:spacing w:line="276" w:lineRule="auto"/>
        <w:jc w:val="both"/>
        <w:rPr>
          <w:rFonts w:ascii="Palatino Linotype" w:eastAsiaTheme="minorHAnsi" w:hAnsi="Palatino Linotype"/>
          <w:b/>
          <w:sz w:val="22"/>
          <w:szCs w:val="22"/>
          <w:lang w:eastAsia="en-US"/>
        </w:rPr>
      </w:pPr>
      <w:r w:rsidRPr="00EA337F">
        <w:rPr>
          <w:rFonts w:ascii="Palatino Linotype" w:eastAsiaTheme="minorHAnsi" w:hAnsi="Palatino Linotype"/>
          <w:b/>
          <w:sz w:val="22"/>
          <w:szCs w:val="22"/>
          <w:lang w:eastAsia="en-US"/>
        </w:rPr>
        <w:t>Disposiciones generales:</w:t>
      </w:r>
    </w:p>
    <w:p w:rsidR="00755448" w:rsidRPr="00EA337F" w:rsidRDefault="00755448" w:rsidP="00755448">
      <w:pPr>
        <w:autoSpaceDE w:val="0"/>
        <w:autoSpaceDN w:val="0"/>
        <w:adjustRightInd w:val="0"/>
        <w:spacing w:line="276" w:lineRule="auto"/>
        <w:jc w:val="both"/>
        <w:rPr>
          <w:rFonts w:ascii="Palatino Linotype" w:eastAsiaTheme="minorHAnsi" w:hAnsi="Palatino Linotype"/>
          <w:b/>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lastRenderedPageBreak/>
        <w:t xml:space="preserve">Primera.- </w:t>
      </w:r>
      <w:r w:rsidRPr="00EA337F">
        <w:rPr>
          <w:rFonts w:ascii="Palatino Linotype" w:eastAsiaTheme="minorHAnsi" w:hAnsi="Palatino Linotype"/>
          <w:sz w:val="22"/>
          <w:szCs w:val="22"/>
          <w:lang w:eastAsia="en-US"/>
        </w:rPr>
        <w:t xml:space="preserve">Comuníquese al interesado, a la Administración Zonal correspondiente y, a la Secretaría de Territorio, Hábitat y Vivienda, a fin de que se continúe con los trámites de ley. </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Segunda.-</w:t>
      </w:r>
      <w:r w:rsidRPr="00EA337F">
        <w:rPr>
          <w:rFonts w:ascii="Palatino Linotype" w:eastAsiaTheme="minorHAnsi" w:hAnsi="Palatino Linotype"/>
          <w:sz w:val="22"/>
          <w:szCs w:val="22"/>
          <w:lang w:eastAsia="en-US"/>
        </w:rPr>
        <w:t xml:space="preserve"> La presente resolución se aprueba en base a los informes que son de exclusiva responsabilidad de los funcionarios que lo suscriben y realizan.</w:t>
      </w:r>
    </w:p>
    <w:p w:rsidR="00755448" w:rsidRPr="00EA337F" w:rsidRDefault="00755448" w:rsidP="00755448">
      <w:pPr>
        <w:autoSpaceDE w:val="0"/>
        <w:autoSpaceDN w:val="0"/>
        <w:adjustRightInd w:val="0"/>
        <w:spacing w:line="276" w:lineRule="auto"/>
        <w:rPr>
          <w:rFonts w:ascii="Palatino Linotype" w:eastAsiaTheme="minorHAnsi" w:hAnsi="Palatino Linotype"/>
          <w:sz w:val="22"/>
          <w:szCs w:val="22"/>
          <w:lang w:eastAsia="en-US"/>
        </w:rPr>
      </w:pP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r w:rsidRPr="00EA337F">
        <w:rPr>
          <w:rFonts w:ascii="Palatino Linotype" w:eastAsiaTheme="minorHAnsi" w:hAnsi="Palatino Linotype"/>
          <w:b/>
          <w:sz w:val="22"/>
          <w:szCs w:val="22"/>
          <w:lang w:eastAsia="en-US"/>
        </w:rPr>
        <w:t>Disposición Final.-</w:t>
      </w:r>
      <w:r w:rsidRPr="00EA337F">
        <w:rPr>
          <w:rFonts w:ascii="Palatino Linotype" w:eastAsiaTheme="minorHAnsi" w:hAnsi="Palatino Linotype"/>
          <w:sz w:val="22"/>
          <w:szCs w:val="22"/>
          <w:lang w:eastAsia="en-US"/>
        </w:rPr>
        <w:t xml:space="preserve"> La presente resolución entrará en vigencia a partir de su suscripción sin perjuicio de su publicación.</w:t>
      </w:r>
    </w:p>
    <w:p w:rsidR="00755448" w:rsidRPr="00EA337F" w:rsidRDefault="00755448" w:rsidP="00755448">
      <w:pPr>
        <w:autoSpaceDE w:val="0"/>
        <w:autoSpaceDN w:val="0"/>
        <w:adjustRightInd w:val="0"/>
        <w:spacing w:line="276" w:lineRule="auto"/>
        <w:jc w:val="both"/>
        <w:rPr>
          <w:rFonts w:ascii="Palatino Linotype" w:eastAsiaTheme="minorHAnsi" w:hAnsi="Palatino Linotype"/>
          <w:sz w:val="22"/>
          <w:szCs w:val="22"/>
          <w:lang w:eastAsia="en-US"/>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sz w:val="22"/>
          <w:szCs w:val="22"/>
        </w:rPr>
        <w:t xml:space="preserve">Dada en la sesión del Concejo Metropolitano de Quito, el ……….. </w:t>
      </w:r>
    </w:p>
    <w:p w:rsidR="00755448" w:rsidRPr="00EA337F" w:rsidRDefault="00755448" w:rsidP="00755448">
      <w:pPr>
        <w:spacing w:line="276" w:lineRule="auto"/>
        <w:ind w:left="-5"/>
        <w:jc w:val="both"/>
        <w:rPr>
          <w:rFonts w:ascii="Palatino Linotype" w:hAnsi="Palatino Linotype"/>
          <w:sz w:val="22"/>
          <w:szCs w:val="22"/>
        </w:rPr>
      </w:pPr>
    </w:p>
    <w:p w:rsidR="00755448" w:rsidRPr="00EA337F" w:rsidRDefault="00755448" w:rsidP="00755448">
      <w:pPr>
        <w:spacing w:line="276" w:lineRule="auto"/>
        <w:ind w:left="-5" w:right="-143"/>
        <w:jc w:val="both"/>
        <w:rPr>
          <w:rFonts w:ascii="Palatino Linotype" w:hAnsi="Palatino Linotype"/>
          <w:sz w:val="22"/>
          <w:szCs w:val="22"/>
        </w:rPr>
      </w:pPr>
      <w:r w:rsidRPr="00EA337F">
        <w:rPr>
          <w:rFonts w:ascii="Palatino Linotype" w:hAnsi="Palatino Linotype"/>
          <w:b/>
          <w:sz w:val="22"/>
          <w:szCs w:val="22"/>
        </w:rPr>
        <w:t xml:space="preserve">Alcaldía del Distrito Metropolitano. - </w:t>
      </w:r>
      <w:r w:rsidRPr="00EA337F">
        <w:rPr>
          <w:rFonts w:ascii="Palatino Linotype" w:hAnsi="Palatino Linotype"/>
          <w:sz w:val="22"/>
          <w:szCs w:val="22"/>
        </w:rPr>
        <w:t>Distrito Metropolitano de Quito, ………..</w:t>
      </w:r>
    </w:p>
    <w:p w:rsidR="00755448" w:rsidRPr="00EA337F" w:rsidRDefault="00755448" w:rsidP="00755448">
      <w:pPr>
        <w:spacing w:line="276" w:lineRule="auto"/>
        <w:jc w:val="both"/>
        <w:rPr>
          <w:rFonts w:ascii="Palatino Linotype" w:hAnsi="Palatino Linotype"/>
          <w:sz w:val="22"/>
          <w:szCs w:val="22"/>
        </w:rPr>
      </w:pP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b/>
          <w:sz w:val="22"/>
          <w:szCs w:val="22"/>
        </w:rPr>
        <w:t>EJECÚTESE:</w:t>
      </w: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p>
    <w:p w:rsidR="00755448" w:rsidRPr="00EA337F" w:rsidRDefault="00755448" w:rsidP="00755448">
      <w:pPr>
        <w:spacing w:line="276" w:lineRule="auto"/>
        <w:ind w:left="51"/>
        <w:jc w:val="center"/>
        <w:rPr>
          <w:rFonts w:ascii="Palatino Linotype" w:hAnsi="Palatino Linotype"/>
          <w:sz w:val="22"/>
          <w:szCs w:val="22"/>
        </w:rPr>
      </w:pPr>
      <w:r w:rsidRPr="00EA337F">
        <w:rPr>
          <w:rFonts w:ascii="Palatino Linotype" w:hAnsi="Palatino Linotype"/>
          <w:sz w:val="22"/>
          <w:szCs w:val="22"/>
        </w:rPr>
        <w:t>Dr. Santiago Guarderas Izquierdo</w:t>
      </w:r>
    </w:p>
    <w:p w:rsidR="00755448" w:rsidRPr="00EA337F" w:rsidRDefault="00755448" w:rsidP="00755448">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eastAsia="es-EC"/>
        </w:rPr>
      </w:pPr>
      <w:r w:rsidRPr="00EA337F">
        <w:rPr>
          <w:rFonts w:ascii="Palatino Linotype" w:eastAsia="Palatino Linotype" w:hAnsi="Palatino Linotype" w:cs="Palatino Linotype"/>
          <w:b/>
          <w:color w:val="000000"/>
          <w:sz w:val="22"/>
          <w:szCs w:val="22"/>
          <w:lang w:eastAsia="es-EC"/>
        </w:rPr>
        <w:t>ALCALDE DEL DISTRITO METROPOLITANO DE QUITO</w:t>
      </w:r>
    </w:p>
    <w:p w:rsidR="00755448" w:rsidRPr="00EA337F" w:rsidRDefault="00755448" w:rsidP="00755448">
      <w:pPr>
        <w:spacing w:line="276" w:lineRule="auto"/>
        <w:jc w:val="center"/>
        <w:rPr>
          <w:rFonts w:ascii="Palatino Linotype" w:hAnsi="Palatino Linotype"/>
          <w:sz w:val="22"/>
          <w:szCs w:val="22"/>
        </w:rPr>
      </w:pPr>
    </w:p>
    <w:p w:rsidR="00755448" w:rsidRPr="00EA337F" w:rsidRDefault="00755448" w:rsidP="00755448">
      <w:pPr>
        <w:spacing w:line="276" w:lineRule="auto"/>
        <w:ind w:left="-5"/>
        <w:jc w:val="both"/>
        <w:rPr>
          <w:rFonts w:ascii="Palatino Linotype" w:hAnsi="Palatino Linotype"/>
          <w:sz w:val="22"/>
          <w:szCs w:val="22"/>
        </w:rPr>
      </w:pPr>
      <w:r w:rsidRPr="00EA337F">
        <w:rPr>
          <w:rFonts w:ascii="Palatino Linotype" w:hAnsi="Palatino Linotype"/>
          <w:b/>
          <w:sz w:val="22"/>
          <w:szCs w:val="22"/>
        </w:rPr>
        <w:t>CERTIFICO,</w:t>
      </w:r>
      <w:r w:rsidRPr="00EA337F">
        <w:rPr>
          <w:rFonts w:ascii="Palatino Linotype" w:hAnsi="Palatino Linotype"/>
          <w:sz w:val="22"/>
          <w:szCs w:val="22"/>
        </w:rPr>
        <w:t xml:space="preserve"> que la presente resolución fue discutida y aprobada en la sesión ordinaria del Concejo Metropolitano de Quito, el xx de xx de 2022; y, suscrita por el Dr. Santiago Guarderas Izquierdo, Alcalde del Distrito Metropolitano de Quito, el xx de xx de 2022. </w:t>
      </w:r>
    </w:p>
    <w:p w:rsidR="00755448" w:rsidRPr="00EA337F" w:rsidRDefault="00755448" w:rsidP="00755448">
      <w:pPr>
        <w:spacing w:line="276" w:lineRule="auto"/>
        <w:jc w:val="both"/>
        <w:rPr>
          <w:rFonts w:ascii="Palatino Linotype" w:hAnsi="Palatino Linotype"/>
          <w:sz w:val="22"/>
          <w:szCs w:val="22"/>
        </w:rPr>
      </w:pPr>
      <w:r w:rsidRPr="00EA337F">
        <w:rPr>
          <w:rFonts w:ascii="Palatino Linotype" w:hAnsi="Palatino Linotype"/>
          <w:b/>
          <w:sz w:val="22"/>
          <w:szCs w:val="22"/>
        </w:rPr>
        <w:t xml:space="preserve"> </w:t>
      </w:r>
    </w:p>
    <w:p w:rsidR="00755448" w:rsidRPr="00EA337F" w:rsidRDefault="00755448" w:rsidP="00755448">
      <w:pPr>
        <w:spacing w:line="276" w:lineRule="auto"/>
        <w:ind w:left="-5"/>
        <w:jc w:val="both"/>
        <w:rPr>
          <w:rFonts w:ascii="Palatino Linotype" w:hAnsi="Palatino Linotype"/>
          <w:sz w:val="22"/>
          <w:szCs w:val="22"/>
          <w:highlight w:val="yellow"/>
        </w:rPr>
      </w:pPr>
      <w:r w:rsidRPr="00EA337F">
        <w:rPr>
          <w:rFonts w:ascii="Palatino Linotype" w:hAnsi="Palatino Linotype"/>
          <w:b/>
          <w:sz w:val="22"/>
          <w:szCs w:val="22"/>
        </w:rPr>
        <w:t xml:space="preserve">Lo certifico. - </w:t>
      </w:r>
      <w:r w:rsidRPr="00EA337F">
        <w:rPr>
          <w:rFonts w:ascii="Palatino Linotype" w:hAnsi="Palatino Linotype"/>
          <w:sz w:val="22"/>
          <w:szCs w:val="22"/>
        </w:rPr>
        <w:t xml:space="preserve">Distrito Metropolitano de Quito.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both"/>
        <w:rPr>
          <w:rFonts w:ascii="Palatino Linotype" w:hAnsi="Palatino Linotype"/>
          <w:sz w:val="22"/>
          <w:szCs w:val="22"/>
          <w:highlight w:val="yellow"/>
        </w:rPr>
      </w:pPr>
      <w:r w:rsidRPr="00EA337F">
        <w:rPr>
          <w:rFonts w:ascii="Palatino Linotype" w:hAnsi="Palatino Linotype"/>
          <w:sz w:val="22"/>
          <w:szCs w:val="22"/>
          <w:highlight w:val="yellow"/>
        </w:rPr>
        <w:t xml:space="preserve"> </w:t>
      </w:r>
    </w:p>
    <w:p w:rsidR="00755448" w:rsidRPr="00EA337F" w:rsidRDefault="00755448" w:rsidP="00755448">
      <w:pPr>
        <w:spacing w:line="276" w:lineRule="auto"/>
        <w:jc w:val="center"/>
        <w:rPr>
          <w:rFonts w:ascii="Palatino Linotype" w:hAnsi="Palatino Linotype"/>
          <w:sz w:val="22"/>
          <w:szCs w:val="22"/>
        </w:rPr>
      </w:pPr>
      <w:r w:rsidRPr="00EA337F">
        <w:rPr>
          <w:rFonts w:ascii="Palatino Linotype" w:hAnsi="Palatino Linotype"/>
          <w:sz w:val="22"/>
          <w:szCs w:val="22"/>
        </w:rPr>
        <w:t>Abg. Pablo Santillán Paredes</w:t>
      </w:r>
    </w:p>
    <w:p w:rsidR="00751D1C" w:rsidRPr="00DF0B4F" w:rsidRDefault="00755448" w:rsidP="00DF0B4F">
      <w:pPr>
        <w:spacing w:line="276" w:lineRule="auto"/>
        <w:jc w:val="center"/>
        <w:rPr>
          <w:rFonts w:ascii="Palatino Linotype" w:eastAsia="Calibri" w:hAnsi="Palatino Linotype"/>
          <w:b/>
          <w:sz w:val="22"/>
          <w:szCs w:val="22"/>
          <w:lang w:eastAsia="en-US"/>
        </w:rPr>
      </w:pPr>
      <w:r w:rsidRPr="00EA337F">
        <w:rPr>
          <w:rFonts w:ascii="Palatino Linotype" w:eastAsia="Calibri" w:hAnsi="Palatino Linotype"/>
          <w:b/>
          <w:sz w:val="22"/>
          <w:szCs w:val="22"/>
          <w:lang w:eastAsia="en-US"/>
        </w:rPr>
        <w:t>SECRETARIO GENERAL DE</w:t>
      </w:r>
      <w:r w:rsidR="00DF0B4F">
        <w:rPr>
          <w:rFonts w:ascii="Palatino Linotype" w:eastAsia="Calibri" w:hAnsi="Palatino Linotype"/>
          <w:b/>
          <w:sz w:val="22"/>
          <w:szCs w:val="22"/>
          <w:lang w:eastAsia="en-US"/>
        </w:rPr>
        <w:t xml:space="preserve">L CONCEJO METROPOLITANO DE QUITO </w:t>
      </w:r>
    </w:p>
    <w:sectPr w:rsidR="00751D1C" w:rsidRPr="00DF0B4F" w:rsidSect="005D2467">
      <w:headerReference w:type="default" r:id="rId6"/>
      <w:footerReference w:type="default" r:id="rId7"/>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495" w:rsidRDefault="00C04495">
      <w:r>
        <w:separator/>
      </w:r>
    </w:p>
  </w:endnote>
  <w:endnote w:type="continuationSeparator" w:id="0">
    <w:p w:rsidR="00C04495" w:rsidRDefault="00C0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rsidR="00707DE5" w:rsidRDefault="00C926A0">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DB5148">
              <w:rPr>
                <w:rFonts w:ascii="Palatino Linotype" w:hAnsi="Palatino Linotype"/>
                <w:b/>
                <w:bCs/>
                <w:noProof/>
                <w:sz w:val="20"/>
                <w:szCs w:val="20"/>
              </w:rPr>
              <w:t>7</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DB5148">
              <w:rPr>
                <w:rFonts w:ascii="Palatino Linotype" w:hAnsi="Palatino Linotype"/>
                <w:b/>
                <w:bCs/>
                <w:noProof/>
                <w:sz w:val="20"/>
                <w:szCs w:val="20"/>
              </w:rPr>
              <w:t>7</w:t>
            </w:r>
            <w:r w:rsidRPr="00707DE5">
              <w:rPr>
                <w:rFonts w:ascii="Palatino Linotype" w:hAnsi="Palatino Linotype"/>
                <w:b/>
                <w:bCs/>
                <w:sz w:val="20"/>
                <w:szCs w:val="20"/>
              </w:rPr>
              <w:fldChar w:fldCharType="end"/>
            </w:r>
          </w:p>
          <w:p w:rsidR="005D2467" w:rsidRPr="008479FB" w:rsidRDefault="00C04495">
            <w:pPr>
              <w:pStyle w:val="Piedepgina"/>
              <w:jc w:val="right"/>
              <w:rPr>
                <w:rFonts w:ascii="Palatino Linotype" w:hAnsi="Palatino Linotype"/>
                <w:sz w:val="20"/>
                <w:szCs w:val="20"/>
              </w:rPr>
            </w:pPr>
          </w:p>
        </w:sdtContent>
      </w:sdt>
    </w:sdtContent>
  </w:sdt>
  <w:p w:rsidR="005D2467" w:rsidRPr="008479FB" w:rsidRDefault="00C04495">
    <w:pPr>
      <w:pStyle w:val="Piedepgina"/>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495" w:rsidRDefault="00C04495">
      <w:r>
        <w:separator/>
      </w:r>
    </w:p>
  </w:footnote>
  <w:footnote w:type="continuationSeparator" w:id="0">
    <w:p w:rsidR="00C04495" w:rsidRDefault="00C044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DE5" w:rsidRDefault="00C04495" w:rsidP="00253163">
    <w:pPr>
      <w:autoSpaceDE w:val="0"/>
      <w:autoSpaceDN w:val="0"/>
      <w:adjustRightInd w:val="0"/>
      <w:jc w:val="center"/>
      <w:rPr>
        <w:rFonts w:ascii="Palatino Linotype" w:eastAsiaTheme="minorHAnsi" w:hAnsi="Palatino Linotype"/>
        <w:b/>
        <w:bCs/>
        <w:sz w:val="22"/>
        <w:szCs w:val="22"/>
        <w:lang w:eastAsia="en-US"/>
      </w:rPr>
    </w:pPr>
  </w:p>
  <w:p w:rsidR="00707DE5" w:rsidRDefault="00C04495" w:rsidP="00253163">
    <w:pPr>
      <w:autoSpaceDE w:val="0"/>
      <w:autoSpaceDN w:val="0"/>
      <w:adjustRightInd w:val="0"/>
      <w:jc w:val="center"/>
      <w:rPr>
        <w:rFonts w:ascii="Palatino Linotype" w:eastAsiaTheme="minorHAnsi" w:hAnsi="Palatino Linotype"/>
        <w:b/>
        <w:bCs/>
        <w:sz w:val="22"/>
        <w:szCs w:val="22"/>
        <w:lang w:eastAsia="en-US"/>
      </w:rPr>
    </w:pPr>
  </w:p>
  <w:p w:rsidR="005D2467" w:rsidRDefault="00C044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0"/>
    <w:rsid w:val="000077F9"/>
    <w:rsid w:val="000264CB"/>
    <w:rsid w:val="00027D50"/>
    <w:rsid w:val="00030386"/>
    <w:rsid w:val="00035E6C"/>
    <w:rsid w:val="00036141"/>
    <w:rsid w:val="0004203F"/>
    <w:rsid w:val="00063D30"/>
    <w:rsid w:val="00067AEE"/>
    <w:rsid w:val="0008033C"/>
    <w:rsid w:val="00082941"/>
    <w:rsid w:val="00090E26"/>
    <w:rsid w:val="000944D7"/>
    <w:rsid w:val="000A17A7"/>
    <w:rsid w:val="000A6FF4"/>
    <w:rsid w:val="000A70A0"/>
    <w:rsid w:val="000B4CF2"/>
    <w:rsid w:val="000C42C2"/>
    <w:rsid w:val="000E121C"/>
    <w:rsid w:val="000E205E"/>
    <w:rsid w:val="000E2423"/>
    <w:rsid w:val="000F2170"/>
    <w:rsid w:val="00115787"/>
    <w:rsid w:val="0013405F"/>
    <w:rsid w:val="00144F8A"/>
    <w:rsid w:val="001526B1"/>
    <w:rsid w:val="0017481B"/>
    <w:rsid w:val="001A17A7"/>
    <w:rsid w:val="001A2E60"/>
    <w:rsid w:val="001A5724"/>
    <w:rsid w:val="001B2FFD"/>
    <w:rsid w:val="001C1FC7"/>
    <w:rsid w:val="001C7456"/>
    <w:rsid w:val="001F679D"/>
    <w:rsid w:val="001F733D"/>
    <w:rsid w:val="00207C53"/>
    <w:rsid w:val="002125AB"/>
    <w:rsid w:val="00224DF1"/>
    <w:rsid w:val="0022530B"/>
    <w:rsid w:val="00236DB4"/>
    <w:rsid w:val="0024403E"/>
    <w:rsid w:val="00245D20"/>
    <w:rsid w:val="00252078"/>
    <w:rsid w:val="00253AA5"/>
    <w:rsid w:val="0026215F"/>
    <w:rsid w:val="00264155"/>
    <w:rsid w:val="002727B2"/>
    <w:rsid w:val="00283DE3"/>
    <w:rsid w:val="00296140"/>
    <w:rsid w:val="00296D2E"/>
    <w:rsid w:val="002C44A1"/>
    <w:rsid w:val="002D4C5C"/>
    <w:rsid w:val="002E4C52"/>
    <w:rsid w:val="002F2CCA"/>
    <w:rsid w:val="002F7AF5"/>
    <w:rsid w:val="00306191"/>
    <w:rsid w:val="00313677"/>
    <w:rsid w:val="00315545"/>
    <w:rsid w:val="00336073"/>
    <w:rsid w:val="00345885"/>
    <w:rsid w:val="00360B0F"/>
    <w:rsid w:val="00371D37"/>
    <w:rsid w:val="003A3AD1"/>
    <w:rsid w:val="003C3864"/>
    <w:rsid w:val="003E3BAD"/>
    <w:rsid w:val="004014CA"/>
    <w:rsid w:val="00406F51"/>
    <w:rsid w:val="0042799B"/>
    <w:rsid w:val="004336C0"/>
    <w:rsid w:val="00445381"/>
    <w:rsid w:val="00470AD9"/>
    <w:rsid w:val="00481F59"/>
    <w:rsid w:val="00491D6A"/>
    <w:rsid w:val="00495B8D"/>
    <w:rsid w:val="004B008D"/>
    <w:rsid w:val="004B2063"/>
    <w:rsid w:val="004B4258"/>
    <w:rsid w:val="004C50EC"/>
    <w:rsid w:val="004E2C3F"/>
    <w:rsid w:val="004E76E0"/>
    <w:rsid w:val="004F5036"/>
    <w:rsid w:val="00511047"/>
    <w:rsid w:val="00511C63"/>
    <w:rsid w:val="00532857"/>
    <w:rsid w:val="00552CDD"/>
    <w:rsid w:val="00566F66"/>
    <w:rsid w:val="005720AF"/>
    <w:rsid w:val="005A0BB9"/>
    <w:rsid w:val="005A5A6A"/>
    <w:rsid w:val="005A6B15"/>
    <w:rsid w:val="005B6971"/>
    <w:rsid w:val="005B7C5B"/>
    <w:rsid w:val="005C419B"/>
    <w:rsid w:val="005C6371"/>
    <w:rsid w:val="005C733B"/>
    <w:rsid w:val="005D1661"/>
    <w:rsid w:val="005D3837"/>
    <w:rsid w:val="005D5471"/>
    <w:rsid w:val="005F36E3"/>
    <w:rsid w:val="005F6F40"/>
    <w:rsid w:val="00606C06"/>
    <w:rsid w:val="00617C1E"/>
    <w:rsid w:val="00633AF6"/>
    <w:rsid w:val="00636664"/>
    <w:rsid w:val="00662D01"/>
    <w:rsid w:val="00663888"/>
    <w:rsid w:val="00673059"/>
    <w:rsid w:val="00677109"/>
    <w:rsid w:val="00687C0C"/>
    <w:rsid w:val="00694141"/>
    <w:rsid w:val="006A6DA4"/>
    <w:rsid w:val="006A7937"/>
    <w:rsid w:val="006C76D0"/>
    <w:rsid w:val="006E179D"/>
    <w:rsid w:val="006E34DC"/>
    <w:rsid w:val="007020E6"/>
    <w:rsid w:val="00707BCF"/>
    <w:rsid w:val="0071609F"/>
    <w:rsid w:val="00725AB0"/>
    <w:rsid w:val="007315B0"/>
    <w:rsid w:val="00740EE8"/>
    <w:rsid w:val="00745751"/>
    <w:rsid w:val="007500BA"/>
    <w:rsid w:val="00751D1C"/>
    <w:rsid w:val="00755448"/>
    <w:rsid w:val="00757091"/>
    <w:rsid w:val="007858E2"/>
    <w:rsid w:val="007A736B"/>
    <w:rsid w:val="007B4D6C"/>
    <w:rsid w:val="007C3147"/>
    <w:rsid w:val="007D2680"/>
    <w:rsid w:val="007D2D4F"/>
    <w:rsid w:val="007E60E9"/>
    <w:rsid w:val="008044F7"/>
    <w:rsid w:val="00805221"/>
    <w:rsid w:val="0081380B"/>
    <w:rsid w:val="0082482D"/>
    <w:rsid w:val="00826061"/>
    <w:rsid w:val="00832D35"/>
    <w:rsid w:val="00854CBC"/>
    <w:rsid w:val="00855B0B"/>
    <w:rsid w:val="00862F11"/>
    <w:rsid w:val="0087756E"/>
    <w:rsid w:val="00881603"/>
    <w:rsid w:val="008824CB"/>
    <w:rsid w:val="008834D1"/>
    <w:rsid w:val="008855F3"/>
    <w:rsid w:val="00893065"/>
    <w:rsid w:val="00893F13"/>
    <w:rsid w:val="008A3F72"/>
    <w:rsid w:val="008B4153"/>
    <w:rsid w:val="00907185"/>
    <w:rsid w:val="009369B6"/>
    <w:rsid w:val="0093701E"/>
    <w:rsid w:val="00942032"/>
    <w:rsid w:val="00953717"/>
    <w:rsid w:val="0096109F"/>
    <w:rsid w:val="00962351"/>
    <w:rsid w:val="00964BBC"/>
    <w:rsid w:val="0097359A"/>
    <w:rsid w:val="00983736"/>
    <w:rsid w:val="0098647F"/>
    <w:rsid w:val="00993181"/>
    <w:rsid w:val="0099372E"/>
    <w:rsid w:val="0099702E"/>
    <w:rsid w:val="009A0E93"/>
    <w:rsid w:val="009C157E"/>
    <w:rsid w:val="009E1D0C"/>
    <w:rsid w:val="009F6F24"/>
    <w:rsid w:val="00A23206"/>
    <w:rsid w:val="00A24962"/>
    <w:rsid w:val="00A2592D"/>
    <w:rsid w:val="00A35D24"/>
    <w:rsid w:val="00A42FBD"/>
    <w:rsid w:val="00A45C33"/>
    <w:rsid w:val="00A47A36"/>
    <w:rsid w:val="00A47D5C"/>
    <w:rsid w:val="00A55032"/>
    <w:rsid w:val="00A56888"/>
    <w:rsid w:val="00A60EBB"/>
    <w:rsid w:val="00A64456"/>
    <w:rsid w:val="00A654D7"/>
    <w:rsid w:val="00A66C89"/>
    <w:rsid w:val="00A76A16"/>
    <w:rsid w:val="00AA23EE"/>
    <w:rsid w:val="00AA2620"/>
    <w:rsid w:val="00AA61B2"/>
    <w:rsid w:val="00AC0982"/>
    <w:rsid w:val="00AC4B2C"/>
    <w:rsid w:val="00AD0CAC"/>
    <w:rsid w:val="00AD1557"/>
    <w:rsid w:val="00AD767B"/>
    <w:rsid w:val="00AE18B4"/>
    <w:rsid w:val="00AE1F80"/>
    <w:rsid w:val="00AE5F25"/>
    <w:rsid w:val="00AF51FF"/>
    <w:rsid w:val="00B007F0"/>
    <w:rsid w:val="00B0169E"/>
    <w:rsid w:val="00B14060"/>
    <w:rsid w:val="00B27543"/>
    <w:rsid w:val="00B35D39"/>
    <w:rsid w:val="00B418BF"/>
    <w:rsid w:val="00B42040"/>
    <w:rsid w:val="00B46254"/>
    <w:rsid w:val="00B542AB"/>
    <w:rsid w:val="00B5446C"/>
    <w:rsid w:val="00B706B2"/>
    <w:rsid w:val="00B748ED"/>
    <w:rsid w:val="00B84C96"/>
    <w:rsid w:val="00B9672E"/>
    <w:rsid w:val="00BA3CE3"/>
    <w:rsid w:val="00BA63E5"/>
    <w:rsid w:val="00BD292F"/>
    <w:rsid w:val="00BD7EFF"/>
    <w:rsid w:val="00BF4249"/>
    <w:rsid w:val="00C04495"/>
    <w:rsid w:val="00C2568C"/>
    <w:rsid w:val="00C31C0C"/>
    <w:rsid w:val="00C4735F"/>
    <w:rsid w:val="00C72611"/>
    <w:rsid w:val="00C7771D"/>
    <w:rsid w:val="00C82651"/>
    <w:rsid w:val="00C82C59"/>
    <w:rsid w:val="00C926A0"/>
    <w:rsid w:val="00CB1FAE"/>
    <w:rsid w:val="00CB5779"/>
    <w:rsid w:val="00CC4891"/>
    <w:rsid w:val="00CF05C8"/>
    <w:rsid w:val="00CF748D"/>
    <w:rsid w:val="00D1552F"/>
    <w:rsid w:val="00D2136E"/>
    <w:rsid w:val="00D23C29"/>
    <w:rsid w:val="00D42E7C"/>
    <w:rsid w:val="00D4445E"/>
    <w:rsid w:val="00D5311D"/>
    <w:rsid w:val="00D57722"/>
    <w:rsid w:val="00D64A4C"/>
    <w:rsid w:val="00D86EE7"/>
    <w:rsid w:val="00DA146A"/>
    <w:rsid w:val="00DA4995"/>
    <w:rsid w:val="00DB5148"/>
    <w:rsid w:val="00DB552C"/>
    <w:rsid w:val="00DC5625"/>
    <w:rsid w:val="00DD0991"/>
    <w:rsid w:val="00DD5FF2"/>
    <w:rsid w:val="00DF0B4F"/>
    <w:rsid w:val="00E02AE3"/>
    <w:rsid w:val="00E22628"/>
    <w:rsid w:val="00E332EA"/>
    <w:rsid w:val="00E41B4B"/>
    <w:rsid w:val="00E46A96"/>
    <w:rsid w:val="00E5406F"/>
    <w:rsid w:val="00E81779"/>
    <w:rsid w:val="00E8345C"/>
    <w:rsid w:val="00E84326"/>
    <w:rsid w:val="00E97A2B"/>
    <w:rsid w:val="00EA337F"/>
    <w:rsid w:val="00EA5D12"/>
    <w:rsid w:val="00EB322D"/>
    <w:rsid w:val="00EC6091"/>
    <w:rsid w:val="00EE4C7B"/>
    <w:rsid w:val="00EF4E3F"/>
    <w:rsid w:val="00EF6F62"/>
    <w:rsid w:val="00F073C7"/>
    <w:rsid w:val="00F33C5B"/>
    <w:rsid w:val="00F5205A"/>
    <w:rsid w:val="00F6236F"/>
    <w:rsid w:val="00F64624"/>
    <w:rsid w:val="00F950D9"/>
    <w:rsid w:val="00FA7F92"/>
    <w:rsid w:val="00FB2C86"/>
    <w:rsid w:val="00FC3E6E"/>
    <w:rsid w:val="00FD6ECF"/>
    <w:rsid w:val="00FE1203"/>
    <w:rsid w:val="00FE3412"/>
    <w:rsid w:val="00FF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97FB"/>
  <w15:docId w15:val="{056DDC9B-0919-4E0E-AF71-A543C73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A0"/>
    <w:pPr>
      <w:spacing w:after="0" w:line="240" w:lineRule="auto"/>
    </w:pPr>
    <w:rPr>
      <w:rFonts w:ascii="Times New Roman" w:eastAsia="Times New Roman" w:hAnsi="Times New Roman" w:cs="Times New Roman"/>
      <w:sz w:val="24"/>
      <w:szCs w:val="24"/>
      <w:lang w:val="es-EC"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926A0"/>
    <w:pPr>
      <w:jc w:val="both"/>
    </w:pPr>
    <w:rPr>
      <w:rFonts w:asciiTheme="minorHAnsi" w:eastAsia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C926A0"/>
    <w:rPr>
      <w:sz w:val="20"/>
      <w:szCs w:val="20"/>
      <w:lang w:val="es-EC"/>
    </w:rPr>
  </w:style>
  <w:style w:type="paragraph" w:styleId="Piedepgina">
    <w:name w:val="footer"/>
    <w:basedOn w:val="Normal"/>
    <w:link w:val="PiedepginaCar"/>
    <w:uiPriority w:val="99"/>
    <w:unhideWhenUsed/>
    <w:rsid w:val="00C926A0"/>
    <w:pPr>
      <w:tabs>
        <w:tab w:val="center" w:pos="4252"/>
        <w:tab w:val="right" w:pos="8504"/>
      </w:tabs>
    </w:pPr>
  </w:style>
  <w:style w:type="character" w:customStyle="1" w:styleId="PiedepginaCar">
    <w:name w:val="Pie de página Car"/>
    <w:basedOn w:val="Fuentedeprrafopredeter"/>
    <w:link w:val="Piedepgina"/>
    <w:uiPriority w:val="99"/>
    <w:rsid w:val="00C926A0"/>
    <w:rPr>
      <w:rFonts w:ascii="Times New Roman" w:eastAsia="Times New Roman" w:hAnsi="Times New Roman" w:cs="Times New Roman"/>
      <w:sz w:val="24"/>
      <w:szCs w:val="24"/>
      <w:lang w:val="es-EC" w:eastAsia="es-ES_tradnl"/>
    </w:rPr>
  </w:style>
  <w:style w:type="paragraph" w:styleId="Encabezado">
    <w:name w:val="header"/>
    <w:basedOn w:val="Normal"/>
    <w:link w:val="EncabezadoCar"/>
    <w:uiPriority w:val="99"/>
    <w:unhideWhenUsed/>
    <w:rsid w:val="00C926A0"/>
    <w:pPr>
      <w:tabs>
        <w:tab w:val="center" w:pos="4419"/>
        <w:tab w:val="right" w:pos="8838"/>
      </w:tabs>
    </w:pPr>
  </w:style>
  <w:style w:type="character" w:customStyle="1" w:styleId="EncabezadoCar">
    <w:name w:val="Encabezado Car"/>
    <w:basedOn w:val="Fuentedeprrafopredeter"/>
    <w:link w:val="Encabezado"/>
    <w:uiPriority w:val="99"/>
    <w:rsid w:val="00C926A0"/>
    <w:rPr>
      <w:rFonts w:ascii="Times New Roman" w:eastAsia="Times New Roman" w:hAnsi="Times New Roman" w:cs="Times New Roman"/>
      <w:sz w:val="24"/>
      <w:szCs w:val="24"/>
      <w:lang w:val="es-EC" w:eastAsia="es-ES_tradnl"/>
    </w:rPr>
  </w:style>
  <w:style w:type="paragraph" w:styleId="NormalWeb">
    <w:name w:val="Normal (Web)"/>
    <w:basedOn w:val="Normal"/>
    <w:uiPriority w:val="99"/>
    <w:unhideWhenUsed/>
    <w:rsid w:val="00C926A0"/>
    <w:pPr>
      <w:spacing w:before="100" w:beforeAutospacing="1" w:after="100" w:afterAutospacing="1"/>
    </w:pPr>
  </w:style>
  <w:style w:type="paragraph" w:customStyle="1" w:styleId="Default">
    <w:name w:val="Default"/>
    <w:rsid w:val="001F733D"/>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markedcontent">
    <w:name w:val="markedcontent"/>
    <w:basedOn w:val="Fuentedeprrafopredeter"/>
    <w:rsid w:val="0042799B"/>
  </w:style>
  <w:style w:type="character" w:customStyle="1" w:styleId="highlight">
    <w:name w:val="highlight"/>
    <w:basedOn w:val="Fuentedeprrafopredeter"/>
    <w:rsid w:val="00A76A16"/>
  </w:style>
  <w:style w:type="paragraph" w:styleId="Prrafodelista">
    <w:name w:val="List Paragraph"/>
    <w:basedOn w:val="Normal"/>
    <w:uiPriority w:val="34"/>
    <w:qFormat/>
    <w:rsid w:val="006A7937"/>
    <w:pPr>
      <w:ind w:left="720"/>
      <w:contextualSpacing/>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2424</Words>
  <Characters>13458</Characters>
  <Application>Microsoft Office Word</Application>
  <DocSecurity>0</DocSecurity>
  <Lines>538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Marisela Caleno</cp:lastModifiedBy>
  <cp:revision>420</cp:revision>
  <dcterms:created xsi:type="dcterms:W3CDTF">2021-03-30T15:44:00Z</dcterms:created>
  <dcterms:modified xsi:type="dcterms:W3CDTF">2023-04-20T20:35:00Z</dcterms:modified>
</cp:coreProperties>
</file>