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315E58" w:rsidRPr="000164B1" w:rsidRDefault="00C926A0" w:rsidP="00315E58">
      <w:pPr>
        <w:autoSpaceDE w:val="0"/>
        <w:autoSpaceDN w:val="0"/>
        <w:adjustRightInd w:val="0"/>
        <w:ind w:left="708" w:hanging="708"/>
        <w:jc w:val="both"/>
        <w:rPr>
          <w:rStyle w:val="markedcontent"/>
          <w:rFonts w:ascii="Palatino Linotype" w:hAnsi="Palatino Linotype" w:cs="Arial"/>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315E58">
        <w:rPr>
          <w:rFonts w:ascii="Palatino Linotype" w:hAnsi="Palatino Linotype"/>
          <w:sz w:val="22"/>
          <w:szCs w:val="22"/>
        </w:rPr>
        <w:t>c</w:t>
      </w:r>
      <w:r w:rsidR="00315E58" w:rsidRPr="000164B1">
        <w:rPr>
          <w:rFonts w:ascii="Palatino Linotype" w:hAnsi="Palatino Linotype"/>
          <w:sz w:val="22"/>
          <w:szCs w:val="22"/>
        </w:rPr>
        <w:t xml:space="preserve">onforme se desprende del informe técnico No. </w:t>
      </w:r>
      <w:r w:rsidR="00315E58" w:rsidRPr="000164B1">
        <w:rPr>
          <w:rStyle w:val="markedcontent"/>
          <w:rFonts w:ascii="Palatino Linotype" w:hAnsi="Palatino Linotype" w:cs="Arial"/>
          <w:sz w:val="22"/>
          <w:szCs w:val="22"/>
        </w:rPr>
        <w:t>CODIGO: AZCA-</w:t>
      </w:r>
      <w:r w:rsidR="00315E58" w:rsidRPr="000164B1">
        <w:rPr>
          <w:rFonts w:ascii="Palatino Linotype" w:hAnsi="Palatino Linotype"/>
          <w:sz w:val="22"/>
          <w:szCs w:val="22"/>
        </w:rPr>
        <w:br/>
      </w:r>
      <w:r w:rsidR="00315E58" w:rsidRPr="000164B1">
        <w:rPr>
          <w:rStyle w:val="markedcontent"/>
          <w:rFonts w:ascii="Palatino Linotype" w:hAnsi="Palatino Linotype" w:cs="Arial"/>
          <w:sz w:val="22"/>
          <w:szCs w:val="22"/>
        </w:rPr>
        <w:t>DGT-2022-29, de 01 de junio de 2022, de la Administración Zonal Calderón,</w:t>
      </w:r>
      <w:r w:rsidR="00315E58" w:rsidRPr="000164B1">
        <w:rPr>
          <w:rStyle w:val="markedcontent"/>
          <w:rFonts w:ascii="Palatino Linotype" w:hAnsi="Palatino Linotype" w:cs="Arial"/>
          <w:i/>
          <w:sz w:val="22"/>
          <w:szCs w:val="22"/>
        </w:rPr>
        <w:t xml:space="preserve"> “(…) Con Proceso de Juicio No. 17230-2015-09092, la Unidad Judicial Civil con sede en la Parroquia de Iñaquito del Distrito Metropolitano de Quito, martes 9 de octubre del 2018, a las 14h18, emite sentencia a favor de la Sra. Carmen Eloísa Guato Velásquez con respecto a prescripción extraordinaria adquisitiva de dominio de una parte del predio 3</w:t>
      </w:r>
      <w:r w:rsidR="00A00DC1">
        <w:rPr>
          <w:rStyle w:val="markedcontent"/>
          <w:rFonts w:ascii="Palatino Linotype" w:hAnsi="Palatino Linotype" w:cs="Arial"/>
          <w:i/>
          <w:sz w:val="22"/>
          <w:szCs w:val="22"/>
        </w:rPr>
        <w:t>90030 por un área de 248,64 m2”;</w:t>
      </w:r>
      <w:r w:rsidR="00315E58" w:rsidRPr="000164B1">
        <w:rPr>
          <w:rStyle w:val="markedcontent"/>
          <w:rFonts w:ascii="Palatino Linotype" w:hAnsi="Palatino Linotype" w:cs="Arial"/>
          <w:i/>
          <w:sz w:val="22"/>
          <w:szCs w:val="22"/>
        </w:rPr>
        <w:t xml:space="preserve"> </w:t>
      </w:r>
    </w:p>
    <w:p w:rsidR="0022530B" w:rsidRDefault="0022530B" w:rsidP="00315E58">
      <w:pPr>
        <w:autoSpaceDE w:val="0"/>
        <w:autoSpaceDN w:val="0"/>
        <w:adjustRightInd w:val="0"/>
        <w:ind w:left="708" w:hanging="708"/>
        <w:jc w:val="both"/>
        <w:rPr>
          <w:b/>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405C59" w:rsidRPr="000164B1" w:rsidRDefault="000B4CF2" w:rsidP="00405C59">
      <w:pPr>
        <w:tabs>
          <w:tab w:val="left" w:pos="1080"/>
        </w:tabs>
        <w:jc w:val="both"/>
        <w:rPr>
          <w:rFonts w:ascii="Palatino Linotype" w:hAnsi="Palatino Linotype"/>
          <w:sz w:val="22"/>
          <w:szCs w:val="22"/>
        </w:rPr>
      </w:pPr>
      <w:r w:rsidRPr="00EA337F">
        <w:rPr>
          <w:rFonts w:ascii="Palatino Linotype" w:hAnsi="Palatino Linotype"/>
          <w:sz w:val="22"/>
          <w:szCs w:val="22"/>
        </w:rPr>
        <w:t xml:space="preserve">Que, </w:t>
      </w:r>
      <w:r w:rsidR="00405C59">
        <w:rPr>
          <w:rFonts w:ascii="Palatino Linotype" w:hAnsi="Palatino Linotype"/>
          <w:sz w:val="22"/>
          <w:szCs w:val="22"/>
        </w:rPr>
        <w:t>m</w:t>
      </w:r>
      <w:r w:rsidR="00405C59" w:rsidRPr="000164B1">
        <w:rPr>
          <w:rFonts w:ascii="Palatino Linotype" w:hAnsi="Palatino Linotype"/>
          <w:sz w:val="22"/>
          <w:szCs w:val="22"/>
        </w:rPr>
        <w:t xml:space="preserve">ediante informe técnico Nro. </w:t>
      </w:r>
      <w:r w:rsidR="00405C59" w:rsidRPr="000164B1">
        <w:rPr>
          <w:rStyle w:val="markedcontent"/>
          <w:rFonts w:ascii="Palatino Linotype" w:hAnsi="Palatino Linotype" w:cs="Arial"/>
          <w:sz w:val="22"/>
          <w:szCs w:val="22"/>
        </w:rPr>
        <w:t>AZCA-DGT-2022-029</w:t>
      </w:r>
      <w:r w:rsidR="00405C59" w:rsidRPr="000164B1">
        <w:rPr>
          <w:rFonts w:ascii="Palatino Linotype" w:hAnsi="Palatino Linotype"/>
          <w:sz w:val="22"/>
          <w:szCs w:val="22"/>
        </w:rPr>
        <w:t xml:space="preserve">, de 01 de junio de 2022, el Ing. Israel Jiménez, funcionario de la Administración Zonal Calderón, señala: </w:t>
      </w:r>
    </w:p>
    <w:p w:rsidR="00405C59" w:rsidRPr="000164B1" w:rsidRDefault="00405C59" w:rsidP="00405C59">
      <w:pPr>
        <w:tabs>
          <w:tab w:val="left" w:pos="1080"/>
        </w:tabs>
        <w:jc w:val="both"/>
        <w:rPr>
          <w:rFonts w:ascii="Palatino Linotype" w:hAnsi="Palatino Linotype"/>
          <w:b/>
          <w:sz w:val="22"/>
          <w:szCs w:val="22"/>
        </w:rPr>
      </w:pP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t xml:space="preserve">“(…) </w:t>
      </w:r>
      <w:r w:rsidRPr="000164B1">
        <w:rPr>
          <w:rStyle w:val="markedcontent"/>
          <w:rFonts w:ascii="Palatino Linotype" w:hAnsi="Palatino Linotype" w:cs="Arial"/>
          <w:i/>
          <w:sz w:val="22"/>
          <w:szCs w:val="22"/>
        </w:rPr>
        <w:t>Análisis de la Prescripción Adquisitiva de Dominio</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Style w:val="markedcontent"/>
          <w:rFonts w:ascii="Palatino Linotype" w:hAnsi="Palatino Linotype" w:cs="Arial"/>
          <w:i/>
          <w:sz w:val="22"/>
          <w:szCs w:val="22"/>
        </w:rPr>
        <w:t>Descripción del Juicio</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br/>
      </w:r>
      <w:r w:rsidRPr="000164B1">
        <w:rPr>
          <w:rStyle w:val="markedcontent"/>
          <w:i/>
          <w:sz w:val="22"/>
          <w:szCs w:val="22"/>
        </w:rPr>
        <w:t>̈</w:t>
      </w:r>
      <w:r w:rsidRPr="000164B1">
        <w:rPr>
          <w:rStyle w:val="markedcontent"/>
          <w:rFonts w:ascii="Palatino Linotype" w:hAnsi="Palatino Linotype" w:cs="Arial"/>
          <w:i/>
          <w:sz w:val="22"/>
          <w:szCs w:val="22"/>
        </w:rPr>
        <w:t xml:space="preserve">(...) ACEPTA la demanda y se declara la Prescripción Adquisitiva Extraordinaria de Dominio a favor de CARMEN ELOISA GUATO VELÁSQUEZ a través de su procurador judicial abogado Jaime Patricio Aragón Lozada, del bien inmueble consistente en un lote de terreno ubicado en el pasaje E3A casa No14-153 y Vía Pomasqui, sector Jardines del Norte de San José de Morán, parroquia Pomasqui, cantón Quito, provincia Pichincha, cuyos linderos son: AL NORTE, con 14,80m, pasaje E3A; AL SUR: con 14,80m, propiedad del señor Teófilo Simbaña, actualmente utilizado como servidumbre (pasaje peatonal); AL ESTE: con 16,80m, propiedad del señor Patricio Julio Flores; y, AL OESTE: con 16,80m propiedad del señor Iván Avilés, con un área total de 248,64 m2 (...) </w:t>
      </w:r>
      <w:r w:rsidRPr="000164B1">
        <w:rPr>
          <w:rStyle w:val="markedcontent"/>
          <w:i/>
          <w:sz w:val="22"/>
          <w:szCs w:val="22"/>
        </w:rPr>
        <w:t>̈</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br/>
      </w:r>
      <w:r w:rsidRPr="000164B1">
        <w:rPr>
          <w:rStyle w:val="markedcontent"/>
          <w:rFonts w:ascii="Palatino Linotype" w:hAnsi="Palatino Linotype" w:cs="Arial"/>
          <w:i/>
          <w:sz w:val="22"/>
          <w:szCs w:val="22"/>
        </w:rPr>
        <w:t>Prescripción Adquisitiva de Dominio Área Observaciones</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Style w:val="markedcontent"/>
          <w:rFonts w:ascii="Palatino Linotype" w:hAnsi="Palatino Linotype" w:cs="Arial"/>
          <w:i/>
          <w:sz w:val="22"/>
          <w:szCs w:val="22"/>
        </w:rPr>
        <w:t>No. 17230-2015-09092</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Style w:val="markedcontent"/>
          <w:rFonts w:ascii="Palatino Linotype" w:hAnsi="Palatino Linotype" w:cs="Arial"/>
          <w:i/>
          <w:sz w:val="22"/>
          <w:szCs w:val="22"/>
        </w:rPr>
        <w:t>Perito: ING. Pablo Arteaga</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Style w:val="markedcontent"/>
          <w:rFonts w:ascii="Palatino Linotype" w:hAnsi="Palatino Linotype" w:cs="Arial"/>
          <w:i/>
          <w:sz w:val="22"/>
          <w:szCs w:val="22"/>
        </w:rPr>
        <w:lastRenderedPageBreak/>
        <w:t>Lote: 248,64 m2 Cumple</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Style w:val="markedcontent"/>
          <w:rFonts w:ascii="Palatino Linotype" w:hAnsi="Palatino Linotype" w:cs="Arial"/>
          <w:i/>
          <w:sz w:val="22"/>
          <w:szCs w:val="22"/>
        </w:rPr>
        <w:t>Frente: 13,58 m Cumple”</w:t>
      </w:r>
    </w:p>
    <w:p w:rsidR="00405C59" w:rsidRPr="000164B1" w:rsidRDefault="00405C59" w:rsidP="00405C59">
      <w:pPr>
        <w:tabs>
          <w:tab w:val="left" w:pos="1080"/>
        </w:tabs>
        <w:ind w:left="708"/>
        <w:jc w:val="both"/>
        <w:rPr>
          <w:rFonts w:ascii="Palatino Linotype" w:hAnsi="Palatino Linotype"/>
          <w:i/>
          <w:sz w:val="22"/>
          <w:szCs w:val="22"/>
        </w:rPr>
      </w:pP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t>“</w:t>
      </w:r>
      <w:r w:rsidRPr="000164B1">
        <w:rPr>
          <w:rStyle w:val="markedcontent"/>
          <w:rFonts w:ascii="Palatino Linotype" w:hAnsi="Palatino Linotype" w:cs="Arial"/>
          <w:i/>
          <w:sz w:val="22"/>
          <w:szCs w:val="22"/>
        </w:rPr>
        <w:t>ANÁLISIS DE CONTRIBUCIÓN</w:t>
      </w:r>
    </w:p>
    <w:p w:rsidR="00405C59" w:rsidRPr="000164B1" w:rsidRDefault="00405C59" w:rsidP="00405C59">
      <w:pPr>
        <w:tabs>
          <w:tab w:val="left" w:pos="1080"/>
        </w:tabs>
        <w:ind w:left="708"/>
        <w:jc w:val="both"/>
        <w:rPr>
          <w:rFonts w:ascii="Palatino Linotype" w:hAnsi="Palatino Linotype"/>
          <w:b/>
          <w:i/>
          <w:sz w:val="22"/>
          <w:szCs w:val="22"/>
        </w:rPr>
      </w:pPr>
      <w:r w:rsidRPr="000164B1">
        <w:rPr>
          <w:rFonts w:ascii="Palatino Linotype" w:hAnsi="Palatino Linotype"/>
          <w:b/>
          <w:i/>
          <w:sz w:val="22"/>
          <w:szCs w:val="22"/>
        </w:rPr>
        <w:br/>
      </w:r>
      <w:r w:rsidRPr="000164B1">
        <w:rPr>
          <w:rStyle w:val="markedcontent"/>
          <w:rFonts w:ascii="Palatino Linotype" w:hAnsi="Palatino Linotype" w:cs="Arial"/>
          <w:b/>
          <w:i/>
          <w:sz w:val="22"/>
          <w:szCs w:val="22"/>
        </w:rPr>
        <w:sym w:font="Symbol" w:char="F0B7"/>
      </w:r>
      <w:r w:rsidRPr="000164B1">
        <w:rPr>
          <w:rStyle w:val="markedcontent"/>
          <w:rFonts w:ascii="Palatino Linotype" w:hAnsi="Palatino Linotype" w:cs="Arial"/>
          <w:b/>
          <w:i/>
          <w:sz w:val="22"/>
          <w:szCs w:val="22"/>
        </w:rPr>
        <w:t xml:space="preserve"> Análisis, contribución del 15% del área útil adjudicada adquirida mediante sentencia.</w:t>
      </w:r>
    </w:p>
    <w:p w:rsidR="00405C59" w:rsidRPr="000164B1" w:rsidRDefault="00405C59" w:rsidP="00405C59">
      <w:pPr>
        <w:tabs>
          <w:tab w:val="left" w:pos="1080"/>
        </w:tabs>
        <w:ind w:left="708"/>
        <w:jc w:val="both"/>
        <w:rPr>
          <w:rFonts w:ascii="Palatino Linotype" w:hAnsi="Palatino Linotype"/>
          <w:b/>
          <w:i/>
          <w:sz w:val="22"/>
          <w:szCs w:val="22"/>
        </w:rPr>
      </w:pP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Style w:val="markedcontent"/>
          <w:rFonts w:ascii="Palatino Linotype" w:hAnsi="Palatino Linotype" w:cs="Arial"/>
          <w:i/>
          <w:sz w:val="22"/>
          <w:szCs w:val="22"/>
        </w:rPr>
        <w:t>En el caso que nos ocupa, el 15% del área útil prescrita corresponde a 37.296 m2, lo cual es inferior al lote mínimo vigente (200m2), razón por la que el actor de la demanda deberá compensar en valor monetario de</w:t>
      </w:r>
      <w:r w:rsidRPr="000164B1">
        <w:rPr>
          <w:rFonts w:ascii="Palatino Linotype" w:hAnsi="Palatino Linotype"/>
          <w:i/>
          <w:sz w:val="22"/>
          <w:szCs w:val="22"/>
        </w:rPr>
        <w:br/>
      </w:r>
      <w:r w:rsidRPr="000164B1">
        <w:rPr>
          <w:rStyle w:val="markedcontent"/>
          <w:rFonts w:ascii="Palatino Linotype" w:hAnsi="Palatino Linotype" w:cs="Arial"/>
          <w:i/>
          <w:sz w:val="22"/>
          <w:szCs w:val="22"/>
        </w:rPr>
        <w:t>acuerdo al avalúo catastral vigente a la fecha de la emisión del título de crédito correspondiente.</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br/>
      </w:r>
      <w:r w:rsidRPr="000164B1">
        <w:rPr>
          <w:rStyle w:val="markedcontent"/>
          <w:rFonts w:ascii="Palatino Linotype" w:hAnsi="Palatino Linotype" w:cs="Arial"/>
          <w:i/>
          <w:sz w:val="22"/>
          <w:szCs w:val="22"/>
        </w:rPr>
        <w:t xml:space="preserve">Conforme lo señalado en el Informe Técnico GADDMQ-STHV-DMC-UGT-AZC-2022-0120-M de fecha 27 de abril de 2022 emitida por la Unidad Desconcentrada de Catastros, </w:t>
      </w:r>
      <w:r w:rsidRPr="000164B1">
        <w:rPr>
          <w:rStyle w:val="markedcontent"/>
          <w:i/>
          <w:sz w:val="22"/>
          <w:szCs w:val="22"/>
        </w:rPr>
        <w:t>̈</w:t>
      </w:r>
      <w:r w:rsidRPr="000164B1">
        <w:rPr>
          <w:rStyle w:val="markedcontent"/>
          <w:rFonts w:ascii="Palatino Linotype" w:hAnsi="Palatino Linotype" w:cs="Arial"/>
          <w:i/>
          <w:sz w:val="22"/>
          <w:szCs w:val="22"/>
        </w:rPr>
        <w:t xml:space="preserve"> (...) valor del m2 del predio N° 390030 de propiedad de GONZALEZ QUISILEMA MANUEL MARIA HRDS.</w:t>
      </w:r>
    </w:p>
    <w:p w:rsidR="00405C59" w:rsidRPr="000164B1" w:rsidRDefault="00405C59" w:rsidP="00405C59">
      <w:pPr>
        <w:tabs>
          <w:tab w:val="left" w:pos="1080"/>
        </w:tabs>
        <w:ind w:left="708"/>
        <w:jc w:val="center"/>
        <w:rPr>
          <w:rStyle w:val="markedcontent"/>
          <w:rFonts w:ascii="Palatino Linotype" w:hAnsi="Palatino Linotype" w:cs="Arial"/>
          <w:i/>
          <w:sz w:val="22"/>
          <w:szCs w:val="22"/>
        </w:rPr>
      </w:pPr>
      <w:r w:rsidRPr="000164B1">
        <w:rPr>
          <w:rStyle w:val="markedcontent"/>
          <w:rFonts w:ascii="Palatino Linotype" w:hAnsi="Palatino Linotype" w:cs="Arial"/>
          <w:i/>
          <w:noProof/>
          <w:sz w:val="22"/>
          <w:szCs w:val="22"/>
          <w:lang w:eastAsia="es-EC"/>
        </w:rPr>
        <w:drawing>
          <wp:inline distT="0" distB="0" distL="0" distR="0" wp14:anchorId="23C7BEEB" wp14:editId="40F3F4E5">
            <wp:extent cx="4334480" cy="981212"/>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34480" cy="981212"/>
                    </a:xfrm>
                    <a:prstGeom prst="rect">
                      <a:avLst/>
                    </a:prstGeom>
                  </pic:spPr>
                </pic:pic>
              </a:graphicData>
            </a:graphic>
          </wp:inline>
        </w:drawing>
      </w:r>
    </w:p>
    <w:p w:rsidR="00405C59" w:rsidRPr="000164B1" w:rsidRDefault="00405C59" w:rsidP="00405C59">
      <w:pPr>
        <w:tabs>
          <w:tab w:val="left" w:pos="1080"/>
        </w:tabs>
        <w:ind w:left="708"/>
        <w:jc w:val="both"/>
        <w:rPr>
          <w:rFonts w:ascii="Palatino Linotype" w:hAnsi="Palatino Linotype"/>
          <w:b/>
          <w:i/>
          <w:sz w:val="22"/>
          <w:szCs w:val="22"/>
        </w:rPr>
      </w:pP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b/>
          <w:i/>
          <w:sz w:val="22"/>
          <w:szCs w:val="22"/>
        </w:rPr>
        <w:t>“</w:t>
      </w:r>
      <w:r w:rsidRPr="000164B1">
        <w:rPr>
          <w:rStyle w:val="markedcontent"/>
          <w:rFonts w:ascii="Palatino Linotype" w:hAnsi="Palatino Linotype" w:cs="Arial"/>
          <w:i/>
          <w:sz w:val="22"/>
          <w:szCs w:val="22"/>
        </w:rPr>
        <w:t>Por tanto, el valor por compensación del 15 por ciento del área útil adjudicada mediante sentencia a la fecha de hoy es la que se detalla a continuación pudiendo esta cambiar si cambia el avaluó catastral.</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br/>
      </w:r>
      <w:r w:rsidRPr="000164B1">
        <w:rPr>
          <w:rStyle w:val="markedcontent"/>
          <w:rFonts w:ascii="Palatino Linotype" w:hAnsi="Palatino Linotype" w:cs="Arial"/>
          <w:i/>
          <w:sz w:val="22"/>
          <w:szCs w:val="22"/>
        </w:rPr>
        <w:t>1.- El cálculo se realiza en función del Avalúo del Terreno y no al AIVA</w:t>
      </w:r>
      <w:r w:rsidRPr="000164B1">
        <w:rPr>
          <w:rFonts w:ascii="Palatino Linotype" w:hAnsi="Palatino Linotype"/>
          <w:i/>
          <w:sz w:val="22"/>
          <w:szCs w:val="22"/>
        </w:rPr>
        <w:br/>
      </w:r>
      <w:r w:rsidRPr="000164B1">
        <w:rPr>
          <w:rStyle w:val="markedcontent"/>
          <w:rFonts w:ascii="Palatino Linotype" w:hAnsi="Palatino Linotype" w:cs="Arial"/>
          <w:i/>
          <w:sz w:val="22"/>
          <w:szCs w:val="22"/>
        </w:rPr>
        <w:t xml:space="preserve">Se utiliza el Avalúo del terreno ya que el sistema SLUM en el cual se ingresa las Subdivisiones por prescripción utiliza los valores de: el Avalúo del Terreno, Área del Terreno y Área Prescrita </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Style w:val="markedcontent"/>
          <w:rFonts w:ascii="Palatino Linotype" w:hAnsi="Palatino Linotype" w:cs="Arial"/>
          <w:i/>
          <w:sz w:val="22"/>
          <w:szCs w:val="22"/>
        </w:rPr>
        <w:t>2.- La fórmula con la cual se calcula la compensación es la siguiente.</w:t>
      </w:r>
      <w:r w:rsidRPr="000164B1">
        <w:rPr>
          <w:rFonts w:ascii="Palatino Linotype" w:hAnsi="Palatino Linotype"/>
          <w:i/>
          <w:sz w:val="22"/>
          <w:szCs w:val="22"/>
        </w:rPr>
        <w:br/>
      </w:r>
      <w:r w:rsidRPr="000164B1">
        <w:rPr>
          <w:rStyle w:val="markedcontent"/>
          <w:rFonts w:ascii="Palatino Linotype" w:hAnsi="Palatino Linotype" w:cs="Arial"/>
          <w:i/>
          <w:sz w:val="22"/>
          <w:szCs w:val="22"/>
        </w:rPr>
        <w:t>(Avalúo del Terreno / Área del Terreno) * (Área de prescripción) * (15% Contribución)</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br/>
      </w:r>
      <w:r w:rsidRPr="000164B1">
        <w:rPr>
          <w:rStyle w:val="markedcontent"/>
          <w:rFonts w:ascii="Palatino Linotype" w:hAnsi="Palatino Linotype" w:cs="Arial"/>
          <w:i/>
          <w:sz w:val="22"/>
          <w:szCs w:val="22"/>
        </w:rPr>
        <w:t>Por tanto, el valor por compensación del 15 por ciento del área útil adjudicada mediante sentencia a la fecha de hoy es la que se detalla a continuación pudiendo esta cambiar si cambia el avaluó catastral.</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lastRenderedPageBreak/>
        <w:br/>
      </w:r>
      <w:r w:rsidRPr="000164B1">
        <w:rPr>
          <w:rStyle w:val="markedcontent"/>
          <w:rFonts w:ascii="Palatino Linotype" w:hAnsi="Palatino Linotype" w:cs="Arial"/>
          <w:i/>
          <w:sz w:val="22"/>
          <w:szCs w:val="22"/>
        </w:rPr>
        <w:t>3.- Con la fórmula mencionada, el área prescrita y los valores emitidos por catastros se realizó el cálculo:</w:t>
      </w:r>
    </w:p>
    <w:p w:rsidR="00405C59" w:rsidRPr="000164B1" w:rsidRDefault="00405C59" w:rsidP="00405C59">
      <w:pPr>
        <w:tabs>
          <w:tab w:val="left" w:pos="1080"/>
        </w:tabs>
        <w:ind w:left="708"/>
        <w:jc w:val="both"/>
        <w:rPr>
          <w:rStyle w:val="markedcontent"/>
          <w:rFonts w:ascii="Palatino Linotype" w:hAnsi="Palatino Linotype" w:cs="Arial"/>
          <w:i/>
          <w:sz w:val="22"/>
          <w:szCs w:val="22"/>
        </w:rPr>
      </w:pPr>
      <w:r w:rsidRPr="000164B1">
        <w:rPr>
          <w:rFonts w:ascii="Palatino Linotype" w:hAnsi="Palatino Linotype"/>
          <w:i/>
          <w:sz w:val="22"/>
          <w:szCs w:val="22"/>
        </w:rPr>
        <w:br/>
      </w:r>
      <w:r w:rsidRPr="000164B1">
        <w:rPr>
          <w:rStyle w:val="markedcontent"/>
          <w:rFonts w:ascii="Palatino Linotype" w:hAnsi="Palatino Linotype" w:cs="Arial"/>
          <w:i/>
          <w:sz w:val="22"/>
          <w:szCs w:val="22"/>
        </w:rPr>
        <w:t>(633.739,60 usd / 9256.70 m2) * (248,64 m2) * (0,15) = 2553,39 usd</w:t>
      </w:r>
    </w:p>
    <w:p w:rsidR="00405C59" w:rsidRPr="000164B1" w:rsidRDefault="00405C59" w:rsidP="00405C59">
      <w:pPr>
        <w:tabs>
          <w:tab w:val="left" w:pos="1080"/>
        </w:tabs>
        <w:ind w:left="708"/>
        <w:jc w:val="both"/>
        <w:rPr>
          <w:rFonts w:ascii="Palatino Linotype" w:hAnsi="Palatino Linotype"/>
          <w:b/>
          <w:i/>
          <w:sz w:val="22"/>
          <w:szCs w:val="22"/>
        </w:rPr>
      </w:pPr>
      <w:r w:rsidRPr="000164B1">
        <w:rPr>
          <w:rFonts w:ascii="Palatino Linotype" w:hAnsi="Palatino Linotype"/>
          <w:i/>
          <w:sz w:val="22"/>
          <w:szCs w:val="22"/>
        </w:rPr>
        <w:br/>
      </w:r>
      <w:r w:rsidRPr="000164B1">
        <w:rPr>
          <w:rStyle w:val="markedcontent"/>
          <w:rFonts w:ascii="Palatino Linotype" w:hAnsi="Palatino Linotype" w:cs="Arial"/>
          <w:i/>
          <w:sz w:val="22"/>
          <w:szCs w:val="22"/>
        </w:rPr>
        <w:t>Por tanto, el valor por compensación del 15 por ciento del área útil adjudicada mediante sentencia a la fecha de hoy es la que se detalla a continuación pudiendo esta cambiar si cambia el avaluó catastral.</w:t>
      </w:r>
    </w:p>
    <w:p w:rsidR="00405C59" w:rsidRPr="000164B1" w:rsidRDefault="00405C59" w:rsidP="00405C59">
      <w:pPr>
        <w:tabs>
          <w:tab w:val="left" w:pos="1080"/>
        </w:tabs>
        <w:ind w:left="708"/>
        <w:jc w:val="both"/>
        <w:rPr>
          <w:rFonts w:ascii="Palatino Linotype" w:hAnsi="Palatino Linotype"/>
          <w:b/>
          <w:i/>
          <w:sz w:val="22"/>
          <w:szCs w:val="22"/>
        </w:rPr>
      </w:pPr>
    </w:p>
    <w:p w:rsidR="00405C59" w:rsidRPr="000164B1" w:rsidRDefault="00405C59" w:rsidP="00405C59">
      <w:pPr>
        <w:tabs>
          <w:tab w:val="left" w:pos="1080"/>
        </w:tabs>
        <w:ind w:left="708"/>
        <w:jc w:val="center"/>
        <w:rPr>
          <w:rFonts w:ascii="Palatino Linotype" w:hAnsi="Palatino Linotype"/>
          <w:b/>
          <w:i/>
          <w:sz w:val="22"/>
          <w:szCs w:val="22"/>
        </w:rPr>
      </w:pPr>
      <w:r w:rsidRPr="000164B1">
        <w:rPr>
          <w:rFonts w:ascii="Palatino Linotype" w:hAnsi="Palatino Linotype"/>
          <w:b/>
          <w:i/>
          <w:noProof/>
          <w:sz w:val="22"/>
          <w:szCs w:val="22"/>
          <w:lang w:eastAsia="es-EC"/>
        </w:rPr>
        <w:drawing>
          <wp:inline distT="0" distB="0" distL="0" distR="0" wp14:anchorId="6A06BF85" wp14:editId="1FEE325A">
            <wp:extent cx="5344271" cy="905001"/>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4271" cy="905001"/>
                    </a:xfrm>
                    <a:prstGeom prst="rect">
                      <a:avLst/>
                    </a:prstGeom>
                  </pic:spPr>
                </pic:pic>
              </a:graphicData>
            </a:graphic>
          </wp:inline>
        </w:drawing>
      </w:r>
    </w:p>
    <w:p w:rsidR="00405C59" w:rsidRPr="000164B1" w:rsidRDefault="00405C59" w:rsidP="00405C59">
      <w:pPr>
        <w:tabs>
          <w:tab w:val="left" w:pos="1080"/>
        </w:tabs>
        <w:ind w:left="708"/>
        <w:jc w:val="both"/>
        <w:rPr>
          <w:rFonts w:ascii="Palatino Linotype" w:hAnsi="Palatino Linotype"/>
          <w:b/>
          <w:i/>
          <w:sz w:val="22"/>
          <w:szCs w:val="22"/>
        </w:rPr>
      </w:pPr>
    </w:p>
    <w:p w:rsidR="00405C59" w:rsidRPr="000164B1" w:rsidRDefault="00405C59" w:rsidP="00405C59">
      <w:pPr>
        <w:tabs>
          <w:tab w:val="left" w:pos="1080"/>
        </w:tabs>
        <w:ind w:left="708"/>
        <w:jc w:val="both"/>
        <w:rPr>
          <w:rFonts w:ascii="Palatino Linotype" w:hAnsi="Palatino Linotype"/>
          <w:b/>
          <w:i/>
          <w:sz w:val="22"/>
          <w:szCs w:val="22"/>
        </w:rPr>
      </w:pPr>
      <w:r w:rsidRPr="000164B1">
        <w:rPr>
          <w:rFonts w:ascii="Palatino Linotype" w:hAnsi="Palatino Linotype"/>
          <w:b/>
          <w:i/>
          <w:sz w:val="22"/>
          <w:szCs w:val="22"/>
        </w:rPr>
        <w:t>“CONCLUSIONES</w:t>
      </w:r>
    </w:p>
    <w:p w:rsidR="00405C59" w:rsidRPr="000164B1" w:rsidRDefault="00405C59" w:rsidP="00405C59">
      <w:pPr>
        <w:tabs>
          <w:tab w:val="left" w:pos="1080"/>
        </w:tabs>
        <w:ind w:left="1080"/>
        <w:jc w:val="both"/>
        <w:rPr>
          <w:rFonts w:ascii="Palatino Linotype" w:hAnsi="Palatino Linotype"/>
          <w:b/>
          <w:i/>
          <w:sz w:val="22"/>
          <w:szCs w:val="22"/>
        </w:rPr>
      </w:pPr>
    </w:p>
    <w:p w:rsidR="00405C59" w:rsidRPr="000164B1" w:rsidRDefault="00405C59" w:rsidP="00405C59">
      <w:pPr>
        <w:tabs>
          <w:tab w:val="left" w:pos="1080"/>
        </w:tabs>
        <w:ind w:left="1080"/>
        <w:jc w:val="both"/>
        <w:rPr>
          <w:rFonts w:ascii="Palatino Linotype" w:hAnsi="Palatino Linotype"/>
          <w:b/>
          <w:i/>
          <w:sz w:val="22"/>
          <w:szCs w:val="22"/>
        </w:rPr>
      </w:pPr>
      <w:r w:rsidRPr="000164B1">
        <w:rPr>
          <w:rStyle w:val="markedcontent"/>
          <w:rFonts w:ascii="Palatino Linotype" w:hAnsi="Palatino Linotype" w:cs="Arial"/>
          <w:i/>
          <w:sz w:val="22"/>
          <w:szCs w:val="22"/>
        </w:rPr>
        <w:t xml:space="preserve">Del análisis técnico se desprende que, la prescripción adquisitiva de dominio de una parte del inmueble del predio No. 390030 a favor de la Sra. Carmen Eloísa Guato Velásquez, cumple con el </w:t>
      </w:r>
      <w:r w:rsidRPr="000164B1">
        <w:rPr>
          <w:rStyle w:val="markedcontent"/>
          <w:i/>
          <w:sz w:val="22"/>
          <w:szCs w:val="22"/>
        </w:rPr>
        <w:t>̈</w:t>
      </w:r>
      <w:r w:rsidRPr="000164B1">
        <w:rPr>
          <w:rStyle w:val="markedcontent"/>
          <w:rFonts w:ascii="Palatino Linotype" w:hAnsi="Palatino Linotype" w:cs="Arial"/>
          <w:i/>
          <w:sz w:val="22"/>
          <w:szCs w:val="22"/>
        </w:rPr>
        <w:t>lote m</w:t>
      </w:r>
      <w:r w:rsidRPr="000164B1">
        <w:rPr>
          <w:rStyle w:val="markedcontent"/>
          <w:rFonts w:ascii="Palatino Linotype" w:hAnsi="Palatino Linotype" w:cs="Palatino Linotype"/>
          <w:i/>
          <w:sz w:val="22"/>
          <w:szCs w:val="22"/>
        </w:rPr>
        <w:t>í</w:t>
      </w:r>
      <w:r w:rsidRPr="000164B1">
        <w:rPr>
          <w:rStyle w:val="markedcontent"/>
          <w:rFonts w:ascii="Palatino Linotype" w:hAnsi="Palatino Linotype" w:cs="Arial"/>
          <w:i/>
          <w:sz w:val="22"/>
          <w:szCs w:val="22"/>
        </w:rPr>
        <w:t xml:space="preserve">nimo </w:t>
      </w:r>
      <w:r w:rsidRPr="000164B1">
        <w:rPr>
          <w:rStyle w:val="markedcontent"/>
          <w:i/>
          <w:sz w:val="22"/>
          <w:szCs w:val="22"/>
        </w:rPr>
        <w:t>̈</w:t>
      </w:r>
      <w:r w:rsidRPr="000164B1">
        <w:rPr>
          <w:rStyle w:val="markedcontent"/>
          <w:rFonts w:ascii="Palatino Linotype" w:hAnsi="Palatino Linotype" w:cs="Arial"/>
          <w:i/>
          <w:sz w:val="22"/>
          <w:szCs w:val="22"/>
        </w:rPr>
        <w:t xml:space="preserve"> siendo la sentencia de 248.64 m2 mayor que 200 m2 establecidos en la zonificación vigente; NO CUMPLE con el </w:t>
      </w:r>
      <w:r w:rsidRPr="000164B1">
        <w:rPr>
          <w:rStyle w:val="markedcontent"/>
          <w:i/>
          <w:sz w:val="22"/>
          <w:szCs w:val="22"/>
        </w:rPr>
        <w:t>̈</w:t>
      </w:r>
      <w:r w:rsidRPr="000164B1">
        <w:rPr>
          <w:rStyle w:val="markedcontent"/>
          <w:rFonts w:ascii="Palatino Linotype" w:hAnsi="Palatino Linotype" w:cs="Arial"/>
          <w:i/>
          <w:sz w:val="22"/>
          <w:szCs w:val="22"/>
        </w:rPr>
        <w:t>frente m</w:t>
      </w:r>
      <w:r w:rsidRPr="000164B1">
        <w:rPr>
          <w:rStyle w:val="markedcontent"/>
          <w:rFonts w:ascii="Palatino Linotype" w:hAnsi="Palatino Linotype" w:cs="Palatino Linotype"/>
          <w:i/>
          <w:sz w:val="22"/>
          <w:szCs w:val="22"/>
        </w:rPr>
        <w:t>í</w:t>
      </w:r>
      <w:r w:rsidRPr="000164B1">
        <w:rPr>
          <w:rStyle w:val="markedcontent"/>
          <w:rFonts w:ascii="Palatino Linotype" w:hAnsi="Palatino Linotype" w:cs="Arial"/>
          <w:i/>
          <w:sz w:val="22"/>
          <w:szCs w:val="22"/>
        </w:rPr>
        <w:t xml:space="preserve">nimo </w:t>
      </w:r>
      <w:r w:rsidRPr="000164B1">
        <w:rPr>
          <w:rStyle w:val="markedcontent"/>
          <w:i/>
          <w:sz w:val="22"/>
          <w:szCs w:val="22"/>
        </w:rPr>
        <w:t>̈</w:t>
      </w:r>
      <w:r w:rsidRPr="000164B1">
        <w:rPr>
          <w:rStyle w:val="markedcontent"/>
          <w:rFonts w:ascii="Palatino Linotype" w:hAnsi="Palatino Linotype" w:cs="Arial"/>
          <w:i/>
          <w:sz w:val="22"/>
          <w:szCs w:val="22"/>
        </w:rPr>
        <w:t xml:space="preserve"> ya que no colinda a una vía aprobada, razón por la que se emite </w:t>
      </w:r>
      <w:r w:rsidRPr="000164B1">
        <w:rPr>
          <w:rStyle w:val="markedcontent"/>
          <w:rFonts w:ascii="Palatino Linotype" w:hAnsi="Palatino Linotype" w:cs="Arial"/>
          <w:b/>
          <w:i/>
          <w:sz w:val="22"/>
          <w:szCs w:val="22"/>
        </w:rPr>
        <w:t>Informe Técnico Desfavorable."</w:t>
      </w:r>
    </w:p>
    <w:p w:rsidR="000C42C2" w:rsidRDefault="000C42C2" w:rsidP="00662D01">
      <w:pPr>
        <w:pStyle w:val="Default"/>
        <w:ind w:left="708" w:hanging="708"/>
        <w:jc w:val="both"/>
        <w:rPr>
          <w:sz w:val="22"/>
          <w:szCs w:val="22"/>
        </w:rPr>
      </w:pPr>
    </w:p>
    <w:p w:rsidR="00F40F91" w:rsidRPr="000164B1" w:rsidRDefault="00E41B4B" w:rsidP="00F40F91">
      <w:pPr>
        <w:pStyle w:val="Default"/>
        <w:jc w:val="both"/>
        <w:rPr>
          <w:sz w:val="22"/>
          <w:szCs w:val="22"/>
        </w:rPr>
      </w:pPr>
      <w:r w:rsidRPr="00EA337F">
        <w:rPr>
          <w:sz w:val="22"/>
          <w:szCs w:val="22"/>
        </w:rPr>
        <w:t xml:space="preserve">Que, </w:t>
      </w:r>
      <w:r w:rsidR="00F40F91">
        <w:rPr>
          <w:sz w:val="22"/>
          <w:szCs w:val="22"/>
        </w:rPr>
        <w:t>m</w:t>
      </w:r>
      <w:r w:rsidR="00F40F91" w:rsidRPr="000164B1">
        <w:rPr>
          <w:sz w:val="22"/>
          <w:szCs w:val="22"/>
        </w:rPr>
        <w:t xml:space="preserve">ediante </w:t>
      </w:r>
      <w:r w:rsidR="00F40F91" w:rsidRPr="000164B1">
        <w:rPr>
          <w:sz w:val="22"/>
          <w:szCs w:val="22"/>
          <w:lang w:val="es-EC"/>
        </w:rPr>
        <w:t>memorando Nro. G</w:t>
      </w:r>
      <w:r w:rsidR="00F40F91" w:rsidRPr="000164B1">
        <w:rPr>
          <w:sz w:val="22"/>
          <w:szCs w:val="22"/>
        </w:rPr>
        <w:t>ADDMQ-AZCA-DAJ-2022-0247-M,</w:t>
      </w:r>
      <w:r w:rsidR="00F40F91" w:rsidRPr="000164B1">
        <w:rPr>
          <w:sz w:val="22"/>
          <w:szCs w:val="22"/>
          <w:lang w:val="es-EC"/>
        </w:rPr>
        <w:t xml:space="preserve"> </w:t>
      </w:r>
      <w:r w:rsidR="00F40F91" w:rsidRPr="000164B1">
        <w:rPr>
          <w:sz w:val="22"/>
          <w:szCs w:val="22"/>
        </w:rPr>
        <w:t xml:space="preserve">de 13 de junio de 2022, la </w:t>
      </w:r>
      <w:r w:rsidR="00F40F91" w:rsidRPr="000164B1">
        <w:rPr>
          <w:sz w:val="22"/>
          <w:szCs w:val="22"/>
          <w:lang w:val="es-EC"/>
        </w:rPr>
        <w:t>Abg. Lorena Elizabeth Donoso Rivera</w:t>
      </w:r>
      <w:r w:rsidR="00F40F91" w:rsidRPr="000164B1">
        <w:rPr>
          <w:sz w:val="22"/>
          <w:szCs w:val="22"/>
        </w:rPr>
        <w:t>, Subprocuradora Zonal de la Administración Calderón, señala:</w:t>
      </w:r>
    </w:p>
    <w:p w:rsidR="00F40F91" w:rsidRPr="000164B1" w:rsidRDefault="00F40F91" w:rsidP="00F40F91">
      <w:pPr>
        <w:pStyle w:val="Default"/>
        <w:jc w:val="both"/>
        <w:rPr>
          <w:i/>
          <w:sz w:val="22"/>
          <w:szCs w:val="22"/>
        </w:rPr>
      </w:pPr>
    </w:p>
    <w:p w:rsidR="00F40F91" w:rsidRPr="000164B1" w:rsidRDefault="00F40F91" w:rsidP="00F40F91">
      <w:pPr>
        <w:tabs>
          <w:tab w:val="left" w:pos="284"/>
        </w:tabs>
        <w:ind w:left="708"/>
        <w:jc w:val="both"/>
        <w:rPr>
          <w:rFonts w:ascii="Palatino Linotype" w:hAnsi="Palatino Linotype"/>
          <w:b/>
          <w:i/>
          <w:sz w:val="22"/>
          <w:szCs w:val="22"/>
        </w:rPr>
      </w:pPr>
      <w:r w:rsidRPr="000164B1">
        <w:rPr>
          <w:rFonts w:ascii="Palatino Linotype" w:eastAsiaTheme="minorHAnsi" w:hAnsi="Palatino Linotype" w:cs="Palatino Linotype"/>
          <w:b/>
          <w:i/>
          <w:color w:val="000000"/>
          <w:sz w:val="22"/>
          <w:szCs w:val="22"/>
          <w:lang w:eastAsia="en-US"/>
        </w:rPr>
        <w:t xml:space="preserve">“(…) </w:t>
      </w:r>
      <w:r w:rsidRPr="000164B1">
        <w:rPr>
          <w:rFonts w:ascii="Palatino Linotype" w:hAnsi="Palatino Linotype"/>
          <w:b/>
          <w:i/>
          <w:sz w:val="22"/>
          <w:szCs w:val="22"/>
        </w:rPr>
        <w:t xml:space="preserve">CRITERIO: </w:t>
      </w:r>
    </w:p>
    <w:p w:rsidR="00F40F91" w:rsidRPr="000164B1" w:rsidRDefault="00F40F91" w:rsidP="00F40F91">
      <w:pPr>
        <w:tabs>
          <w:tab w:val="left" w:pos="284"/>
        </w:tabs>
        <w:jc w:val="both"/>
        <w:rPr>
          <w:rFonts w:ascii="Palatino Linotype" w:hAnsi="Palatino Linotype"/>
          <w:i/>
          <w:sz w:val="22"/>
          <w:szCs w:val="22"/>
        </w:rPr>
      </w:pPr>
    </w:p>
    <w:p w:rsidR="00F40F91" w:rsidRPr="000164B1" w:rsidRDefault="00F40F91" w:rsidP="00F40F91">
      <w:pPr>
        <w:tabs>
          <w:tab w:val="left" w:pos="284"/>
        </w:tabs>
        <w:ind w:left="708"/>
        <w:jc w:val="both"/>
        <w:rPr>
          <w:rFonts w:ascii="Palatino Linotype" w:hAnsi="Palatino Linotype"/>
          <w:i/>
          <w:sz w:val="22"/>
          <w:szCs w:val="22"/>
        </w:rPr>
      </w:pPr>
      <w:r w:rsidRPr="000164B1">
        <w:rPr>
          <w:rFonts w:ascii="Palatino Linotype" w:hAnsi="Palatino Linotype"/>
          <w:i/>
          <w:sz w:val="22"/>
          <w:szCs w:val="22"/>
        </w:rPr>
        <w:t>Por lo expuesto, esta Dirección Jurídica acogiendo el informe técnico</w:t>
      </w:r>
      <w:r w:rsidRPr="000164B1">
        <w:rPr>
          <w:rFonts w:ascii="Palatino Linotype" w:hAnsi="Palatino Linotype"/>
          <w:i/>
          <w:sz w:val="22"/>
          <w:szCs w:val="22"/>
        </w:rPr>
        <w:br/>
        <w:t xml:space="preserve">AZCA-DGT-2022-029 de 01 de junio de 2022 del Jefe de Gestión Urbana y aprobado por la Directora de Gestión Territorial de la Administración Zonal Calderón con memorando Nro. GADDMQ-AZCA-DGT-2022-0965-M de la misma fecha, en el que indica que la prescripción adquisitiva de dominio de una parte del inmueble del predio No. 390030 a favor de la Sra. Carmen Eloísa Guato Velásquez, cumple con el </w:t>
      </w:r>
      <w:r w:rsidRPr="000164B1">
        <w:rPr>
          <w:i/>
          <w:sz w:val="22"/>
          <w:szCs w:val="22"/>
        </w:rPr>
        <w:t>̈</w:t>
      </w:r>
      <w:r w:rsidRPr="000164B1">
        <w:rPr>
          <w:rFonts w:ascii="Palatino Linotype" w:hAnsi="Palatino Linotype"/>
          <w:i/>
          <w:sz w:val="22"/>
          <w:szCs w:val="22"/>
        </w:rPr>
        <w:t>lote m</w:t>
      </w:r>
      <w:r w:rsidRPr="000164B1">
        <w:rPr>
          <w:rFonts w:ascii="Palatino Linotype" w:hAnsi="Palatino Linotype" w:cs="Palatino Linotype"/>
          <w:i/>
          <w:sz w:val="22"/>
          <w:szCs w:val="22"/>
        </w:rPr>
        <w:t>í</w:t>
      </w:r>
      <w:r w:rsidRPr="000164B1">
        <w:rPr>
          <w:rFonts w:ascii="Palatino Linotype" w:hAnsi="Palatino Linotype"/>
          <w:i/>
          <w:sz w:val="22"/>
          <w:szCs w:val="22"/>
        </w:rPr>
        <w:t xml:space="preserve">nimo </w:t>
      </w:r>
      <w:r w:rsidRPr="000164B1">
        <w:rPr>
          <w:i/>
          <w:sz w:val="22"/>
          <w:szCs w:val="22"/>
        </w:rPr>
        <w:t>̈</w:t>
      </w:r>
      <w:r w:rsidRPr="000164B1">
        <w:rPr>
          <w:rFonts w:ascii="Palatino Linotype" w:hAnsi="Palatino Linotype"/>
          <w:i/>
          <w:sz w:val="22"/>
          <w:szCs w:val="22"/>
        </w:rPr>
        <w:t xml:space="preserve"> siendo la sentencia de 248.64 m2 mayor que 200 m2 establecidos en la zonificación vigente; NO</w:t>
      </w:r>
      <w:r>
        <w:rPr>
          <w:rFonts w:ascii="Palatino Linotype" w:hAnsi="Palatino Linotype"/>
          <w:i/>
          <w:sz w:val="22"/>
          <w:szCs w:val="22"/>
        </w:rPr>
        <w:t xml:space="preserve"> </w:t>
      </w:r>
      <w:r w:rsidRPr="000164B1">
        <w:rPr>
          <w:rFonts w:ascii="Palatino Linotype" w:hAnsi="Palatino Linotype"/>
          <w:i/>
          <w:sz w:val="22"/>
          <w:szCs w:val="22"/>
        </w:rPr>
        <w:t xml:space="preserve">CUMPLE con el </w:t>
      </w:r>
      <w:r w:rsidRPr="000164B1">
        <w:rPr>
          <w:i/>
          <w:sz w:val="22"/>
          <w:szCs w:val="22"/>
        </w:rPr>
        <w:t>̈</w:t>
      </w:r>
      <w:r w:rsidRPr="000164B1">
        <w:rPr>
          <w:rFonts w:ascii="Palatino Linotype" w:hAnsi="Palatino Linotype"/>
          <w:i/>
          <w:sz w:val="22"/>
          <w:szCs w:val="22"/>
        </w:rPr>
        <w:t>frente m</w:t>
      </w:r>
      <w:r w:rsidRPr="000164B1">
        <w:rPr>
          <w:rFonts w:ascii="Palatino Linotype" w:hAnsi="Palatino Linotype" w:cs="Palatino Linotype"/>
          <w:i/>
          <w:sz w:val="22"/>
          <w:szCs w:val="22"/>
        </w:rPr>
        <w:t>í</w:t>
      </w:r>
      <w:r w:rsidRPr="000164B1">
        <w:rPr>
          <w:rFonts w:ascii="Palatino Linotype" w:hAnsi="Palatino Linotype"/>
          <w:i/>
          <w:sz w:val="22"/>
          <w:szCs w:val="22"/>
        </w:rPr>
        <w:t xml:space="preserve">nimo </w:t>
      </w:r>
      <w:r w:rsidRPr="000164B1">
        <w:rPr>
          <w:i/>
          <w:sz w:val="22"/>
          <w:szCs w:val="22"/>
        </w:rPr>
        <w:t>̈</w:t>
      </w:r>
      <w:r w:rsidRPr="000164B1">
        <w:rPr>
          <w:rFonts w:ascii="Palatino Linotype" w:hAnsi="Palatino Linotype"/>
          <w:i/>
          <w:sz w:val="22"/>
          <w:szCs w:val="22"/>
        </w:rPr>
        <w:t xml:space="preserve"> ya que no colinda a una v</w:t>
      </w:r>
      <w:r w:rsidRPr="000164B1">
        <w:rPr>
          <w:rFonts w:ascii="Palatino Linotype" w:hAnsi="Palatino Linotype" w:cs="Palatino Linotype"/>
          <w:i/>
          <w:sz w:val="22"/>
          <w:szCs w:val="22"/>
        </w:rPr>
        <w:t>í</w:t>
      </w:r>
      <w:r w:rsidRPr="000164B1">
        <w:rPr>
          <w:rFonts w:ascii="Palatino Linotype" w:hAnsi="Palatino Linotype"/>
          <w:i/>
          <w:sz w:val="22"/>
          <w:szCs w:val="22"/>
        </w:rPr>
        <w:t xml:space="preserve">a aprobada, en este sentido, se deberá proceder conforme lo establece en el COOTAD y la Ordenanza 001. </w:t>
      </w:r>
    </w:p>
    <w:p w:rsidR="00F40F91" w:rsidRPr="000164B1" w:rsidRDefault="00F40F91" w:rsidP="00F40F91">
      <w:pPr>
        <w:tabs>
          <w:tab w:val="left" w:pos="284"/>
        </w:tabs>
        <w:ind w:left="708"/>
        <w:jc w:val="both"/>
        <w:rPr>
          <w:rFonts w:ascii="Palatino Linotype" w:hAnsi="Palatino Linotype"/>
          <w:i/>
          <w:sz w:val="22"/>
          <w:szCs w:val="22"/>
        </w:rPr>
      </w:pPr>
      <w:r w:rsidRPr="000164B1">
        <w:rPr>
          <w:rFonts w:ascii="Palatino Linotype" w:hAnsi="Palatino Linotype"/>
          <w:i/>
          <w:sz w:val="22"/>
          <w:szCs w:val="22"/>
        </w:rPr>
        <w:lastRenderedPageBreak/>
        <w:br/>
        <w:t xml:space="preserve">Así mismo, en lo referente al área verde, se ceñirá a lo establecido en el artículo 2171 de la Ordenanza 001”. </w:t>
      </w:r>
    </w:p>
    <w:p w:rsidR="00FC3E6E" w:rsidRPr="00EA337F" w:rsidRDefault="00FC3E6E" w:rsidP="001E1DC3">
      <w:pPr>
        <w:pStyle w:val="Default"/>
        <w:jc w:val="both"/>
        <w:rPr>
          <w:i/>
          <w:sz w:val="22"/>
          <w:szCs w:val="22"/>
        </w:rPr>
      </w:pPr>
    </w:p>
    <w:p w:rsidR="00FE1203" w:rsidRPr="00451689" w:rsidRDefault="00FE1203" w:rsidP="00FE1203">
      <w:pPr>
        <w:pStyle w:val="Default"/>
        <w:ind w:left="708" w:hanging="708"/>
        <w:jc w:val="both"/>
        <w:rPr>
          <w:sz w:val="22"/>
          <w:szCs w:val="22"/>
        </w:rPr>
      </w:pPr>
      <w:r w:rsidRPr="00451689">
        <w:rPr>
          <w:sz w:val="22"/>
          <w:szCs w:val="22"/>
        </w:rPr>
        <w:t xml:space="preserve">Que, </w:t>
      </w:r>
      <w:r w:rsidRPr="00451689">
        <w:rPr>
          <w:sz w:val="22"/>
          <w:szCs w:val="22"/>
        </w:rPr>
        <w:tab/>
        <w:t>la Comisión de Uso de Su</w:t>
      </w:r>
      <w:r w:rsidR="002B4356">
        <w:rPr>
          <w:sz w:val="22"/>
          <w:szCs w:val="22"/>
        </w:rPr>
        <w:t>elo en sesión ordinaria Nro. 172</w:t>
      </w:r>
      <w:r w:rsidRPr="00451689">
        <w:rPr>
          <w:sz w:val="22"/>
          <w:szCs w:val="22"/>
        </w:rPr>
        <w:t xml:space="preserve">, de </w:t>
      </w:r>
      <w:r w:rsidR="002B4356">
        <w:rPr>
          <w:sz w:val="22"/>
          <w:szCs w:val="22"/>
        </w:rPr>
        <w:t>07</w:t>
      </w:r>
      <w:r w:rsidR="00082941" w:rsidRPr="00451689">
        <w:rPr>
          <w:sz w:val="22"/>
          <w:szCs w:val="22"/>
        </w:rPr>
        <w:t xml:space="preserve"> </w:t>
      </w:r>
      <w:r w:rsidRPr="00451689">
        <w:rPr>
          <w:sz w:val="22"/>
          <w:szCs w:val="22"/>
        </w:rPr>
        <w:t xml:space="preserve">de </w:t>
      </w:r>
      <w:r w:rsidR="002B4356">
        <w:rPr>
          <w:sz w:val="22"/>
          <w:szCs w:val="22"/>
        </w:rPr>
        <w:t xml:space="preserve">noviembre </w:t>
      </w:r>
      <w:r w:rsidRPr="00451689">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2B4356">
        <w:rPr>
          <w:rFonts w:ascii="Palatino Linotype" w:eastAsiaTheme="minorHAnsi" w:hAnsi="Palatino Linotype"/>
          <w:sz w:val="22"/>
          <w:szCs w:val="22"/>
          <w:lang w:eastAsia="en-US"/>
        </w:rPr>
        <w:t>091</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w:t>
      </w:r>
      <w:r w:rsidRPr="00AA61B2">
        <w:rPr>
          <w:rFonts w:ascii="Palatino Linotype" w:hAnsi="Palatino Linotype" w:cs="Arial"/>
          <w:b/>
          <w:sz w:val="22"/>
          <w:szCs w:val="22"/>
        </w:rPr>
        <w:t>culo 1.-</w:t>
      </w:r>
      <w:r w:rsidRPr="00AA61B2">
        <w:rPr>
          <w:rFonts w:ascii="Palatino Linotype" w:hAnsi="Palatino Linotype" w:cs="Arial"/>
          <w:sz w:val="22"/>
          <w:szCs w:val="22"/>
        </w:rPr>
        <w:t xml:space="preserve"> Autorizar la subdivisión del predio </w:t>
      </w:r>
      <w:r w:rsidR="00585EA7" w:rsidRPr="000164B1">
        <w:rPr>
          <w:rStyle w:val="markedcontent"/>
          <w:rFonts w:ascii="Palatino Linotype" w:hAnsi="Palatino Linotype" w:cs="Arial"/>
          <w:sz w:val="22"/>
          <w:szCs w:val="22"/>
        </w:rPr>
        <w:t>390030</w:t>
      </w:r>
      <w:r w:rsidRPr="00AA61B2">
        <w:rPr>
          <w:rFonts w:ascii="Palatino Linotype" w:hAnsi="Palatino Linotype" w:cs="Arial"/>
          <w:sz w:val="22"/>
          <w:szCs w:val="22"/>
        </w:rPr>
        <w:t>, cambiando las condiciones de ese inmueble en particular y generando una excepción a las condiciones generales, de conformidad con la sentencia emitida dentro del proceso judicial No</w:t>
      </w:r>
      <w:r w:rsidRPr="00585EA7">
        <w:rPr>
          <w:rFonts w:ascii="Palatino Linotype" w:hAnsi="Palatino Linotype" w:cs="Arial"/>
          <w:i/>
          <w:sz w:val="22"/>
          <w:szCs w:val="22"/>
        </w:rPr>
        <w:t xml:space="preserve">. </w:t>
      </w:r>
      <w:r w:rsidR="00585EA7" w:rsidRPr="00B54237">
        <w:rPr>
          <w:rStyle w:val="markedcontent"/>
          <w:rFonts w:ascii="Palatino Linotype" w:hAnsi="Palatino Linotype" w:cs="Arial"/>
          <w:sz w:val="22"/>
          <w:szCs w:val="22"/>
        </w:rPr>
        <w:t>17230-2015-09092</w:t>
      </w:r>
      <w:r w:rsidRPr="00AA61B2">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AA61B2">
        <w:rPr>
          <w:rFonts w:ascii="Palatino Linotype" w:hAnsi="Palatino Linotype" w:cs="Arial"/>
          <w:sz w:val="22"/>
          <w:szCs w:val="22"/>
        </w:rPr>
        <w:t>minio que ha operado a favor de</w:t>
      </w:r>
      <w:r w:rsidR="00826061" w:rsidRPr="00AA61B2">
        <w:rPr>
          <w:rFonts w:ascii="Palatino Linotype" w:hAnsi="Palatino Linotype" w:cs="Arial"/>
          <w:sz w:val="22"/>
          <w:szCs w:val="22"/>
        </w:rPr>
        <w:t xml:space="preserve"> </w:t>
      </w:r>
      <w:r w:rsidR="009626B1">
        <w:rPr>
          <w:rStyle w:val="markedcontent"/>
          <w:rFonts w:ascii="Palatino Linotype" w:hAnsi="Palatino Linotype" w:cs="Arial"/>
          <w:sz w:val="22"/>
          <w:szCs w:val="22"/>
        </w:rPr>
        <w:t xml:space="preserve">la señora </w:t>
      </w:r>
      <w:r w:rsidR="009626B1" w:rsidRPr="000164B1">
        <w:rPr>
          <w:rStyle w:val="markedcontent"/>
          <w:rFonts w:ascii="Palatino Linotype" w:hAnsi="Palatino Linotype" w:cs="Arial"/>
          <w:sz w:val="22"/>
          <w:szCs w:val="22"/>
        </w:rPr>
        <w:t>Carmen Eloísa Guato Velásquez</w:t>
      </w:r>
      <w:r w:rsidRPr="00AA61B2">
        <w:rPr>
          <w:rFonts w:ascii="Palatino Linotype" w:hAnsi="Palatino Linotype" w:cs="Arial"/>
          <w:sz w:val="22"/>
          <w:szCs w:val="22"/>
        </w:rPr>
        <w:t xml:space="preserve">, por una superficie de </w:t>
      </w:r>
      <w:r w:rsidR="00DA4167">
        <w:rPr>
          <w:rFonts w:ascii="Palatino Linotype" w:hAnsi="Palatino Linotype" w:cs="Arial"/>
          <w:sz w:val="22"/>
          <w:szCs w:val="22"/>
        </w:rPr>
        <w:t xml:space="preserve">248,64 </w:t>
      </w:r>
      <w:r w:rsidR="002F2CCA" w:rsidRPr="00AA61B2">
        <w:rPr>
          <w:rFonts w:ascii="Palatino Linotype" w:hAnsi="Palatino Linotype"/>
          <w:sz w:val="22"/>
          <w:szCs w:val="22"/>
        </w:rPr>
        <w:t>m2</w:t>
      </w:r>
      <w:r w:rsidRPr="00AA61B2">
        <w:rPr>
          <w:rFonts w:ascii="Palatino Linotype" w:hAnsi="Palatino Linotype" w:cs="Arial"/>
          <w:sz w:val="22"/>
          <w:szCs w:val="22"/>
        </w:rPr>
        <w:t xml:space="preserve">. </w:t>
      </w: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AA61B2">
        <w:rPr>
          <w:rFonts w:ascii="Palatino Linotype" w:hAnsi="Palatino Linotype" w:cs="Arial"/>
          <w:sz w:val="22"/>
          <w:szCs w:val="22"/>
        </w:rPr>
        <w:t xml:space="preserve">De conformidad con lo dispuesto en el artículo 2266.160 del Código Municipal para el Distrito Metropolitano de Quito, </w:t>
      </w:r>
      <w:r w:rsidR="00AA61B2" w:rsidRPr="00AA61B2">
        <w:rPr>
          <w:rFonts w:ascii="Palatino Linotype" w:hAnsi="Palatino Linotype" w:cs="Arial"/>
          <w:sz w:val="22"/>
          <w:szCs w:val="22"/>
        </w:rPr>
        <w:t xml:space="preserve">la </w:t>
      </w:r>
      <w:r w:rsidR="00283DE3">
        <w:rPr>
          <w:rFonts w:ascii="Palatino Linotype" w:hAnsi="Palatino Linotype"/>
          <w:sz w:val="22"/>
          <w:szCs w:val="22"/>
        </w:rPr>
        <w:t>señora</w:t>
      </w:r>
      <w:r w:rsidR="00283DE3" w:rsidRPr="00D11C26">
        <w:rPr>
          <w:rStyle w:val="markedcontent"/>
          <w:rFonts w:ascii="Palatino Linotype" w:hAnsi="Palatino Linotype" w:cs="Arial"/>
          <w:sz w:val="22"/>
          <w:szCs w:val="22"/>
        </w:rPr>
        <w:t xml:space="preserve"> </w:t>
      </w:r>
      <w:r w:rsidR="00283DE3">
        <w:rPr>
          <w:rStyle w:val="markedcontent"/>
          <w:rFonts w:ascii="Palatino Linotype" w:hAnsi="Palatino Linotype" w:cs="Arial"/>
          <w:sz w:val="22"/>
          <w:szCs w:val="22"/>
        </w:rPr>
        <w:t xml:space="preserve">la </w:t>
      </w:r>
      <w:r w:rsidR="006B7A72" w:rsidRPr="000164B1">
        <w:rPr>
          <w:rStyle w:val="markedcontent"/>
          <w:rFonts w:ascii="Palatino Linotype" w:hAnsi="Palatino Linotype" w:cs="Arial"/>
          <w:sz w:val="22"/>
          <w:szCs w:val="22"/>
        </w:rPr>
        <w:t>Carmen Eloísa Guato Velásquez</w:t>
      </w:r>
      <w:r w:rsidRPr="00AA61B2">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lastRenderedPageBreak/>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L CONCEJO METROPOLITAN</w:t>
      </w:r>
      <w:bookmarkStart w:id="0" w:name="_GoBack"/>
      <w:bookmarkEnd w:id="0"/>
      <w:r w:rsidR="00DF0B4F">
        <w:rPr>
          <w:rFonts w:ascii="Palatino Linotype" w:eastAsia="Calibri" w:hAnsi="Palatino Linotype"/>
          <w:b/>
          <w:sz w:val="22"/>
          <w:szCs w:val="22"/>
          <w:lang w:eastAsia="en-US"/>
        </w:rPr>
        <w:t xml:space="preserve">O DE QUITO </w:t>
      </w:r>
    </w:p>
    <w:sectPr w:rsidR="00751D1C" w:rsidRPr="00DF0B4F"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7E" w:rsidRDefault="008C1A7E">
      <w:r>
        <w:separator/>
      </w:r>
    </w:p>
  </w:endnote>
  <w:endnote w:type="continuationSeparator" w:id="0">
    <w:p w:rsidR="008C1A7E" w:rsidRDefault="008C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6B7A72">
              <w:rPr>
                <w:rFonts w:ascii="Palatino Linotype" w:hAnsi="Palatino Linotype"/>
                <w:b/>
                <w:bCs/>
                <w:noProof/>
                <w:sz w:val="20"/>
                <w:szCs w:val="20"/>
              </w:rPr>
              <w:t>8</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6B7A72">
              <w:rPr>
                <w:rFonts w:ascii="Palatino Linotype" w:hAnsi="Palatino Linotype"/>
                <w:b/>
                <w:bCs/>
                <w:noProof/>
                <w:sz w:val="20"/>
                <w:szCs w:val="20"/>
              </w:rPr>
              <w:t>8</w:t>
            </w:r>
            <w:r w:rsidRPr="00707DE5">
              <w:rPr>
                <w:rFonts w:ascii="Palatino Linotype" w:hAnsi="Palatino Linotype"/>
                <w:b/>
                <w:bCs/>
                <w:sz w:val="20"/>
                <w:szCs w:val="20"/>
              </w:rPr>
              <w:fldChar w:fldCharType="end"/>
            </w:r>
          </w:p>
          <w:p w:rsidR="005D2467" w:rsidRPr="008479FB" w:rsidRDefault="008C1A7E">
            <w:pPr>
              <w:pStyle w:val="Piedepgina"/>
              <w:jc w:val="right"/>
              <w:rPr>
                <w:rFonts w:ascii="Palatino Linotype" w:hAnsi="Palatino Linotype"/>
                <w:sz w:val="20"/>
                <w:szCs w:val="20"/>
              </w:rPr>
            </w:pPr>
          </w:p>
        </w:sdtContent>
      </w:sdt>
    </w:sdtContent>
  </w:sdt>
  <w:p w:rsidR="005D2467" w:rsidRPr="008479FB" w:rsidRDefault="008C1A7E">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7E" w:rsidRDefault="008C1A7E">
      <w:r>
        <w:separator/>
      </w:r>
    </w:p>
  </w:footnote>
  <w:footnote w:type="continuationSeparator" w:id="0">
    <w:p w:rsidR="008C1A7E" w:rsidRDefault="008C1A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8C1A7E"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8C1A7E"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8C1A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36141"/>
    <w:rsid w:val="0004203F"/>
    <w:rsid w:val="00063D30"/>
    <w:rsid w:val="00067AEE"/>
    <w:rsid w:val="0008033C"/>
    <w:rsid w:val="00082941"/>
    <w:rsid w:val="00090E26"/>
    <w:rsid w:val="000944D7"/>
    <w:rsid w:val="000A17A7"/>
    <w:rsid w:val="000A6FF4"/>
    <w:rsid w:val="000A70A0"/>
    <w:rsid w:val="000B4CF2"/>
    <w:rsid w:val="000C42C2"/>
    <w:rsid w:val="000E121C"/>
    <w:rsid w:val="000E205E"/>
    <w:rsid w:val="000E2423"/>
    <w:rsid w:val="000F2170"/>
    <w:rsid w:val="00115787"/>
    <w:rsid w:val="0013405F"/>
    <w:rsid w:val="001340B5"/>
    <w:rsid w:val="00144F8A"/>
    <w:rsid w:val="001526B1"/>
    <w:rsid w:val="0017481B"/>
    <w:rsid w:val="001A17A7"/>
    <w:rsid w:val="001A2E60"/>
    <w:rsid w:val="001A5724"/>
    <w:rsid w:val="001B2FFD"/>
    <w:rsid w:val="001C1FC7"/>
    <w:rsid w:val="001C7456"/>
    <w:rsid w:val="001E1DC3"/>
    <w:rsid w:val="001F679D"/>
    <w:rsid w:val="001F733D"/>
    <w:rsid w:val="00203A72"/>
    <w:rsid w:val="00207C53"/>
    <w:rsid w:val="002125AB"/>
    <w:rsid w:val="00224DF1"/>
    <w:rsid w:val="0022530B"/>
    <w:rsid w:val="00236DB4"/>
    <w:rsid w:val="0024403E"/>
    <w:rsid w:val="00245D20"/>
    <w:rsid w:val="00252078"/>
    <w:rsid w:val="00253AA5"/>
    <w:rsid w:val="0026215F"/>
    <w:rsid w:val="00264155"/>
    <w:rsid w:val="00283DE3"/>
    <w:rsid w:val="00296140"/>
    <w:rsid w:val="00296D2E"/>
    <w:rsid w:val="002B4356"/>
    <w:rsid w:val="002C44A1"/>
    <w:rsid w:val="002D4C5C"/>
    <w:rsid w:val="002E4C52"/>
    <w:rsid w:val="002E51A5"/>
    <w:rsid w:val="002F2CCA"/>
    <w:rsid w:val="002F7AF5"/>
    <w:rsid w:val="00306191"/>
    <w:rsid w:val="00313677"/>
    <w:rsid w:val="00315545"/>
    <w:rsid w:val="00315E58"/>
    <w:rsid w:val="00336073"/>
    <w:rsid w:val="00345885"/>
    <w:rsid w:val="00360B0F"/>
    <w:rsid w:val="00371D37"/>
    <w:rsid w:val="003A3AD1"/>
    <w:rsid w:val="003E3BAD"/>
    <w:rsid w:val="004014CA"/>
    <w:rsid w:val="00405C59"/>
    <w:rsid w:val="00406F51"/>
    <w:rsid w:val="0042799B"/>
    <w:rsid w:val="004336C0"/>
    <w:rsid w:val="00445381"/>
    <w:rsid w:val="00451689"/>
    <w:rsid w:val="00470AD9"/>
    <w:rsid w:val="00481F59"/>
    <w:rsid w:val="00495B8D"/>
    <w:rsid w:val="004B008D"/>
    <w:rsid w:val="004B2063"/>
    <w:rsid w:val="004B4258"/>
    <w:rsid w:val="004C50EC"/>
    <w:rsid w:val="004E2C3F"/>
    <w:rsid w:val="004E76E0"/>
    <w:rsid w:val="004F5036"/>
    <w:rsid w:val="00511047"/>
    <w:rsid w:val="00532857"/>
    <w:rsid w:val="00552CDD"/>
    <w:rsid w:val="005720AF"/>
    <w:rsid w:val="0058119E"/>
    <w:rsid w:val="00585EA7"/>
    <w:rsid w:val="005A0BB9"/>
    <w:rsid w:val="005A5A6A"/>
    <w:rsid w:val="005A6B15"/>
    <w:rsid w:val="005B6971"/>
    <w:rsid w:val="005B7C5B"/>
    <w:rsid w:val="005C419B"/>
    <w:rsid w:val="005C6371"/>
    <w:rsid w:val="005C733B"/>
    <w:rsid w:val="005D1661"/>
    <w:rsid w:val="005D3837"/>
    <w:rsid w:val="005D5471"/>
    <w:rsid w:val="005F36E3"/>
    <w:rsid w:val="005F6F40"/>
    <w:rsid w:val="00606C06"/>
    <w:rsid w:val="00617C1E"/>
    <w:rsid w:val="00633AF6"/>
    <w:rsid w:val="00636664"/>
    <w:rsid w:val="00662D01"/>
    <w:rsid w:val="00673059"/>
    <w:rsid w:val="00677109"/>
    <w:rsid w:val="00687C0C"/>
    <w:rsid w:val="00694141"/>
    <w:rsid w:val="006A6DA4"/>
    <w:rsid w:val="006A7937"/>
    <w:rsid w:val="006B7A72"/>
    <w:rsid w:val="006C76D0"/>
    <w:rsid w:val="006E179D"/>
    <w:rsid w:val="006E34DC"/>
    <w:rsid w:val="00707BCF"/>
    <w:rsid w:val="0071609F"/>
    <w:rsid w:val="007315B0"/>
    <w:rsid w:val="00737696"/>
    <w:rsid w:val="00740EE8"/>
    <w:rsid w:val="00745751"/>
    <w:rsid w:val="007500BA"/>
    <w:rsid w:val="00751D1C"/>
    <w:rsid w:val="00755448"/>
    <w:rsid w:val="00757091"/>
    <w:rsid w:val="007B4D6C"/>
    <w:rsid w:val="007C3147"/>
    <w:rsid w:val="007D2680"/>
    <w:rsid w:val="007D2D4F"/>
    <w:rsid w:val="007E60E9"/>
    <w:rsid w:val="008044F7"/>
    <w:rsid w:val="00805221"/>
    <w:rsid w:val="0081380B"/>
    <w:rsid w:val="0082482D"/>
    <w:rsid w:val="00826061"/>
    <w:rsid w:val="00832D35"/>
    <w:rsid w:val="00854CBC"/>
    <w:rsid w:val="00855B0B"/>
    <w:rsid w:val="00862F11"/>
    <w:rsid w:val="0087756E"/>
    <w:rsid w:val="008824CB"/>
    <w:rsid w:val="008834D1"/>
    <w:rsid w:val="00893065"/>
    <w:rsid w:val="00893F13"/>
    <w:rsid w:val="008A3F72"/>
    <w:rsid w:val="008B4153"/>
    <w:rsid w:val="008C1A7E"/>
    <w:rsid w:val="00907185"/>
    <w:rsid w:val="009169D4"/>
    <w:rsid w:val="0093701E"/>
    <w:rsid w:val="00942032"/>
    <w:rsid w:val="00953717"/>
    <w:rsid w:val="0096109F"/>
    <w:rsid w:val="00962351"/>
    <w:rsid w:val="009626B1"/>
    <w:rsid w:val="00964BBC"/>
    <w:rsid w:val="0097359A"/>
    <w:rsid w:val="00983736"/>
    <w:rsid w:val="0098647F"/>
    <w:rsid w:val="00993181"/>
    <w:rsid w:val="0099372E"/>
    <w:rsid w:val="0099702E"/>
    <w:rsid w:val="009A0E93"/>
    <w:rsid w:val="009C157E"/>
    <w:rsid w:val="009E1D0C"/>
    <w:rsid w:val="009F6F24"/>
    <w:rsid w:val="00A00DC1"/>
    <w:rsid w:val="00A23206"/>
    <w:rsid w:val="00A24962"/>
    <w:rsid w:val="00A35D24"/>
    <w:rsid w:val="00A42FBD"/>
    <w:rsid w:val="00A45C33"/>
    <w:rsid w:val="00A47A36"/>
    <w:rsid w:val="00A47D5C"/>
    <w:rsid w:val="00A55032"/>
    <w:rsid w:val="00A56888"/>
    <w:rsid w:val="00A60EBB"/>
    <w:rsid w:val="00A64FB0"/>
    <w:rsid w:val="00A654D7"/>
    <w:rsid w:val="00A66C89"/>
    <w:rsid w:val="00A76A16"/>
    <w:rsid w:val="00AA23EE"/>
    <w:rsid w:val="00AA2620"/>
    <w:rsid w:val="00AA61B2"/>
    <w:rsid w:val="00AC0982"/>
    <w:rsid w:val="00AC4B2C"/>
    <w:rsid w:val="00AD0CAC"/>
    <w:rsid w:val="00AD1557"/>
    <w:rsid w:val="00AD767B"/>
    <w:rsid w:val="00AE18B4"/>
    <w:rsid w:val="00AE1F80"/>
    <w:rsid w:val="00AE5F25"/>
    <w:rsid w:val="00B007F0"/>
    <w:rsid w:val="00B0169E"/>
    <w:rsid w:val="00B27543"/>
    <w:rsid w:val="00B35D39"/>
    <w:rsid w:val="00B418BF"/>
    <w:rsid w:val="00B42040"/>
    <w:rsid w:val="00B46254"/>
    <w:rsid w:val="00B54237"/>
    <w:rsid w:val="00B5446C"/>
    <w:rsid w:val="00B706B2"/>
    <w:rsid w:val="00B748ED"/>
    <w:rsid w:val="00B84C96"/>
    <w:rsid w:val="00B9672E"/>
    <w:rsid w:val="00BA3CE3"/>
    <w:rsid w:val="00BA63E5"/>
    <w:rsid w:val="00BD292F"/>
    <w:rsid w:val="00BD7EFF"/>
    <w:rsid w:val="00BE0CEB"/>
    <w:rsid w:val="00BF4249"/>
    <w:rsid w:val="00C2371A"/>
    <w:rsid w:val="00C2568C"/>
    <w:rsid w:val="00C31C0C"/>
    <w:rsid w:val="00C4735F"/>
    <w:rsid w:val="00C72611"/>
    <w:rsid w:val="00C7771D"/>
    <w:rsid w:val="00C82C59"/>
    <w:rsid w:val="00C926A0"/>
    <w:rsid w:val="00CB1FAE"/>
    <w:rsid w:val="00CB5779"/>
    <w:rsid w:val="00CF05C8"/>
    <w:rsid w:val="00CF748D"/>
    <w:rsid w:val="00D1552F"/>
    <w:rsid w:val="00D23C29"/>
    <w:rsid w:val="00D4445E"/>
    <w:rsid w:val="00D5311D"/>
    <w:rsid w:val="00D57722"/>
    <w:rsid w:val="00D64A4C"/>
    <w:rsid w:val="00D8086F"/>
    <w:rsid w:val="00D86EE7"/>
    <w:rsid w:val="00DA146A"/>
    <w:rsid w:val="00DA4167"/>
    <w:rsid w:val="00DA4995"/>
    <w:rsid w:val="00DB552C"/>
    <w:rsid w:val="00DC5625"/>
    <w:rsid w:val="00DD0991"/>
    <w:rsid w:val="00DD5FF2"/>
    <w:rsid w:val="00DF0B4F"/>
    <w:rsid w:val="00E02AE3"/>
    <w:rsid w:val="00E22628"/>
    <w:rsid w:val="00E332EA"/>
    <w:rsid w:val="00E41B4B"/>
    <w:rsid w:val="00E46A96"/>
    <w:rsid w:val="00E5406F"/>
    <w:rsid w:val="00E81779"/>
    <w:rsid w:val="00E8345C"/>
    <w:rsid w:val="00E84326"/>
    <w:rsid w:val="00E97A2B"/>
    <w:rsid w:val="00EA337F"/>
    <w:rsid w:val="00EA5D12"/>
    <w:rsid w:val="00EC6091"/>
    <w:rsid w:val="00EE4C7B"/>
    <w:rsid w:val="00EF6F62"/>
    <w:rsid w:val="00F073C7"/>
    <w:rsid w:val="00F22569"/>
    <w:rsid w:val="00F33C5B"/>
    <w:rsid w:val="00F40F91"/>
    <w:rsid w:val="00F5205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CDA5"/>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 w:type="paragraph" w:styleId="Prrafodelista">
    <w:name w:val="List Paragraph"/>
    <w:basedOn w:val="Normal"/>
    <w:uiPriority w:val="34"/>
    <w:qFormat/>
    <w:rsid w:val="006A7937"/>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2510</Words>
  <Characters>13931</Characters>
  <Application>Microsoft Office Word</Application>
  <DocSecurity>0</DocSecurity>
  <Lines>557</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406</cp:revision>
  <dcterms:created xsi:type="dcterms:W3CDTF">2021-03-30T15:44:00Z</dcterms:created>
  <dcterms:modified xsi:type="dcterms:W3CDTF">2023-04-20T20:24:00Z</dcterms:modified>
</cp:coreProperties>
</file>