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004C3143">
        <w:rPr>
          <w:rFonts w:ascii="Palatino Linotype" w:eastAsiaTheme="minorHAnsi" w:hAnsi="Palatino Linotype"/>
          <w:i/>
          <w:iCs/>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00F935A1">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w:t>
      </w:r>
      <w:r w:rsidR="00B91A16">
        <w:rPr>
          <w:rFonts w:ascii="Palatino Linotype" w:eastAsiaTheme="minorHAnsi" w:hAnsi="Palatino Linotype"/>
          <w:sz w:val="22"/>
          <w:szCs w:val="22"/>
          <w:lang w:eastAsia="en-US"/>
        </w:rPr>
        <w:t xml:space="preserve">rdinaria adquisitiva de dominio; </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033BE7" w:rsidRPr="00033BE7" w:rsidRDefault="00C926A0" w:rsidP="00CB1FAE">
      <w:pPr>
        <w:autoSpaceDE w:val="0"/>
        <w:autoSpaceDN w:val="0"/>
        <w:adjustRightInd w:val="0"/>
        <w:ind w:left="708" w:hanging="708"/>
        <w:jc w:val="both"/>
        <w:rPr>
          <w:rFonts w:ascii="Palatino Linotype" w:eastAsiaTheme="minorHAnsi" w:hAnsi="Palatino Linotype" w:cs="Palatino Linotype"/>
          <w:color w:val="000000"/>
          <w:sz w:val="22"/>
          <w:szCs w:val="22"/>
          <w:lang w:val="es-ES"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033BE7">
        <w:rPr>
          <w:rFonts w:ascii="Palatino Linotype" w:eastAsiaTheme="minorHAnsi" w:hAnsi="Palatino Linotype" w:cs="Palatino Linotype"/>
          <w:color w:val="000000"/>
          <w:sz w:val="22"/>
          <w:szCs w:val="22"/>
          <w:lang w:val="es-ES" w:eastAsia="en-US"/>
        </w:rPr>
        <w:t>c</w:t>
      </w:r>
      <w:r w:rsidR="00033BE7" w:rsidRPr="00033BE7">
        <w:rPr>
          <w:rFonts w:ascii="Palatino Linotype" w:eastAsiaTheme="minorHAnsi" w:hAnsi="Palatino Linotype" w:cs="Palatino Linotype"/>
          <w:color w:val="000000"/>
          <w:sz w:val="22"/>
          <w:szCs w:val="22"/>
          <w:lang w:val="es-ES" w:eastAsia="en-US"/>
        </w:rPr>
        <w:t>onforme se desprende del informe técnico No. CODIGO: AZCA- DGT-2022-36, de 24 de agosto de 2022, de la Administración Zonal Calderón, la señora “(...) Gloria</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Ramírez, luego de consignar sus generales de libelo inicial, manifiesta que es poseedora del lote</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de terreno asignado con el No.10 y actualmente No.12 ubicado en el barrio Jardines del Norte,</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en la parroquia de Calderón Distrito Metropolitano de Quito, provincia de Pichincha de un área</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de 193.03 metros cuadrados, comprendido dentro de los siguientes linderos y dimensiones:</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 xml:space="preserve">NORTE.- con vía </w:t>
      </w:r>
      <w:r w:rsidR="00033BE7" w:rsidRPr="00033BE7">
        <w:rPr>
          <w:rFonts w:ascii="Palatino Linotype" w:eastAsiaTheme="minorHAnsi" w:hAnsi="Palatino Linotype" w:cs="Palatino Linotype"/>
          <w:color w:val="000000"/>
          <w:sz w:val="22"/>
          <w:szCs w:val="22"/>
          <w:lang w:val="es-ES" w:eastAsia="en-US"/>
        </w:rPr>
        <w:lastRenderedPageBreak/>
        <w:t>publica nombre 9.46 metros; SUR.- con pasaje sin nombre 9.33 metros;</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ESTE.- con lote de la Sra. Carmen Guato en 19.54 metros y OESTE, con el lote del señor</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Teófilo Simbaña en 9.77 metros y con el lote del señor Ramón Zambrano en</w:t>
      </w:r>
      <w:r w:rsidR="00033BE7">
        <w:rPr>
          <w:rFonts w:ascii="Palatino Linotype" w:eastAsiaTheme="minorHAnsi" w:hAnsi="Palatino Linotype" w:cs="Palatino Linotype"/>
          <w:color w:val="000000"/>
          <w:sz w:val="22"/>
          <w:szCs w:val="22"/>
          <w:lang w:val="es-ES" w:eastAsia="en-US"/>
        </w:rPr>
        <w:t xml:space="preserve"> </w:t>
      </w:r>
      <w:r w:rsidR="00033BE7" w:rsidRPr="00033BE7">
        <w:rPr>
          <w:rFonts w:ascii="Palatino Linotype" w:eastAsiaTheme="minorHAnsi" w:hAnsi="Palatino Linotype" w:cs="Palatino Linotype"/>
          <w:color w:val="000000"/>
          <w:sz w:val="22"/>
          <w:szCs w:val="22"/>
          <w:lang w:val="es-ES" w:eastAsia="en-US"/>
        </w:rPr>
        <w:t>12.05 metros.</w:t>
      </w:r>
    </w:p>
    <w:p w:rsidR="00F073C7" w:rsidRPr="00EA337F" w:rsidRDefault="00F073C7" w:rsidP="00F073C7">
      <w:pPr>
        <w:autoSpaceDE w:val="0"/>
        <w:autoSpaceDN w:val="0"/>
        <w:adjustRightInd w:val="0"/>
        <w:ind w:left="708" w:hanging="708"/>
        <w:jc w:val="both"/>
        <w:rPr>
          <w:rFonts w:ascii="Palatino Linotype" w:hAnsi="Palatino Linotype"/>
          <w:i/>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32706F" w:rsidRPr="00F24863" w:rsidRDefault="000B4CF2" w:rsidP="007E7600">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7E7600">
        <w:rPr>
          <w:rFonts w:ascii="Palatino Linotype" w:hAnsi="Palatino Linotype"/>
          <w:sz w:val="22"/>
          <w:szCs w:val="22"/>
        </w:rPr>
        <w:t>m</w:t>
      </w:r>
      <w:r w:rsidR="0032706F" w:rsidRPr="00F24863">
        <w:rPr>
          <w:rFonts w:ascii="Palatino Linotype" w:hAnsi="Palatino Linotype"/>
          <w:sz w:val="22"/>
          <w:szCs w:val="22"/>
        </w:rPr>
        <w:t xml:space="preserve">ediante informe técnico Nro. </w:t>
      </w:r>
      <w:r w:rsidR="0032706F" w:rsidRPr="00F24863">
        <w:rPr>
          <w:rStyle w:val="markedcontent"/>
          <w:rFonts w:ascii="Palatino Linotype" w:hAnsi="Palatino Linotype" w:cs="Arial"/>
          <w:sz w:val="22"/>
          <w:szCs w:val="22"/>
        </w:rPr>
        <w:t>AZCA-DGT-2022-036</w:t>
      </w:r>
      <w:r w:rsidR="0032706F" w:rsidRPr="00F24863">
        <w:rPr>
          <w:rFonts w:ascii="Palatino Linotype" w:hAnsi="Palatino Linotype"/>
          <w:sz w:val="22"/>
          <w:szCs w:val="22"/>
        </w:rPr>
        <w:t xml:space="preserve">, de 24 de agosto de 2022, el Ing. Israel Jiménez, funcionario de la Administración Zonal Calderón, señala: </w:t>
      </w:r>
    </w:p>
    <w:p w:rsidR="0032706F" w:rsidRPr="00F24863" w:rsidRDefault="0032706F" w:rsidP="0032706F">
      <w:pPr>
        <w:tabs>
          <w:tab w:val="left" w:pos="1080"/>
        </w:tabs>
        <w:jc w:val="both"/>
        <w:rPr>
          <w:rFonts w:ascii="Palatino Linotype" w:hAnsi="Palatino Linotype"/>
          <w:b/>
          <w:sz w:val="22"/>
          <w:szCs w:val="22"/>
        </w:rPr>
      </w:pPr>
    </w:p>
    <w:p w:rsidR="0032706F" w:rsidRPr="00F24863" w:rsidRDefault="0032706F" w:rsidP="0032706F">
      <w:pPr>
        <w:tabs>
          <w:tab w:val="left" w:pos="1080"/>
        </w:tabs>
        <w:ind w:left="708"/>
        <w:jc w:val="both"/>
        <w:rPr>
          <w:rStyle w:val="markedcontent"/>
          <w:rFonts w:ascii="Palatino Linotype" w:hAnsi="Palatino Linotype" w:cs="Arial"/>
          <w:b/>
          <w:i/>
          <w:sz w:val="22"/>
          <w:szCs w:val="22"/>
        </w:rPr>
      </w:pPr>
      <w:r w:rsidRPr="00F24863">
        <w:rPr>
          <w:rFonts w:ascii="Palatino Linotype" w:hAnsi="Palatino Linotype"/>
          <w:b/>
          <w:i/>
          <w:sz w:val="22"/>
          <w:szCs w:val="22"/>
        </w:rPr>
        <w:t xml:space="preserve">“(…) </w:t>
      </w:r>
      <w:r w:rsidRPr="00F24863">
        <w:rPr>
          <w:rStyle w:val="markedcontent"/>
          <w:rFonts w:ascii="Palatino Linotype" w:hAnsi="Palatino Linotype" w:cs="Arial"/>
          <w:b/>
          <w:i/>
          <w:sz w:val="22"/>
          <w:szCs w:val="22"/>
        </w:rPr>
        <w:t>Análisis de la Prescripción Adquisitiva de Dominio</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Descripción del Juicio</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i/>
          <w:sz w:val="22"/>
          <w:szCs w:val="22"/>
        </w:rPr>
        <w:t>̈</w:t>
      </w:r>
      <w:r w:rsidRPr="00F24863">
        <w:rPr>
          <w:rStyle w:val="markedcontent"/>
          <w:rFonts w:ascii="Palatino Linotype" w:hAnsi="Palatino Linotype" w:cs="Arial"/>
          <w:i/>
          <w:sz w:val="22"/>
          <w:szCs w:val="22"/>
        </w:rPr>
        <w:t xml:space="preserve">(...) Se acepta la demanda y en consecuencia se declara que la señora Gloria Teresa Ramírez ha adquirido por prescripción adquisitiva extraordinaria de dominio el lote de terreno y sus edificaciones, cuyas dimensiones y linderos, según el informe pericial, son: NORTE: 9.48 m, con pasaje sin nombre, SUR: 9.33 m, con calle sin nombre; ESTE: 19,60 m, con lote de la Sra. Carmen Guato; y, OESTE: 9.88 m, con el lote del señor Teófilo Simbaña y 12.05 m, con lote del señor Ramón Zambrano; con un área total de 192.36 m2 (...) </w:t>
      </w:r>
      <w:r w:rsidRPr="00F24863">
        <w:rPr>
          <w:rStyle w:val="markedcontent"/>
          <w:i/>
          <w:sz w:val="22"/>
          <w:szCs w:val="22"/>
        </w:rPr>
        <w:t>̈</w:t>
      </w:r>
      <w:r w:rsidRPr="00F24863">
        <w:rPr>
          <w:rStyle w:val="markedcontent"/>
          <w:rFonts w:ascii="Palatino Linotype" w:hAnsi="Palatino Linotype" w:cs="Arial"/>
          <w:i/>
          <w:sz w:val="22"/>
          <w:szCs w:val="22"/>
        </w:rPr>
        <w:t>.</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Prescripción Adquisitiva de Dominio Área Observaciones</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No. 17230-2016-17309</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Perito: Ing. Luis Felipe Paucar Quinga</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lastRenderedPageBreak/>
        <w:t>Lote = 192.36 m2 No Cumple</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Frente = 0 m No Cumple”</w:t>
      </w:r>
    </w:p>
    <w:p w:rsidR="0032706F" w:rsidRPr="00F24863" w:rsidRDefault="0032706F" w:rsidP="0032706F">
      <w:pPr>
        <w:tabs>
          <w:tab w:val="left" w:pos="1080"/>
        </w:tabs>
        <w:ind w:left="708"/>
        <w:jc w:val="both"/>
        <w:rPr>
          <w:rFonts w:ascii="Palatino Linotype" w:hAnsi="Palatino Linotype"/>
          <w:i/>
          <w:sz w:val="22"/>
          <w:szCs w:val="22"/>
        </w:rPr>
      </w:pPr>
    </w:p>
    <w:p w:rsidR="0032706F" w:rsidRPr="00F24863" w:rsidRDefault="0032706F" w:rsidP="0032706F">
      <w:pPr>
        <w:tabs>
          <w:tab w:val="left" w:pos="1080"/>
        </w:tabs>
        <w:ind w:left="708"/>
        <w:jc w:val="both"/>
        <w:rPr>
          <w:rFonts w:ascii="Palatino Linotype" w:hAnsi="Palatino Linotype"/>
          <w:b/>
          <w:i/>
          <w:sz w:val="22"/>
          <w:szCs w:val="22"/>
        </w:rPr>
      </w:pPr>
      <w:r w:rsidRPr="00F24863">
        <w:rPr>
          <w:rStyle w:val="markedcontent"/>
          <w:rFonts w:ascii="Palatino Linotype" w:hAnsi="Palatino Linotype" w:cs="Arial"/>
          <w:b/>
          <w:i/>
          <w:sz w:val="22"/>
          <w:szCs w:val="22"/>
        </w:rPr>
        <w:t>“</w:t>
      </w:r>
      <w:r w:rsidRPr="00F24863">
        <w:rPr>
          <w:rStyle w:val="markedcontent"/>
          <w:rFonts w:ascii="Palatino Linotype" w:hAnsi="Palatino Linotype" w:cs="Arial"/>
          <w:b/>
          <w:i/>
          <w:sz w:val="22"/>
          <w:szCs w:val="22"/>
        </w:rPr>
        <w:sym w:font="Symbol" w:char="F0B7"/>
      </w:r>
      <w:r w:rsidRPr="00F24863">
        <w:rPr>
          <w:rStyle w:val="markedcontent"/>
          <w:rFonts w:ascii="Palatino Linotype" w:hAnsi="Palatino Linotype" w:cs="Arial"/>
          <w:b/>
          <w:i/>
          <w:sz w:val="22"/>
          <w:szCs w:val="22"/>
        </w:rPr>
        <w:t xml:space="preserve"> Análisis, contribución del 15% del área útil adjudicada adquirida mediante sentencia.</w:t>
      </w:r>
    </w:p>
    <w:p w:rsidR="0032706F" w:rsidRPr="00F24863" w:rsidRDefault="0032706F" w:rsidP="0032706F">
      <w:pPr>
        <w:tabs>
          <w:tab w:val="left" w:pos="1080"/>
        </w:tabs>
        <w:ind w:left="708"/>
        <w:jc w:val="both"/>
        <w:rPr>
          <w:rFonts w:ascii="Palatino Linotype" w:hAnsi="Palatino Linotype"/>
          <w:b/>
          <w:i/>
          <w:sz w:val="22"/>
          <w:szCs w:val="22"/>
        </w:rPr>
      </w:pP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En el caso que nos ocupa, el 15% del área útil prescrita corresponde a 12.60 m2, lo cual es inferior al lote mínimo vigente (600m2), razón por la que el actor de la demanda deberá compensar en valor monetario de acuerdo al avalúo catastral vigente a la fecha de la emisión del título de crédito correspondiente.</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En memorando Nro. GADDMQ-STHV-DMC-UGT-AZC-2022-0120-M, emitido el 27 de abril de 2022 por la responsable del área de Catastros, se remite el valor del m2 del predio 390030 de propiedad de GONZALEZ QUISILEMA MANUEL MARIA HRDS PARA EL BIENO 2022-2023, con la finalidad de realizar el cálculo del valor a pagar por concepto de contribución del área verde.</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p>
    <w:p w:rsidR="0032706F" w:rsidRPr="00F24863" w:rsidRDefault="0032706F" w:rsidP="0032706F">
      <w:pPr>
        <w:tabs>
          <w:tab w:val="left" w:pos="1080"/>
        </w:tabs>
        <w:ind w:left="708"/>
        <w:jc w:val="center"/>
        <w:rPr>
          <w:rStyle w:val="markedcontent"/>
          <w:rFonts w:ascii="Palatino Linotype" w:hAnsi="Palatino Linotype" w:cs="Arial"/>
          <w:i/>
          <w:noProof/>
          <w:sz w:val="22"/>
          <w:szCs w:val="22"/>
          <w:lang w:eastAsia="es-EC"/>
        </w:rPr>
      </w:pPr>
      <w:r w:rsidRPr="00F24863">
        <w:rPr>
          <w:rStyle w:val="markedcontent"/>
          <w:rFonts w:ascii="Palatino Linotype" w:hAnsi="Palatino Linotype" w:cs="Arial"/>
          <w:i/>
          <w:noProof/>
          <w:sz w:val="22"/>
          <w:szCs w:val="22"/>
          <w:lang w:eastAsia="es-EC"/>
        </w:rPr>
        <w:drawing>
          <wp:inline distT="0" distB="0" distL="0" distR="0" wp14:anchorId="5900614E" wp14:editId="7EA1CD04">
            <wp:extent cx="4572638" cy="105742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1057423"/>
                    </a:xfrm>
                    <a:prstGeom prst="rect">
                      <a:avLst/>
                    </a:prstGeom>
                  </pic:spPr>
                </pic:pic>
              </a:graphicData>
            </a:graphic>
          </wp:inline>
        </w:drawing>
      </w:r>
    </w:p>
    <w:p w:rsidR="0032706F" w:rsidRPr="00F24863" w:rsidRDefault="0032706F" w:rsidP="0032706F">
      <w:pPr>
        <w:tabs>
          <w:tab w:val="left" w:pos="1080"/>
        </w:tabs>
        <w:ind w:left="708"/>
        <w:jc w:val="center"/>
        <w:rPr>
          <w:rStyle w:val="markedcontent"/>
          <w:rFonts w:ascii="Palatino Linotype" w:hAnsi="Palatino Linotype" w:cs="Arial"/>
          <w:i/>
          <w:sz w:val="22"/>
          <w:szCs w:val="22"/>
        </w:rPr>
      </w:pP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b/>
          <w:i/>
          <w:sz w:val="22"/>
          <w:szCs w:val="22"/>
        </w:rPr>
        <w:t>“</w:t>
      </w:r>
      <w:r w:rsidRPr="00F24863">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1.- El cálculo se realiza en función del Avalúo del Terreno y no al AIVA Se utiliza el Avalúo del terreno ya que el sistema SLUM en el cual se ingresa las Subdivisiones por prescripción utiliza los valores de: el Avalúo del Terreno, Área del Terreno y Área Prescrita</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2.- La fórmula con la cual se calcula la compensación es la siguiente.</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(Avalúo del Terreno / Área del Terreno) * (Área de prescripción) * (15% Contribución)</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t>Por tanto, el valor por compensación del 15% del área útil adjudicada mediante sentencia a la fecha de hoyes la que se detalla a continuación pudiendo esta cambiar si cambia el avaluó catastral.</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r w:rsidRPr="00F24863">
        <w:rPr>
          <w:rFonts w:ascii="Palatino Linotype" w:hAnsi="Palatino Linotype"/>
          <w:i/>
          <w:sz w:val="22"/>
          <w:szCs w:val="22"/>
        </w:rPr>
        <w:lastRenderedPageBreak/>
        <w:br/>
      </w:r>
      <w:r w:rsidRPr="00F24863">
        <w:rPr>
          <w:rStyle w:val="markedcontent"/>
          <w:rFonts w:ascii="Palatino Linotype" w:hAnsi="Palatino Linotype" w:cs="Arial"/>
          <w:i/>
          <w:sz w:val="22"/>
          <w:szCs w:val="22"/>
        </w:rPr>
        <w:t>3.- Con la fórmula mencionada, el área prescrita y los valores emitidos por catastros se realizó el cálculo:</w:t>
      </w:r>
    </w:p>
    <w:p w:rsidR="0032706F" w:rsidRPr="00F24863" w:rsidRDefault="0032706F" w:rsidP="0032706F">
      <w:pPr>
        <w:tabs>
          <w:tab w:val="left" w:pos="1080"/>
        </w:tabs>
        <w:ind w:left="708"/>
        <w:jc w:val="both"/>
        <w:rPr>
          <w:rStyle w:val="markedcontent"/>
          <w:rFonts w:ascii="Palatino Linotype" w:hAnsi="Palatino Linotype" w:cs="Arial"/>
          <w:i/>
          <w:sz w:val="22"/>
          <w:szCs w:val="22"/>
        </w:rPr>
      </w:pPr>
    </w:p>
    <w:p w:rsidR="0032706F" w:rsidRPr="00F24863" w:rsidRDefault="0032706F" w:rsidP="0032706F">
      <w:pPr>
        <w:tabs>
          <w:tab w:val="left" w:pos="1080"/>
        </w:tabs>
        <w:ind w:left="708"/>
        <w:jc w:val="center"/>
        <w:rPr>
          <w:rFonts w:ascii="Palatino Linotype" w:hAnsi="Palatino Linotype"/>
          <w:b/>
          <w:i/>
          <w:noProof/>
          <w:sz w:val="22"/>
          <w:szCs w:val="22"/>
          <w:lang w:eastAsia="es-EC"/>
        </w:rPr>
      </w:pPr>
      <w:r w:rsidRPr="00F24863">
        <w:rPr>
          <w:rStyle w:val="markedcontent"/>
          <w:rFonts w:ascii="Palatino Linotype" w:hAnsi="Palatino Linotype" w:cs="Arial"/>
          <w:sz w:val="22"/>
          <w:szCs w:val="22"/>
        </w:rPr>
        <w:t>(633.739,60usd / 9256.70 m2) * (192.36 m2) * (0,15) = 1975.43 usd</w:t>
      </w:r>
      <w:r w:rsidRPr="00F24863">
        <w:rPr>
          <w:rFonts w:ascii="Palatino Linotype" w:hAnsi="Palatino Linotype"/>
          <w:b/>
          <w:i/>
          <w:noProof/>
          <w:sz w:val="22"/>
          <w:szCs w:val="22"/>
          <w:lang w:eastAsia="es-EC"/>
        </w:rPr>
        <w:t xml:space="preserve"> </w:t>
      </w:r>
    </w:p>
    <w:p w:rsidR="0032706F" w:rsidRPr="00F24863" w:rsidRDefault="0032706F" w:rsidP="0032706F">
      <w:pPr>
        <w:tabs>
          <w:tab w:val="left" w:pos="1080"/>
        </w:tabs>
        <w:ind w:left="708"/>
        <w:jc w:val="center"/>
        <w:rPr>
          <w:rFonts w:ascii="Palatino Linotype" w:hAnsi="Palatino Linotype"/>
          <w:b/>
          <w:i/>
          <w:noProof/>
          <w:sz w:val="22"/>
          <w:szCs w:val="22"/>
          <w:lang w:eastAsia="es-EC"/>
        </w:rPr>
      </w:pPr>
    </w:p>
    <w:p w:rsidR="0032706F" w:rsidRPr="00F24863" w:rsidRDefault="0032706F" w:rsidP="0032706F">
      <w:pPr>
        <w:tabs>
          <w:tab w:val="left" w:pos="1080"/>
        </w:tabs>
        <w:ind w:left="708"/>
        <w:jc w:val="center"/>
        <w:rPr>
          <w:rFonts w:ascii="Palatino Linotype" w:hAnsi="Palatino Linotype"/>
          <w:b/>
          <w:i/>
          <w:sz w:val="22"/>
          <w:szCs w:val="22"/>
        </w:rPr>
      </w:pPr>
      <w:r w:rsidRPr="00F24863">
        <w:rPr>
          <w:rFonts w:ascii="Palatino Linotype" w:hAnsi="Palatino Linotype"/>
          <w:b/>
          <w:i/>
          <w:noProof/>
          <w:sz w:val="22"/>
          <w:szCs w:val="22"/>
          <w:lang w:eastAsia="es-EC"/>
        </w:rPr>
        <w:drawing>
          <wp:inline distT="0" distB="0" distL="0" distR="0" wp14:anchorId="204310EF" wp14:editId="47ED6BAD">
            <wp:extent cx="4400995"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13827" cy="754669"/>
                    </a:xfrm>
                    <a:prstGeom prst="rect">
                      <a:avLst/>
                    </a:prstGeom>
                  </pic:spPr>
                </pic:pic>
              </a:graphicData>
            </a:graphic>
          </wp:inline>
        </w:drawing>
      </w:r>
    </w:p>
    <w:p w:rsidR="0032706F" w:rsidRPr="00F24863" w:rsidRDefault="0032706F" w:rsidP="007E7600">
      <w:pPr>
        <w:tabs>
          <w:tab w:val="left" w:pos="1080"/>
        </w:tabs>
        <w:ind w:left="1080"/>
        <w:jc w:val="both"/>
        <w:rPr>
          <w:rFonts w:ascii="Palatino Linotype" w:hAnsi="Palatino Linotype"/>
          <w:b/>
          <w:i/>
          <w:sz w:val="22"/>
          <w:szCs w:val="22"/>
        </w:rPr>
      </w:pPr>
    </w:p>
    <w:p w:rsidR="0032706F" w:rsidRPr="00F24863" w:rsidRDefault="0032706F" w:rsidP="007E7600">
      <w:pPr>
        <w:tabs>
          <w:tab w:val="left" w:pos="1080"/>
        </w:tabs>
        <w:ind w:left="1080"/>
        <w:jc w:val="both"/>
        <w:rPr>
          <w:rFonts w:ascii="Palatino Linotype" w:hAnsi="Palatino Linotype"/>
          <w:b/>
          <w:i/>
          <w:sz w:val="22"/>
          <w:szCs w:val="22"/>
        </w:rPr>
      </w:pPr>
      <w:r w:rsidRPr="00F24863">
        <w:rPr>
          <w:rFonts w:ascii="Palatino Linotype" w:hAnsi="Palatino Linotype"/>
          <w:b/>
          <w:i/>
          <w:sz w:val="22"/>
          <w:szCs w:val="22"/>
        </w:rPr>
        <w:t>“CONCLUSIONES</w:t>
      </w:r>
    </w:p>
    <w:p w:rsidR="0032706F" w:rsidRPr="00F24863" w:rsidRDefault="0032706F" w:rsidP="007E7600">
      <w:pPr>
        <w:tabs>
          <w:tab w:val="left" w:pos="1080"/>
        </w:tabs>
        <w:ind w:left="1452"/>
        <w:jc w:val="both"/>
        <w:rPr>
          <w:rFonts w:ascii="Palatino Linotype" w:hAnsi="Palatino Linotype"/>
          <w:b/>
          <w:i/>
          <w:sz w:val="22"/>
          <w:szCs w:val="22"/>
        </w:rPr>
      </w:pPr>
    </w:p>
    <w:p w:rsidR="0032706F" w:rsidRPr="00F24863" w:rsidRDefault="0032706F" w:rsidP="007E7600">
      <w:pPr>
        <w:tabs>
          <w:tab w:val="left" w:pos="1080"/>
        </w:tabs>
        <w:ind w:left="372"/>
        <w:jc w:val="both"/>
        <w:rPr>
          <w:rStyle w:val="markedcontent"/>
          <w:rFonts w:ascii="Palatino Linotype" w:hAnsi="Palatino Linotype" w:cs="Arial"/>
          <w:i/>
          <w:sz w:val="22"/>
          <w:szCs w:val="22"/>
        </w:rPr>
      </w:pPr>
      <w:r w:rsidRPr="00F24863">
        <w:rPr>
          <w:rStyle w:val="markedcontent"/>
          <w:rFonts w:ascii="Palatino Linotype" w:hAnsi="Palatino Linotype" w:cs="Arial"/>
          <w:i/>
          <w:sz w:val="22"/>
          <w:szCs w:val="22"/>
        </w:rPr>
        <w:t>Del análisis técnico se desprende que, la prescripción adquisitiva de dominio de una parte del inmueble del predio No. 390030, no cumple con: “lote mínimo” y “frente mínimo” el área prescrita corresponde a 192.36 m2 menor a 200m2 zonificación vigente; además no colinda hacia una vía aprobada razón por la que se emite Informe Técnico desfavorable.</w:t>
      </w:r>
    </w:p>
    <w:p w:rsidR="0032706F" w:rsidRPr="00F24863" w:rsidRDefault="0032706F" w:rsidP="007E7600">
      <w:pPr>
        <w:tabs>
          <w:tab w:val="left" w:pos="1080"/>
        </w:tabs>
        <w:ind w:left="372"/>
        <w:jc w:val="both"/>
        <w:rPr>
          <w:rFonts w:ascii="Palatino Linotype" w:hAnsi="Palatino Linotype"/>
          <w:b/>
          <w:i/>
          <w:sz w:val="22"/>
          <w:szCs w:val="22"/>
        </w:rPr>
      </w:pPr>
      <w:r w:rsidRPr="00F24863">
        <w:rPr>
          <w:rFonts w:ascii="Palatino Linotype" w:hAnsi="Palatino Linotype"/>
          <w:i/>
          <w:sz w:val="22"/>
          <w:szCs w:val="22"/>
        </w:rPr>
        <w:br/>
      </w:r>
      <w:r w:rsidRPr="00F24863">
        <w:rPr>
          <w:rStyle w:val="markedcontent"/>
          <w:rFonts w:ascii="Palatino Linotype" w:hAnsi="Palatino Linotype" w:cs="Arial"/>
          <w:i/>
          <w:sz w:val="22"/>
          <w:szCs w:val="22"/>
        </w:rPr>
        <w:sym w:font="Symbol" w:char="F0B7"/>
      </w:r>
      <w:r w:rsidRPr="00F24863">
        <w:rPr>
          <w:rStyle w:val="markedcontent"/>
          <w:rFonts w:ascii="Palatino Linotype" w:hAnsi="Palatino Linotype" w:cs="Arial"/>
          <w:i/>
          <w:sz w:val="22"/>
          <w:szCs w:val="22"/>
        </w:rPr>
        <w:t xml:space="preserve"> El 15% del área útil prescrita corresponde a 28.85 m2, lo cual es inferior al lote mínimo vigente (200 m2), razón por la que el actor de la demanda deberá compensar en valor monetario de acuerdo al avalúo catastral vigente a la fecha de la emisión del título de crédito correspondiente.”</w:t>
      </w:r>
    </w:p>
    <w:p w:rsidR="00A76A16" w:rsidRPr="00EA337F" w:rsidRDefault="00A76A16" w:rsidP="00A138C7">
      <w:pPr>
        <w:tabs>
          <w:tab w:val="left" w:pos="1080"/>
        </w:tabs>
        <w:ind w:left="1080" w:hanging="1080"/>
        <w:jc w:val="both"/>
        <w:rPr>
          <w:rFonts w:ascii="Palatino Linotype" w:hAnsi="Palatino Linotype"/>
          <w:b/>
          <w:i/>
          <w:sz w:val="22"/>
          <w:szCs w:val="22"/>
        </w:rPr>
      </w:pPr>
    </w:p>
    <w:p w:rsidR="00CF748D" w:rsidRPr="00EA337F" w:rsidRDefault="00CF748D" w:rsidP="00A76A16">
      <w:pPr>
        <w:tabs>
          <w:tab w:val="left" w:pos="1080"/>
        </w:tabs>
        <w:jc w:val="both"/>
        <w:rPr>
          <w:rFonts w:ascii="Palatino Linotype" w:hAnsi="Palatino Linotype"/>
          <w:sz w:val="22"/>
          <w:szCs w:val="22"/>
        </w:rPr>
      </w:pPr>
    </w:p>
    <w:p w:rsidR="00157AA6" w:rsidRPr="00F24863" w:rsidRDefault="00E41B4B" w:rsidP="007E7600">
      <w:pPr>
        <w:pStyle w:val="Default"/>
        <w:ind w:left="708" w:hanging="708"/>
        <w:jc w:val="both"/>
        <w:rPr>
          <w:sz w:val="22"/>
          <w:szCs w:val="22"/>
        </w:rPr>
      </w:pPr>
      <w:r w:rsidRPr="00EA337F">
        <w:rPr>
          <w:sz w:val="22"/>
          <w:szCs w:val="22"/>
        </w:rPr>
        <w:t xml:space="preserve">Que, </w:t>
      </w:r>
      <w:r w:rsidR="00157AA6">
        <w:rPr>
          <w:sz w:val="22"/>
          <w:szCs w:val="22"/>
        </w:rPr>
        <w:t>m</w:t>
      </w:r>
      <w:r w:rsidR="00157AA6" w:rsidRPr="00F24863">
        <w:rPr>
          <w:sz w:val="22"/>
          <w:szCs w:val="22"/>
        </w:rPr>
        <w:t xml:space="preserve">ediante </w:t>
      </w:r>
      <w:r w:rsidR="00157AA6" w:rsidRPr="00F24863">
        <w:rPr>
          <w:sz w:val="22"/>
          <w:szCs w:val="22"/>
          <w:lang w:val="es-EC"/>
        </w:rPr>
        <w:t>memorando Nro. G</w:t>
      </w:r>
      <w:r w:rsidR="00157AA6" w:rsidRPr="00F24863">
        <w:rPr>
          <w:sz w:val="22"/>
          <w:szCs w:val="22"/>
        </w:rPr>
        <w:t>ADDMQ-AZCA-DAJ-2022-0427-M,</w:t>
      </w:r>
      <w:r w:rsidR="00157AA6" w:rsidRPr="00F24863">
        <w:rPr>
          <w:sz w:val="22"/>
          <w:szCs w:val="22"/>
          <w:lang w:val="es-EC"/>
        </w:rPr>
        <w:t xml:space="preserve"> </w:t>
      </w:r>
      <w:r w:rsidR="00157AA6" w:rsidRPr="00F24863">
        <w:rPr>
          <w:sz w:val="22"/>
          <w:szCs w:val="22"/>
        </w:rPr>
        <w:t xml:space="preserve">de 14 de septiembre de 2022, la </w:t>
      </w:r>
      <w:r w:rsidR="00157AA6" w:rsidRPr="00F24863">
        <w:rPr>
          <w:sz w:val="22"/>
          <w:szCs w:val="22"/>
          <w:lang w:val="es-EC"/>
        </w:rPr>
        <w:t>Abg. Lorena Elizabeth Donoso Rivera</w:t>
      </w:r>
      <w:r w:rsidR="00157AA6" w:rsidRPr="00F24863">
        <w:rPr>
          <w:sz w:val="22"/>
          <w:szCs w:val="22"/>
        </w:rPr>
        <w:t>, Subprocuradora Zonal de la Administración Calderón, señala:</w:t>
      </w:r>
    </w:p>
    <w:p w:rsidR="00157AA6" w:rsidRPr="00F24863" w:rsidRDefault="00157AA6" w:rsidP="00157AA6">
      <w:pPr>
        <w:pStyle w:val="Default"/>
        <w:jc w:val="both"/>
        <w:rPr>
          <w:i/>
          <w:sz w:val="22"/>
          <w:szCs w:val="22"/>
        </w:rPr>
      </w:pPr>
    </w:p>
    <w:p w:rsidR="00157AA6" w:rsidRPr="00F24863" w:rsidRDefault="00157AA6" w:rsidP="00157AA6">
      <w:pPr>
        <w:tabs>
          <w:tab w:val="left" w:pos="284"/>
        </w:tabs>
        <w:ind w:left="708"/>
        <w:jc w:val="both"/>
        <w:rPr>
          <w:rFonts w:ascii="Palatino Linotype" w:hAnsi="Palatino Linotype"/>
          <w:b/>
          <w:i/>
          <w:sz w:val="22"/>
          <w:szCs w:val="22"/>
        </w:rPr>
      </w:pPr>
      <w:r w:rsidRPr="00F24863">
        <w:rPr>
          <w:rFonts w:ascii="Palatino Linotype" w:eastAsiaTheme="minorHAnsi" w:hAnsi="Palatino Linotype" w:cs="Palatino Linotype"/>
          <w:b/>
          <w:i/>
          <w:color w:val="000000"/>
          <w:sz w:val="22"/>
          <w:szCs w:val="22"/>
          <w:lang w:eastAsia="en-US"/>
        </w:rPr>
        <w:t xml:space="preserve">“(…) </w:t>
      </w:r>
      <w:r w:rsidRPr="00F24863">
        <w:rPr>
          <w:rFonts w:ascii="Palatino Linotype" w:hAnsi="Palatino Linotype"/>
          <w:b/>
          <w:i/>
          <w:sz w:val="22"/>
          <w:szCs w:val="22"/>
        </w:rPr>
        <w:t xml:space="preserve">CRITERIO: </w:t>
      </w:r>
    </w:p>
    <w:p w:rsidR="00157AA6" w:rsidRPr="00F24863" w:rsidRDefault="00157AA6" w:rsidP="00157AA6">
      <w:pPr>
        <w:tabs>
          <w:tab w:val="left" w:pos="284"/>
        </w:tabs>
        <w:jc w:val="both"/>
        <w:rPr>
          <w:rFonts w:ascii="Palatino Linotype" w:hAnsi="Palatino Linotype"/>
          <w:i/>
          <w:sz w:val="22"/>
          <w:szCs w:val="22"/>
        </w:rPr>
      </w:pPr>
    </w:p>
    <w:p w:rsidR="00157AA6" w:rsidRDefault="00157AA6" w:rsidP="00157AA6">
      <w:pPr>
        <w:tabs>
          <w:tab w:val="left" w:pos="284"/>
        </w:tabs>
        <w:ind w:left="708"/>
        <w:jc w:val="both"/>
        <w:rPr>
          <w:rFonts w:ascii="Palatino Linotype" w:hAnsi="Palatino Linotype"/>
          <w:i/>
          <w:sz w:val="22"/>
          <w:szCs w:val="22"/>
        </w:rPr>
      </w:pPr>
      <w:r w:rsidRPr="00F24863">
        <w:rPr>
          <w:rFonts w:ascii="Palatino Linotype" w:hAnsi="Palatino Linotype"/>
          <w:i/>
          <w:sz w:val="22"/>
          <w:szCs w:val="22"/>
        </w:rPr>
        <w:t xml:space="preserve">Por lo expuesto, esta Dirección Jurídica acogiendo el Informe Técnico AZCA-DGT 2022-36 de 24 de agosto de 2022, del Jefe de Gestión Urbana y aprobado por la Directora de Gestión Territorial de la Administración Zonal Calderón con memorando Nro. GADDMQ-AZCA-DGT-2022-1462-M de la misma fecha, en el que indica que la prescripción adquisitiva de dominio de una parte del inmueble del predio No. 390030, no cumple con: “lote mínimo” y “frente mínimo” el área prescrita corresponde a 192.36 m2 menor a 200m2 zonificación vigente, en este sentido, se deberá proceder conforme lo establece en el COOTAD y la Ordenanza 001. </w:t>
      </w:r>
    </w:p>
    <w:p w:rsidR="00FC3E6E" w:rsidRPr="00EA337F" w:rsidRDefault="00FC3E6E" w:rsidP="0032706F">
      <w:pPr>
        <w:pStyle w:val="Default"/>
        <w:ind w:left="708" w:hanging="708"/>
        <w:jc w:val="both"/>
        <w:rPr>
          <w:i/>
          <w:sz w:val="22"/>
          <w:szCs w:val="22"/>
        </w:rPr>
      </w:pPr>
    </w:p>
    <w:p w:rsidR="00FC3E6E" w:rsidRPr="00EA337F" w:rsidRDefault="00FC3E6E" w:rsidP="00FC3E6E">
      <w:pPr>
        <w:tabs>
          <w:tab w:val="left" w:pos="284"/>
        </w:tabs>
        <w:ind w:left="708"/>
        <w:jc w:val="both"/>
        <w:rPr>
          <w:rFonts w:ascii="Palatino Linotype" w:hAnsi="Palatino Linotype"/>
          <w:i/>
          <w:sz w:val="22"/>
          <w:szCs w:val="22"/>
        </w:rPr>
      </w:pPr>
    </w:p>
    <w:p w:rsidR="00FE1203" w:rsidRPr="00EA337F" w:rsidRDefault="00FE1203" w:rsidP="00FE1203">
      <w:pPr>
        <w:pStyle w:val="Default"/>
        <w:ind w:left="708" w:hanging="708"/>
        <w:jc w:val="both"/>
        <w:rPr>
          <w:sz w:val="22"/>
          <w:szCs w:val="22"/>
        </w:rPr>
      </w:pPr>
      <w:r w:rsidRPr="00EA337F">
        <w:rPr>
          <w:sz w:val="22"/>
          <w:szCs w:val="22"/>
        </w:rPr>
        <w:lastRenderedPageBreak/>
        <w:t xml:space="preserve">Que, </w:t>
      </w:r>
      <w:r w:rsidRPr="00EA337F">
        <w:rPr>
          <w:sz w:val="22"/>
          <w:szCs w:val="22"/>
        </w:rPr>
        <w:tab/>
        <w:t>la Comisión de Uso de Su</w:t>
      </w:r>
      <w:r w:rsidR="00E02AE3" w:rsidRPr="00EA337F">
        <w:rPr>
          <w:sz w:val="22"/>
          <w:szCs w:val="22"/>
        </w:rPr>
        <w:t>elo en sesión ordinaria Nro. 172</w:t>
      </w:r>
      <w:r w:rsidRPr="00EA337F">
        <w:rPr>
          <w:sz w:val="22"/>
          <w:szCs w:val="22"/>
        </w:rPr>
        <w:t xml:space="preserve">, de </w:t>
      </w:r>
      <w:r w:rsidR="00E02AE3" w:rsidRPr="00EA337F">
        <w:rPr>
          <w:sz w:val="22"/>
          <w:szCs w:val="22"/>
        </w:rPr>
        <w:t xml:space="preserve">07 </w:t>
      </w:r>
      <w:r w:rsidRPr="00EA337F">
        <w:rPr>
          <w:sz w:val="22"/>
          <w:szCs w:val="22"/>
        </w:rPr>
        <w:t xml:space="preserve">de </w:t>
      </w:r>
      <w:r w:rsidR="00E02AE3" w:rsidRPr="00EA337F">
        <w:rPr>
          <w:sz w:val="22"/>
          <w:szCs w:val="22"/>
        </w:rPr>
        <w:t xml:space="preserve">noviembre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85785D">
        <w:rPr>
          <w:rFonts w:ascii="Palatino Linotype" w:eastAsiaTheme="minorHAnsi" w:hAnsi="Palatino Linotype"/>
          <w:sz w:val="22"/>
          <w:szCs w:val="22"/>
          <w:lang w:eastAsia="en-US"/>
        </w:rPr>
        <w:t>096</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Artículo 1.-</w:t>
      </w:r>
      <w:r w:rsidRPr="00EA337F">
        <w:rPr>
          <w:rFonts w:ascii="Palatino Linotype" w:hAnsi="Palatino Linotype" w:cs="Arial"/>
          <w:sz w:val="22"/>
          <w:szCs w:val="22"/>
        </w:rPr>
        <w:t xml:space="preserve"> Autorizar la subdivisión del predio </w:t>
      </w:r>
      <w:r w:rsidR="000E121C" w:rsidRPr="00EA337F">
        <w:rPr>
          <w:rStyle w:val="markedcontent"/>
          <w:rFonts w:ascii="Palatino Linotype" w:hAnsi="Palatino Linotype" w:cs="Arial"/>
          <w:sz w:val="22"/>
          <w:szCs w:val="22"/>
        </w:rPr>
        <w:t>390030</w:t>
      </w:r>
      <w:r w:rsidRPr="00EA337F">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F6236F" w:rsidRPr="00EA337F">
        <w:rPr>
          <w:rFonts w:ascii="Palatino Linotype" w:hAnsi="Palatino Linotype" w:cs="Arial"/>
          <w:sz w:val="22"/>
          <w:szCs w:val="22"/>
        </w:rPr>
        <w:t>1</w:t>
      </w:r>
      <w:r w:rsidR="000E121C" w:rsidRPr="00EA337F">
        <w:rPr>
          <w:rFonts w:ascii="Palatino Linotype" w:hAnsi="Palatino Linotype"/>
          <w:sz w:val="22"/>
          <w:szCs w:val="22"/>
        </w:rPr>
        <w:t>7230-2017-13369</w:t>
      </w:r>
      <w:r w:rsidRPr="00EA337F">
        <w:rPr>
          <w:rFonts w:ascii="Palatino Linotype" w:hAnsi="Palatino Linotype" w:cs="Arial"/>
          <w:sz w:val="22"/>
          <w:szCs w:val="22"/>
        </w:rPr>
        <w:t>, mediante la cual la J</w:t>
      </w:r>
      <w:r w:rsidR="0085785D">
        <w:rPr>
          <w:rFonts w:ascii="Palatino Linotype" w:hAnsi="Palatino Linotype" w:cs="Arial"/>
          <w:sz w:val="22"/>
          <w:szCs w:val="22"/>
        </w:rPr>
        <w:t>ueza de la Unidad Judicial Civil</w:t>
      </w:r>
      <w:r w:rsidR="00B11232">
        <w:rPr>
          <w:rFonts w:ascii="Palatino Linotype" w:hAnsi="Palatino Linotype" w:cs="Arial"/>
          <w:sz w:val="22"/>
          <w:szCs w:val="22"/>
        </w:rPr>
        <w:t xml:space="preserve"> con sede en la parroquia Iñaquito del Distrito Metropolitano de Quito</w:t>
      </w:r>
      <w:bookmarkStart w:id="0" w:name="_GoBack"/>
      <w:bookmarkEnd w:id="0"/>
      <w:r w:rsidRPr="00EA337F">
        <w:rPr>
          <w:rFonts w:ascii="Palatino Linotype" w:hAnsi="Palatino Linotype" w:cs="Arial"/>
          <w:sz w:val="22"/>
          <w:szCs w:val="22"/>
        </w:rPr>
        <w:t>, acepta la demanda y declara la Prescripción Extraordinaria Adquisitiva de Do</w:t>
      </w:r>
      <w:r w:rsidR="00633AF6" w:rsidRPr="00EA337F">
        <w:rPr>
          <w:rFonts w:ascii="Palatino Linotype" w:hAnsi="Palatino Linotype" w:cs="Arial"/>
          <w:sz w:val="22"/>
          <w:szCs w:val="22"/>
        </w:rPr>
        <w:t>minio que ha operado a favor de</w:t>
      </w:r>
      <w:r w:rsidR="0069355C">
        <w:rPr>
          <w:rFonts w:ascii="Palatino Linotype" w:hAnsi="Palatino Linotype" w:cs="Arial"/>
          <w:sz w:val="22"/>
          <w:szCs w:val="22"/>
        </w:rPr>
        <w:t xml:space="preserve"> </w:t>
      </w:r>
      <w:r w:rsidR="00633AF6" w:rsidRPr="00EA337F">
        <w:rPr>
          <w:rFonts w:ascii="Palatino Linotype" w:hAnsi="Palatino Linotype" w:cs="Arial"/>
          <w:sz w:val="22"/>
          <w:szCs w:val="22"/>
        </w:rPr>
        <w:t>l</w:t>
      </w:r>
      <w:r w:rsidR="0069355C">
        <w:rPr>
          <w:rFonts w:ascii="Palatino Linotype" w:hAnsi="Palatino Linotype" w:cs="Arial"/>
          <w:sz w:val="22"/>
          <w:szCs w:val="22"/>
        </w:rPr>
        <w:t>a</w:t>
      </w:r>
      <w:r w:rsidR="00633AF6" w:rsidRPr="00EA337F">
        <w:rPr>
          <w:rFonts w:ascii="Palatino Linotype" w:hAnsi="Palatino Linotype" w:cs="Arial"/>
          <w:sz w:val="22"/>
          <w:szCs w:val="22"/>
        </w:rPr>
        <w:t xml:space="preserve"> Sr</w:t>
      </w:r>
      <w:r w:rsidR="0069355C">
        <w:rPr>
          <w:rFonts w:ascii="Palatino Linotype" w:hAnsi="Palatino Linotype" w:cs="Arial"/>
          <w:sz w:val="22"/>
          <w:szCs w:val="22"/>
        </w:rPr>
        <w:t>a</w:t>
      </w:r>
      <w:r w:rsidRPr="00EA337F">
        <w:rPr>
          <w:rFonts w:ascii="Palatino Linotype" w:hAnsi="Palatino Linotype" w:cs="Arial"/>
          <w:sz w:val="22"/>
          <w:szCs w:val="22"/>
        </w:rPr>
        <w:t xml:space="preserve">. </w:t>
      </w:r>
      <w:r w:rsidR="0069355C">
        <w:rPr>
          <w:rFonts w:ascii="Palatino Linotype" w:hAnsi="Palatino Linotype" w:cs="Arial"/>
          <w:sz w:val="22"/>
          <w:szCs w:val="22"/>
        </w:rPr>
        <w:t>Gloria teresa Ramírez</w:t>
      </w:r>
      <w:r w:rsidRPr="00EA337F">
        <w:rPr>
          <w:rFonts w:ascii="Palatino Linotype" w:hAnsi="Palatino Linotype" w:cs="Arial"/>
          <w:sz w:val="22"/>
          <w:szCs w:val="22"/>
        </w:rPr>
        <w:t xml:space="preserve">, por una superficie de </w:t>
      </w:r>
      <w:r w:rsidR="00330DF1">
        <w:rPr>
          <w:rStyle w:val="markedcontent"/>
          <w:rFonts w:ascii="Palatino Linotype" w:hAnsi="Palatino Linotype" w:cs="Arial"/>
          <w:sz w:val="22"/>
          <w:szCs w:val="22"/>
        </w:rPr>
        <w:t>192.36</w:t>
      </w:r>
      <w:r w:rsidR="002F2CCA" w:rsidRPr="00EA337F">
        <w:rPr>
          <w:rFonts w:ascii="Palatino Linotype" w:hAnsi="Palatino Linotype"/>
          <w:sz w:val="22"/>
          <w:szCs w:val="22"/>
        </w:rPr>
        <w:t xml:space="preserve"> m2</w:t>
      </w:r>
      <w:r w:rsidRPr="00EA337F">
        <w:rPr>
          <w:rFonts w:ascii="Palatino Linotype" w:hAnsi="Palatino Linotype" w:cs="Arial"/>
          <w:sz w:val="22"/>
          <w:szCs w:val="22"/>
        </w:rPr>
        <w:t xml:space="preserve">. </w:t>
      </w: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sz w:val="22"/>
          <w:szCs w:val="22"/>
        </w:rPr>
        <w:t xml:space="preserve">De conformidad con lo dispuesto en el artículo 2266.160 del Código Municipal para el Distrito Metropolitano de Quito, </w:t>
      </w:r>
      <w:r w:rsidR="00B11232" w:rsidRPr="00EA337F">
        <w:rPr>
          <w:rFonts w:ascii="Palatino Linotype" w:hAnsi="Palatino Linotype" w:cs="Arial"/>
          <w:sz w:val="22"/>
          <w:szCs w:val="22"/>
        </w:rPr>
        <w:t>l</w:t>
      </w:r>
      <w:r w:rsidR="00B11232">
        <w:rPr>
          <w:rFonts w:ascii="Palatino Linotype" w:hAnsi="Palatino Linotype" w:cs="Arial"/>
          <w:sz w:val="22"/>
          <w:szCs w:val="22"/>
        </w:rPr>
        <w:t>a</w:t>
      </w:r>
      <w:r w:rsidR="00B11232" w:rsidRPr="00EA337F">
        <w:rPr>
          <w:rFonts w:ascii="Palatino Linotype" w:hAnsi="Palatino Linotype" w:cs="Arial"/>
          <w:sz w:val="22"/>
          <w:szCs w:val="22"/>
        </w:rPr>
        <w:t xml:space="preserve"> Sr</w:t>
      </w:r>
      <w:r w:rsidR="00B11232">
        <w:rPr>
          <w:rFonts w:ascii="Palatino Linotype" w:hAnsi="Palatino Linotype" w:cs="Arial"/>
          <w:sz w:val="22"/>
          <w:szCs w:val="22"/>
        </w:rPr>
        <w:t>a</w:t>
      </w:r>
      <w:r w:rsidR="00B11232" w:rsidRPr="00EA337F">
        <w:rPr>
          <w:rFonts w:ascii="Palatino Linotype" w:hAnsi="Palatino Linotype" w:cs="Arial"/>
          <w:sz w:val="22"/>
          <w:szCs w:val="22"/>
        </w:rPr>
        <w:t xml:space="preserve">. </w:t>
      </w:r>
      <w:r w:rsidR="00B11232">
        <w:rPr>
          <w:rFonts w:ascii="Palatino Linotype" w:hAnsi="Palatino Linotype" w:cs="Arial"/>
          <w:sz w:val="22"/>
          <w:szCs w:val="22"/>
        </w:rPr>
        <w:t>Gloria teresa Ramírez</w:t>
      </w:r>
      <w:r w:rsidRPr="00EA337F">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lastRenderedPageBreak/>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B6" w:rsidRDefault="00173AB6">
      <w:r>
        <w:separator/>
      </w:r>
    </w:p>
  </w:endnote>
  <w:endnote w:type="continuationSeparator" w:id="0">
    <w:p w:rsidR="00173AB6" w:rsidRDefault="0017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11232">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11232">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173AB6">
            <w:pPr>
              <w:pStyle w:val="Piedepgina"/>
              <w:jc w:val="right"/>
              <w:rPr>
                <w:rFonts w:ascii="Palatino Linotype" w:hAnsi="Palatino Linotype"/>
                <w:sz w:val="20"/>
                <w:szCs w:val="20"/>
              </w:rPr>
            </w:pPr>
          </w:p>
        </w:sdtContent>
      </w:sdt>
    </w:sdtContent>
  </w:sdt>
  <w:p w:rsidR="005D2467" w:rsidRPr="008479FB" w:rsidRDefault="00173AB6">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B6" w:rsidRDefault="00173AB6">
      <w:r>
        <w:separator/>
      </w:r>
    </w:p>
  </w:footnote>
  <w:footnote w:type="continuationSeparator" w:id="0">
    <w:p w:rsidR="00173AB6" w:rsidRDefault="00173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173AB6"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173AB6"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173A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3BE7"/>
    <w:rsid w:val="00035E6C"/>
    <w:rsid w:val="0004203F"/>
    <w:rsid w:val="00063D30"/>
    <w:rsid w:val="00067AEE"/>
    <w:rsid w:val="0008033C"/>
    <w:rsid w:val="00090E26"/>
    <w:rsid w:val="000944D7"/>
    <w:rsid w:val="000A17A7"/>
    <w:rsid w:val="000A6FF4"/>
    <w:rsid w:val="000A70A0"/>
    <w:rsid w:val="000B4CF2"/>
    <w:rsid w:val="000E121C"/>
    <w:rsid w:val="000E205E"/>
    <w:rsid w:val="00115787"/>
    <w:rsid w:val="0013405F"/>
    <w:rsid w:val="00144F8A"/>
    <w:rsid w:val="00157AA6"/>
    <w:rsid w:val="00173AB6"/>
    <w:rsid w:val="0017481B"/>
    <w:rsid w:val="00196A9B"/>
    <w:rsid w:val="001A17A7"/>
    <w:rsid w:val="001A2E60"/>
    <w:rsid w:val="001A5724"/>
    <w:rsid w:val="001B2FFD"/>
    <w:rsid w:val="001C1FC7"/>
    <w:rsid w:val="001C7456"/>
    <w:rsid w:val="001F679D"/>
    <w:rsid w:val="001F733D"/>
    <w:rsid w:val="00224DF1"/>
    <w:rsid w:val="00236DB4"/>
    <w:rsid w:val="0024403E"/>
    <w:rsid w:val="00245D20"/>
    <w:rsid w:val="00252078"/>
    <w:rsid w:val="00253AA5"/>
    <w:rsid w:val="0026215F"/>
    <w:rsid w:val="00264155"/>
    <w:rsid w:val="00296140"/>
    <w:rsid w:val="00296D2E"/>
    <w:rsid w:val="002D4C5C"/>
    <w:rsid w:val="002E4C52"/>
    <w:rsid w:val="002F2CCA"/>
    <w:rsid w:val="002F7AF5"/>
    <w:rsid w:val="00306191"/>
    <w:rsid w:val="00313677"/>
    <w:rsid w:val="0032706F"/>
    <w:rsid w:val="00330DF1"/>
    <w:rsid w:val="00336073"/>
    <w:rsid w:val="00345885"/>
    <w:rsid w:val="00360B0F"/>
    <w:rsid w:val="003A3AD1"/>
    <w:rsid w:val="003E3BAD"/>
    <w:rsid w:val="004014CA"/>
    <w:rsid w:val="00406F51"/>
    <w:rsid w:val="0042799B"/>
    <w:rsid w:val="004336C0"/>
    <w:rsid w:val="00445381"/>
    <w:rsid w:val="004608D0"/>
    <w:rsid w:val="00470AD9"/>
    <w:rsid w:val="00481F59"/>
    <w:rsid w:val="00495B8D"/>
    <w:rsid w:val="004B008D"/>
    <w:rsid w:val="004B2063"/>
    <w:rsid w:val="004B6640"/>
    <w:rsid w:val="004C3143"/>
    <w:rsid w:val="004C50EC"/>
    <w:rsid w:val="004E2C3F"/>
    <w:rsid w:val="004F5036"/>
    <w:rsid w:val="00511047"/>
    <w:rsid w:val="00532857"/>
    <w:rsid w:val="00552CDD"/>
    <w:rsid w:val="00570A9B"/>
    <w:rsid w:val="005720AF"/>
    <w:rsid w:val="005A0BB9"/>
    <w:rsid w:val="005A6B15"/>
    <w:rsid w:val="005B6971"/>
    <w:rsid w:val="005B7C5B"/>
    <w:rsid w:val="005C6371"/>
    <w:rsid w:val="005C733B"/>
    <w:rsid w:val="005D1661"/>
    <w:rsid w:val="005D3837"/>
    <w:rsid w:val="005D5471"/>
    <w:rsid w:val="005F36E3"/>
    <w:rsid w:val="00606C06"/>
    <w:rsid w:val="00617C1E"/>
    <w:rsid w:val="00633AF6"/>
    <w:rsid w:val="00636664"/>
    <w:rsid w:val="0065254C"/>
    <w:rsid w:val="00657379"/>
    <w:rsid w:val="00673059"/>
    <w:rsid w:val="00677109"/>
    <w:rsid w:val="00687C0C"/>
    <w:rsid w:val="0069355C"/>
    <w:rsid w:val="00694141"/>
    <w:rsid w:val="006A6DA4"/>
    <w:rsid w:val="006B5C3E"/>
    <w:rsid w:val="006C76D0"/>
    <w:rsid w:val="006E179D"/>
    <w:rsid w:val="006E34DC"/>
    <w:rsid w:val="007066B6"/>
    <w:rsid w:val="0071609F"/>
    <w:rsid w:val="007315B0"/>
    <w:rsid w:val="00740EE8"/>
    <w:rsid w:val="00745751"/>
    <w:rsid w:val="007500BA"/>
    <w:rsid w:val="00751D1C"/>
    <w:rsid w:val="00755448"/>
    <w:rsid w:val="00757091"/>
    <w:rsid w:val="007B4D6C"/>
    <w:rsid w:val="007C3147"/>
    <w:rsid w:val="007D2680"/>
    <w:rsid w:val="007D2D4F"/>
    <w:rsid w:val="007E60E9"/>
    <w:rsid w:val="007E7600"/>
    <w:rsid w:val="008044F7"/>
    <w:rsid w:val="0081380B"/>
    <w:rsid w:val="0082482D"/>
    <w:rsid w:val="00832D35"/>
    <w:rsid w:val="00854CBC"/>
    <w:rsid w:val="00855B0B"/>
    <w:rsid w:val="0085785D"/>
    <w:rsid w:val="00862F11"/>
    <w:rsid w:val="0087756E"/>
    <w:rsid w:val="008824CB"/>
    <w:rsid w:val="008834D1"/>
    <w:rsid w:val="00893065"/>
    <w:rsid w:val="00893F13"/>
    <w:rsid w:val="008A3F72"/>
    <w:rsid w:val="008B4153"/>
    <w:rsid w:val="00907185"/>
    <w:rsid w:val="0093701E"/>
    <w:rsid w:val="00942032"/>
    <w:rsid w:val="00953717"/>
    <w:rsid w:val="0096109F"/>
    <w:rsid w:val="00962351"/>
    <w:rsid w:val="00963316"/>
    <w:rsid w:val="0097359A"/>
    <w:rsid w:val="00974876"/>
    <w:rsid w:val="00983736"/>
    <w:rsid w:val="0098647F"/>
    <w:rsid w:val="00993181"/>
    <w:rsid w:val="0099372E"/>
    <w:rsid w:val="0099702E"/>
    <w:rsid w:val="009C157E"/>
    <w:rsid w:val="009E1D0C"/>
    <w:rsid w:val="009F6F24"/>
    <w:rsid w:val="00A138C7"/>
    <w:rsid w:val="00A23206"/>
    <w:rsid w:val="00A35D24"/>
    <w:rsid w:val="00A42FBD"/>
    <w:rsid w:val="00A43830"/>
    <w:rsid w:val="00A45C33"/>
    <w:rsid w:val="00A47D5C"/>
    <w:rsid w:val="00A55032"/>
    <w:rsid w:val="00A56888"/>
    <w:rsid w:val="00A60EBB"/>
    <w:rsid w:val="00A62AFE"/>
    <w:rsid w:val="00A654D7"/>
    <w:rsid w:val="00A66C89"/>
    <w:rsid w:val="00A76A16"/>
    <w:rsid w:val="00AA23EE"/>
    <w:rsid w:val="00AA2620"/>
    <w:rsid w:val="00AC0982"/>
    <w:rsid w:val="00AC4B2C"/>
    <w:rsid w:val="00AD0CAC"/>
    <w:rsid w:val="00AD1557"/>
    <w:rsid w:val="00AD57B3"/>
    <w:rsid w:val="00AD767B"/>
    <w:rsid w:val="00AE18B4"/>
    <w:rsid w:val="00AE1F80"/>
    <w:rsid w:val="00AE5F25"/>
    <w:rsid w:val="00B007F0"/>
    <w:rsid w:val="00B0169E"/>
    <w:rsid w:val="00B11232"/>
    <w:rsid w:val="00B27543"/>
    <w:rsid w:val="00B35D39"/>
    <w:rsid w:val="00B418BF"/>
    <w:rsid w:val="00B46254"/>
    <w:rsid w:val="00B5446C"/>
    <w:rsid w:val="00B706B2"/>
    <w:rsid w:val="00B748ED"/>
    <w:rsid w:val="00B84C96"/>
    <w:rsid w:val="00B91225"/>
    <w:rsid w:val="00B91A16"/>
    <w:rsid w:val="00B9672E"/>
    <w:rsid w:val="00BA3CE3"/>
    <w:rsid w:val="00BA63E5"/>
    <w:rsid w:val="00BD292F"/>
    <w:rsid w:val="00BF4249"/>
    <w:rsid w:val="00C145B0"/>
    <w:rsid w:val="00C2568C"/>
    <w:rsid w:val="00C31C0C"/>
    <w:rsid w:val="00C4735F"/>
    <w:rsid w:val="00C61D8D"/>
    <w:rsid w:val="00C7771D"/>
    <w:rsid w:val="00C82C59"/>
    <w:rsid w:val="00C926A0"/>
    <w:rsid w:val="00CB1FAE"/>
    <w:rsid w:val="00CB5779"/>
    <w:rsid w:val="00CF05C8"/>
    <w:rsid w:val="00CF748D"/>
    <w:rsid w:val="00D1552F"/>
    <w:rsid w:val="00D23C29"/>
    <w:rsid w:val="00D4445E"/>
    <w:rsid w:val="00D5311D"/>
    <w:rsid w:val="00D57722"/>
    <w:rsid w:val="00D64A4C"/>
    <w:rsid w:val="00D766E8"/>
    <w:rsid w:val="00D86EE7"/>
    <w:rsid w:val="00DA4995"/>
    <w:rsid w:val="00DB552C"/>
    <w:rsid w:val="00DC5625"/>
    <w:rsid w:val="00DD0991"/>
    <w:rsid w:val="00DF0B4F"/>
    <w:rsid w:val="00E02AE3"/>
    <w:rsid w:val="00E22628"/>
    <w:rsid w:val="00E332EA"/>
    <w:rsid w:val="00E41B4B"/>
    <w:rsid w:val="00E5406F"/>
    <w:rsid w:val="00E81779"/>
    <w:rsid w:val="00E84326"/>
    <w:rsid w:val="00E97A2B"/>
    <w:rsid w:val="00EA337F"/>
    <w:rsid w:val="00EA5D12"/>
    <w:rsid w:val="00EC6091"/>
    <w:rsid w:val="00EE29E7"/>
    <w:rsid w:val="00EE4C7B"/>
    <w:rsid w:val="00EF6F62"/>
    <w:rsid w:val="00F073C7"/>
    <w:rsid w:val="00F33C5B"/>
    <w:rsid w:val="00F5205A"/>
    <w:rsid w:val="00F6236F"/>
    <w:rsid w:val="00F64624"/>
    <w:rsid w:val="00F935A1"/>
    <w:rsid w:val="00F950D9"/>
    <w:rsid w:val="00FA7F92"/>
    <w:rsid w:val="00FB0381"/>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DB99"/>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2493</Words>
  <Characters>13841</Characters>
  <Application>Microsoft Office Word</Application>
  <DocSecurity>0</DocSecurity>
  <Lines>300</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385</cp:revision>
  <dcterms:created xsi:type="dcterms:W3CDTF">2021-03-30T15:44:00Z</dcterms:created>
  <dcterms:modified xsi:type="dcterms:W3CDTF">2023-04-10T15:20:00Z</dcterms:modified>
</cp:coreProperties>
</file>