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A0BFE" w14:textId="72867D61" w:rsidR="004F2FCF" w:rsidRPr="006369AA" w:rsidRDefault="004F2FCF" w:rsidP="00415CF3">
      <w:pPr>
        <w:spacing w:after="120" w:line="276" w:lineRule="auto"/>
        <w:jc w:val="center"/>
        <w:outlineLvl w:val="0"/>
        <w:rPr>
          <w:rFonts w:ascii="Palatino Linotype" w:hAnsi="Palatino Linotype"/>
          <w:b/>
          <w:color w:val="000000" w:themeColor="text1"/>
          <w:lang w:val="es-ES_tradnl"/>
        </w:rPr>
      </w:pPr>
      <w:r w:rsidRPr="006369AA">
        <w:rPr>
          <w:rFonts w:ascii="Palatino Linotype" w:hAnsi="Palatino Linotype"/>
          <w:b/>
          <w:color w:val="000000" w:themeColor="text1"/>
          <w:lang w:val="es-ES_tradnl"/>
        </w:rPr>
        <w:t>EXPOSICIÓN DE MOTIVOS</w:t>
      </w:r>
    </w:p>
    <w:p w14:paraId="281A4013" w14:textId="77777777" w:rsidR="006369AA" w:rsidRPr="006369AA" w:rsidRDefault="006369AA" w:rsidP="006369AA">
      <w:pPr>
        <w:autoSpaceDE w:val="0"/>
        <w:autoSpaceDN w:val="0"/>
        <w:adjustRightInd w:val="0"/>
        <w:spacing w:after="0" w:line="240" w:lineRule="auto"/>
        <w:jc w:val="both"/>
        <w:rPr>
          <w:rFonts w:ascii="Palatino Linotype" w:hAnsi="Palatino Linotype" w:cstheme="minorHAnsi"/>
        </w:rPr>
      </w:pPr>
    </w:p>
    <w:p w14:paraId="33AC9751" w14:textId="7185765A" w:rsidR="006369AA" w:rsidRPr="006369AA" w:rsidRDefault="006369AA" w:rsidP="006369AA">
      <w:pPr>
        <w:autoSpaceDE w:val="0"/>
        <w:autoSpaceDN w:val="0"/>
        <w:adjustRightInd w:val="0"/>
        <w:spacing w:after="0" w:line="240" w:lineRule="auto"/>
        <w:jc w:val="both"/>
        <w:rPr>
          <w:rFonts w:ascii="Palatino Linotype" w:hAnsi="Palatino Linotype" w:cstheme="minorHAnsi"/>
          <w:i/>
          <w:iCs/>
        </w:rPr>
      </w:pPr>
      <w:r w:rsidRPr="006369AA">
        <w:rPr>
          <w:rFonts w:ascii="Palatino Linotype" w:hAnsi="Palatino Linotype" w:cstheme="minorHAnsi"/>
        </w:rPr>
        <w:t xml:space="preserve">La CODIFICACIÓN DEL CÓDIGO MUNICIPAL PARA EL DISTRITO METROPOLITANO DE QUITO, establece en la SECCIÓN II, DE LA DECLARACIÓN DE ZONA ESPECIAL TURÍSTICA. Artículo 1354.- </w:t>
      </w:r>
      <w:r w:rsidRPr="006369AA">
        <w:rPr>
          <w:rFonts w:ascii="Palatino Linotype" w:hAnsi="Palatino Linotype" w:cstheme="minorHAnsi"/>
          <w:i/>
          <w:iCs/>
        </w:rPr>
        <w:t>“Declárese a la zona denominada “La Mariscal” como Zona Especial Turística, para efectos de fomento,</w:t>
      </w:r>
      <w:r w:rsidRPr="006369AA">
        <w:rPr>
          <w:rFonts w:ascii="Palatino Linotype" w:hAnsi="Palatino Linotype" w:cstheme="minorHAnsi"/>
        </w:rPr>
        <w:t xml:space="preserve"> </w:t>
      </w:r>
      <w:r w:rsidRPr="006369AA">
        <w:rPr>
          <w:rFonts w:ascii="Palatino Linotype" w:hAnsi="Palatino Linotype" w:cstheme="minorHAnsi"/>
          <w:i/>
          <w:iCs/>
        </w:rPr>
        <w:t>desarrollo y promoción de la actividad turística. El sector de “La Mariscal” se encuentra comprendido dentro</w:t>
      </w:r>
      <w:r w:rsidRPr="006369AA">
        <w:rPr>
          <w:rFonts w:ascii="Palatino Linotype" w:hAnsi="Palatino Linotype" w:cstheme="minorHAnsi"/>
        </w:rPr>
        <w:t xml:space="preserve"> </w:t>
      </w:r>
      <w:r w:rsidRPr="006369AA">
        <w:rPr>
          <w:rFonts w:ascii="Palatino Linotype" w:hAnsi="Palatino Linotype" w:cstheme="minorHAnsi"/>
          <w:i/>
          <w:iCs/>
        </w:rPr>
        <w:t>de la siguiente delimitación: Por el Norte: Avenida Orellana; por el Sur: Avenida Patria; por el Occidente:</w:t>
      </w:r>
      <w:r w:rsidRPr="006369AA">
        <w:rPr>
          <w:rFonts w:ascii="Palatino Linotype" w:hAnsi="Palatino Linotype" w:cstheme="minorHAnsi"/>
        </w:rPr>
        <w:t xml:space="preserve"> </w:t>
      </w:r>
      <w:r w:rsidRPr="006369AA">
        <w:rPr>
          <w:rFonts w:ascii="Palatino Linotype" w:hAnsi="Palatino Linotype" w:cstheme="minorHAnsi"/>
          <w:i/>
          <w:iCs/>
        </w:rPr>
        <w:t>Avenida 10 de Agosto; y, por el Oriente: Calles Isabel La Católica y Alfredo Mena Caamaño y Avenida 12 de</w:t>
      </w:r>
      <w:r w:rsidRPr="006369AA">
        <w:rPr>
          <w:rFonts w:ascii="Palatino Linotype" w:hAnsi="Palatino Linotype" w:cstheme="minorHAnsi"/>
        </w:rPr>
        <w:t xml:space="preserve"> </w:t>
      </w:r>
      <w:r w:rsidRPr="006369AA">
        <w:rPr>
          <w:rFonts w:ascii="Palatino Linotype" w:hAnsi="Palatino Linotype" w:cstheme="minorHAnsi"/>
          <w:i/>
          <w:iCs/>
        </w:rPr>
        <w:t>Octubre. Se incluyen dentro de la zona delimitada, los predios ubicados en ambos frentes de las calles o</w:t>
      </w:r>
      <w:r w:rsidRPr="006369AA">
        <w:rPr>
          <w:rFonts w:ascii="Palatino Linotype" w:hAnsi="Palatino Linotype" w:cstheme="minorHAnsi"/>
        </w:rPr>
        <w:t xml:space="preserve"> </w:t>
      </w:r>
      <w:r w:rsidRPr="006369AA">
        <w:rPr>
          <w:rFonts w:ascii="Palatino Linotype" w:hAnsi="Palatino Linotype" w:cstheme="minorHAnsi"/>
          <w:i/>
          <w:iCs/>
        </w:rPr>
        <w:t>avenidas limitantes”.</w:t>
      </w:r>
    </w:p>
    <w:p w14:paraId="7F35C168" w14:textId="77777777" w:rsidR="006369AA" w:rsidRPr="006369AA" w:rsidRDefault="006369AA" w:rsidP="006369AA">
      <w:pPr>
        <w:tabs>
          <w:tab w:val="right" w:pos="9026"/>
        </w:tabs>
        <w:jc w:val="both"/>
        <w:rPr>
          <w:rFonts w:ascii="Palatino Linotype" w:hAnsi="Palatino Linotype" w:cstheme="minorHAnsi"/>
        </w:rPr>
      </w:pPr>
      <w:r w:rsidRPr="006369AA">
        <w:rPr>
          <w:rFonts w:ascii="Palatino Linotype" w:hAnsi="Palatino Linotype" w:cstheme="minorHAnsi"/>
        </w:rPr>
        <w:br/>
        <w:t>Los indicadores económicos de la ciudad, a raíz de la pandemia se deterioraron de manera abrupta. Según el Instituto Nacional de Estadística y Censos (INEC), la tasa de pobreza por ingresos a nivel nacional subió de 21,9% de la población en 2019 a 28,8% en 2021. Para 2020 no existen datos anuales, ya que en ese año no se pudieron llevar a cabo todas las encuestas como consecuencia de la pandemia. La pobreza extrema, por su parte, pasó de 7,6% en 2019 a 10,3% en 2021. Entre ambos años también hubo un deterioro en el Coeficiente de Gini, que se utiliza para medir la desigualdad. Mientras el valor de ese coeﬁciente, que puede estar entre 0 y 1, se acerca más a 0, entonces la distribución de la riqueza es mejor; si el indicador se acerca más a 1, es reflejo de una mayor concentración de la riqueza (Agenda de Competitividad, 2022).</w:t>
      </w:r>
    </w:p>
    <w:p w14:paraId="4C49C1D2" w14:textId="77777777" w:rsidR="006369AA" w:rsidRPr="006369AA" w:rsidRDefault="006369AA" w:rsidP="006369AA">
      <w:pPr>
        <w:tabs>
          <w:tab w:val="right" w:pos="9026"/>
        </w:tabs>
        <w:jc w:val="both"/>
        <w:rPr>
          <w:rFonts w:ascii="Palatino Linotype" w:hAnsi="Palatino Linotype" w:cstheme="minorHAnsi"/>
        </w:rPr>
      </w:pPr>
      <w:r w:rsidRPr="006369AA">
        <w:rPr>
          <w:rFonts w:ascii="Palatino Linotype" w:hAnsi="Palatino Linotype" w:cstheme="minorHAnsi"/>
        </w:rPr>
        <w:t>Respecto a los indicadores laborales, desde el 2018 Quito sufrió un impacto sobre su tasa, por ejemplo, en lo que respecta a empleo adecuado cayó de 59,7% a 55,5%. Entre las cinco ciudades para las cuales el INEC presenta información, solo Quito y Ambato mostraron una caída en la tasa de empleo adecuado entre 2018 y 2019, mientras que en Guayaquil, Cuenca y Machala la tasa aumentó (Instituto Nacional de Estadística y Censos, 2022). La caída en Quito puede deberse al proceso de ajuste fiscal que inició en 2019 y que implicó la salida de varias personas del sector público (Agenda de Competitividad, 2022).</w:t>
      </w:r>
    </w:p>
    <w:p w14:paraId="449D65B0" w14:textId="77777777" w:rsidR="006369AA" w:rsidRPr="006369AA" w:rsidRDefault="006369AA" w:rsidP="006369AA">
      <w:pPr>
        <w:tabs>
          <w:tab w:val="right" w:pos="9026"/>
        </w:tabs>
        <w:jc w:val="center"/>
        <w:rPr>
          <w:rFonts w:ascii="Palatino Linotype" w:hAnsi="Palatino Linotype" w:cstheme="minorHAnsi"/>
          <w:b/>
          <w:bCs/>
        </w:rPr>
      </w:pPr>
      <w:r w:rsidRPr="006369AA">
        <w:rPr>
          <w:rFonts w:ascii="Palatino Linotype" w:hAnsi="Palatino Linotype" w:cstheme="minorHAnsi"/>
          <w:b/>
          <w:bCs/>
        </w:rPr>
        <w:t>Indicadores laborales anuales (2018,2019,2021)</w:t>
      </w:r>
    </w:p>
    <w:tbl>
      <w:tblPr>
        <w:tblW w:w="5000" w:type="pct"/>
        <w:tblCellMar>
          <w:left w:w="70" w:type="dxa"/>
          <w:right w:w="70" w:type="dxa"/>
        </w:tblCellMar>
        <w:tblLook w:val="04A0" w:firstRow="1" w:lastRow="0" w:firstColumn="1" w:lastColumn="0" w:noHBand="0" w:noVBand="1"/>
      </w:tblPr>
      <w:tblGrid>
        <w:gridCol w:w="1475"/>
        <w:gridCol w:w="515"/>
        <w:gridCol w:w="913"/>
        <w:gridCol w:w="787"/>
        <w:gridCol w:w="627"/>
        <w:gridCol w:w="641"/>
        <w:gridCol w:w="1059"/>
        <w:gridCol w:w="777"/>
        <w:gridCol w:w="871"/>
        <w:gridCol w:w="829"/>
      </w:tblGrid>
      <w:tr w:rsidR="006369AA" w:rsidRPr="006369AA" w14:paraId="3D6C1F02" w14:textId="77777777" w:rsidTr="00C671A0">
        <w:trPr>
          <w:trHeight w:val="300"/>
        </w:trPr>
        <w:tc>
          <w:tcPr>
            <w:tcW w:w="760"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552E6F4"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Indicadores</w:t>
            </w:r>
          </w:p>
        </w:tc>
        <w:tc>
          <w:tcPr>
            <w:tcW w:w="456"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8730C90"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Año</w:t>
            </w:r>
          </w:p>
        </w:tc>
        <w:tc>
          <w:tcPr>
            <w:tcW w:w="477" w:type="pct"/>
            <w:tcBorders>
              <w:top w:val="single" w:sz="4" w:space="0" w:color="auto"/>
              <w:left w:val="nil"/>
              <w:bottom w:val="single" w:sz="4" w:space="0" w:color="auto"/>
              <w:right w:val="single" w:sz="4" w:space="0" w:color="auto"/>
            </w:tcBorders>
            <w:shd w:val="clear" w:color="000000" w:fill="F2F2F2"/>
            <w:vAlign w:val="center"/>
            <w:hideMark/>
          </w:tcPr>
          <w:p w14:paraId="30B5B5B3"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Nacional</w:t>
            </w:r>
          </w:p>
        </w:tc>
        <w:tc>
          <w:tcPr>
            <w:tcW w:w="929" w:type="pct"/>
            <w:gridSpan w:val="2"/>
            <w:tcBorders>
              <w:top w:val="single" w:sz="4" w:space="0" w:color="auto"/>
              <w:left w:val="nil"/>
              <w:bottom w:val="single" w:sz="4" w:space="0" w:color="auto"/>
              <w:right w:val="single" w:sz="4" w:space="0" w:color="auto"/>
            </w:tcBorders>
            <w:shd w:val="clear" w:color="000000" w:fill="F2F2F2"/>
            <w:vAlign w:val="center"/>
            <w:hideMark/>
          </w:tcPr>
          <w:p w14:paraId="46084F25"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Área</w:t>
            </w:r>
          </w:p>
        </w:tc>
        <w:tc>
          <w:tcPr>
            <w:tcW w:w="2378" w:type="pct"/>
            <w:gridSpan w:val="5"/>
            <w:tcBorders>
              <w:top w:val="single" w:sz="4" w:space="0" w:color="auto"/>
              <w:left w:val="nil"/>
              <w:bottom w:val="single" w:sz="4" w:space="0" w:color="auto"/>
              <w:right w:val="single" w:sz="4" w:space="0" w:color="auto"/>
            </w:tcBorders>
            <w:shd w:val="clear" w:color="000000" w:fill="F2F2F2"/>
            <w:vAlign w:val="center"/>
            <w:hideMark/>
          </w:tcPr>
          <w:p w14:paraId="47D12458"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Ciudades</w:t>
            </w:r>
          </w:p>
        </w:tc>
      </w:tr>
      <w:tr w:rsidR="006369AA" w:rsidRPr="006369AA" w14:paraId="3E988A25" w14:textId="77777777" w:rsidTr="00C671A0">
        <w:trPr>
          <w:trHeight w:val="300"/>
        </w:trPr>
        <w:tc>
          <w:tcPr>
            <w:tcW w:w="760" w:type="pct"/>
            <w:vMerge/>
            <w:tcBorders>
              <w:top w:val="single" w:sz="4" w:space="0" w:color="auto"/>
              <w:left w:val="single" w:sz="4" w:space="0" w:color="auto"/>
              <w:bottom w:val="single" w:sz="4" w:space="0" w:color="auto"/>
              <w:right w:val="single" w:sz="4" w:space="0" w:color="auto"/>
            </w:tcBorders>
            <w:vAlign w:val="center"/>
            <w:hideMark/>
          </w:tcPr>
          <w:p w14:paraId="77EE5DCC" w14:textId="77777777" w:rsidR="006369AA" w:rsidRPr="006369AA" w:rsidRDefault="006369AA" w:rsidP="00C671A0">
            <w:pPr>
              <w:rPr>
                <w:rFonts w:ascii="Palatino Linotype" w:eastAsia="Times New Roman" w:hAnsi="Palatino Linotype" w:cstheme="minorHAnsi"/>
                <w:b/>
                <w:bCs/>
                <w:color w:val="595959"/>
                <w:lang w:eastAsia="es-EC"/>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14:paraId="0E9165A8" w14:textId="77777777" w:rsidR="006369AA" w:rsidRPr="006369AA" w:rsidRDefault="006369AA" w:rsidP="00C671A0">
            <w:pPr>
              <w:rPr>
                <w:rFonts w:ascii="Palatino Linotype" w:eastAsia="Times New Roman" w:hAnsi="Palatino Linotype" w:cstheme="minorHAnsi"/>
                <w:b/>
                <w:bCs/>
                <w:color w:val="595959"/>
                <w:lang w:eastAsia="es-EC"/>
              </w:rPr>
            </w:pPr>
          </w:p>
        </w:tc>
        <w:tc>
          <w:tcPr>
            <w:tcW w:w="477" w:type="pct"/>
            <w:tcBorders>
              <w:top w:val="nil"/>
              <w:left w:val="nil"/>
              <w:bottom w:val="single" w:sz="4" w:space="0" w:color="auto"/>
              <w:right w:val="single" w:sz="4" w:space="0" w:color="auto"/>
            </w:tcBorders>
            <w:shd w:val="clear" w:color="000000" w:fill="F2F2F2"/>
            <w:vAlign w:val="center"/>
            <w:hideMark/>
          </w:tcPr>
          <w:p w14:paraId="7AF58BF6"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Total</w:t>
            </w:r>
          </w:p>
        </w:tc>
        <w:tc>
          <w:tcPr>
            <w:tcW w:w="469" w:type="pct"/>
            <w:tcBorders>
              <w:top w:val="nil"/>
              <w:left w:val="nil"/>
              <w:bottom w:val="single" w:sz="4" w:space="0" w:color="auto"/>
              <w:right w:val="single" w:sz="4" w:space="0" w:color="auto"/>
            </w:tcBorders>
            <w:shd w:val="clear" w:color="000000" w:fill="F2F2F2"/>
            <w:vAlign w:val="center"/>
            <w:hideMark/>
          </w:tcPr>
          <w:p w14:paraId="39074378"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Urbano</w:t>
            </w:r>
          </w:p>
        </w:tc>
        <w:tc>
          <w:tcPr>
            <w:tcW w:w="460" w:type="pct"/>
            <w:tcBorders>
              <w:top w:val="nil"/>
              <w:left w:val="nil"/>
              <w:bottom w:val="single" w:sz="4" w:space="0" w:color="auto"/>
              <w:right w:val="single" w:sz="4" w:space="0" w:color="auto"/>
            </w:tcBorders>
            <w:shd w:val="clear" w:color="000000" w:fill="F2F2F2"/>
            <w:vAlign w:val="center"/>
            <w:hideMark/>
          </w:tcPr>
          <w:p w14:paraId="66B42A08"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Rural</w:t>
            </w:r>
          </w:p>
        </w:tc>
        <w:tc>
          <w:tcPr>
            <w:tcW w:w="459" w:type="pct"/>
            <w:tcBorders>
              <w:top w:val="nil"/>
              <w:left w:val="nil"/>
              <w:bottom w:val="single" w:sz="4" w:space="0" w:color="auto"/>
              <w:right w:val="single" w:sz="4" w:space="0" w:color="auto"/>
            </w:tcBorders>
            <w:shd w:val="clear" w:color="000000" w:fill="F2F2F2"/>
            <w:vAlign w:val="center"/>
            <w:hideMark/>
          </w:tcPr>
          <w:p w14:paraId="28BD7423"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Quito</w:t>
            </w:r>
          </w:p>
        </w:tc>
        <w:tc>
          <w:tcPr>
            <w:tcW w:w="507" w:type="pct"/>
            <w:tcBorders>
              <w:top w:val="nil"/>
              <w:left w:val="nil"/>
              <w:bottom w:val="single" w:sz="4" w:space="0" w:color="auto"/>
              <w:right w:val="single" w:sz="4" w:space="0" w:color="auto"/>
            </w:tcBorders>
            <w:shd w:val="clear" w:color="000000" w:fill="F2F2F2"/>
            <w:vAlign w:val="center"/>
            <w:hideMark/>
          </w:tcPr>
          <w:p w14:paraId="071D2687"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Guayaquil</w:t>
            </w:r>
          </w:p>
        </w:tc>
        <w:tc>
          <w:tcPr>
            <w:tcW w:w="470" w:type="pct"/>
            <w:tcBorders>
              <w:top w:val="nil"/>
              <w:left w:val="nil"/>
              <w:bottom w:val="single" w:sz="4" w:space="0" w:color="auto"/>
              <w:right w:val="single" w:sz="4" w:space="0" w:color="auto"/>
            </w:tcBorders>
            <w:shd w:val="clear" w:color="000000" w:fill="F2F2F2"/>
            <w:vAlign w:val="center"/>
            <w:hideMark/>
          </w:tcPr>
          <w:p w14:paraId="045BCB49"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Cuenca</w:t>
            </w:r>
          </w:p>
        </w:tc>
        <w:tc>
          <w:tcPr>
            <w:tcW w:w="473" w:type="pct"/>
            <w:tcBorders>
              <w:top w:val="nil"/>
              <w:left w:val="nil"/>
              <w:bottom w:val="single" w:sz="4" w:space="0" w:color="auto"/>
              <w:right w:val="single" w:sz="4" w:space="0" w:color="auto"/>
            </w:tcBorders>
            <w:shd w:val="clear" w:color="000000" w:fill="F2F2F2"/>
            <w:vAlign w:val="center"/>
            <w:hideMark/>
          </w:tcPr>
          <w:p w14:paraId="50925283"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Machala</w:t>
            </w:r>
          </w:p>
        </w:tc>
        <w:tc>
          <w:tcPr>
            <w:tcW w:w="470" w:type="pct"/>
            <w:tcBorders>
              <w:top w:val="nil"/>
              <w:left w:val="nil"/>
              <w:bottom w:val="single" w:sz="4" w:space="0" w:color="auto"/>
              <w:right w:val="single" w:sz="4" w:space="0" w:color="auto"/>
            </w:tcBorders>
            <w:shd w:val="clear" w:color="000000" w:fill="F2F2F2"/>
            <w:vAlign w:val="center"/>
            <w:hideMark/>
          </w:tcPr>
          <w:p w14:paraId="18743EC3"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Ambato</w:t>
            </w:r>
          </w:p>
        </w:tc>
      </w:tr>
      <w:tr w:rsidR="006369AA" w:rsidRPr="006369AA" w14:paraId="7C566EFD" w14:textId="77777777" w:rsidTr="00C671A0">
        <w:trPr>
          <w:trHeight w:val="300"/>
        </w:trPr>
        <w:tc>
          <w:tcPr>
            <w:tcW w:w="760" w:type="pct"/>
            <w:vMerge w:val="restart"/>
            <w:tcBorders>
              <w:top w:val="nil"/>
              <w:left w:val="single" w:sz="4" w:space="0" w:color="auto"/>
              <w:bottom w:val="single" w:sz="4" w:space="0" w:color="auto"/>
              <w:right w:val="single" w:sz="4" w:space="0" w:color="auto"/>
            </w:tcBorders>
            <w:shd w:val="clear" w:color="000000" w:fill="FFFFFF"/>
            <w:vAlign w:val="center"/>
            <w:hideMark/>
          </w:tcPr>
          <w:p w14:paraId="7CF875F8"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Empleo adecuado/pleno</w:t>
            </w:r>
          </w:p>
        </w:tc>
        <w:tc>
          <w:tcPr>
            <w:tcW w:w="456" w:type="pct"/>
            <w:tcBorders>
              <w:top w:val="nil"/>
              <w:left w:val="nil"/>
              <w:bottom w:val="single" w:sz="4" w:space="0" w:color="auto"/>
              <w:right w:val="single" w:sz="4" w:space="0" w:color="auto"/>
            </w:tcBorders>
            <w:shd w:val="clear" w:color="000000" w:fill="FFFFFF"/>
            <w:vAlign w:val="center"/>
            <w:hideMark/>
          </w:tcPr>
          <w:p w14:paraId="62D2A4B3" w14:textId="77777777" w:rsidR="006369AA" w:rsidRPr="006369AA" w:rsidRDefault="006369AA" w:rsidP="00C671A0">
            <w:pPr>
              <w:jc w:val="center"/>
              <w:rPr>
                <w:rFonts w:ascii="Palatino Linotype" w:eastAsia="Times New Roman" w:hAnsi="Palatino Linotype" w:cstheme="minorHAnsi"/>
                <w:color w:val="595959"/>
                <w:lang w:eastAsia="es-EC"/>
              </w:rPr>
            </w:pPr>
            <w:r w:rsidRPr="006369AA">
              <w:rPr>
                <w:rFonts w:ascii="Palatino Linotype" w:eastAsia="Times New Roman" w:hAnsi="Palatino Linotype" w:cstheme="minorHAnsi"/>
                <w:color w:val="595959"/>
                <w:lang w:eastAsia="es-EC"/>
              </w:rPr>
              <w:t>2018</w:t>
            </w:r>
          </w:p>
        </w:tc>
        <w:tc>
          <w:tcPr>
            <w:tcW w:w="477" w:type="pct"/>
            <w:tcBorders>
              <w:top w:val="nil"/>
              <w:left w:val="nil"/>
              <w:bottom w:val="single" w:sz="4" w:space="0" w:color="auto"/>
              <w:right w:val="single" w:sz="4" w:space="0" w:color="auto"/>
            </w:tcBorders>
            <w:shd w:val="clear" w:color="auto" w:fill="auto"/>
            <w:noWrap/>
            <w:vAlign w:val="center"/>
            <w:hideMark/>
          </w:tcPr>
          <w:p w14:paraId="46055FBD"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40,2%</w:t>
            </w:r>
          </w:p>
        </w:tc>
        <w:tc>
          <w:tcPr>
            <w:tcW w:w="469" w:type="pct"/>
            <w:tcBorders>
              <w:top w:val="nil"/>
              <w:left w:val="nil"/>
              <w:bottom w:val="single" w:sz="4" w:space="0" w:color="auto"/>
              <w:right w:val="single" w:sz="4" w:space="0" w:color="auto"/>
            </w:tcBorders>
            <w:shd w:val="clear" w:color="auto" w:fill="auto"/>
            <w:noWrap/>
            <w:vAlign w:val="center"/>
            <w:hideMark/>
          </w:tcPr>
          <w:p w14:paraId="5736A109"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49,3%</w:t>
            </w:r>
          </w:p>
        </w:tc>
        <w:tc>
          <w:tcPr>
            <w:tcW w:w="460" w:type="pct"/>
            <w:tcBorders>
              <w:top w:val="nil"/>
              <w:left w:val="nil"/>
              <w:bottom w:val="single" w:sz="4" w:space="0" w:color="auto"/>
              <w:right w:val="single" w:sz="4" w:space="0" w:color="auto"/>
            </w:tcBorders>
            <w:shd w:val="clear" w:color="auto" w:fill="auto"/>
            <w:noWrap/>
            <w:vAlign w:val="center"/>
            <w:hideMark/>
          </w:tcPr>
          <w:p w14:paraId="65CCCC21"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22,5%</w:t>
            </w:r>
          </w:p>
        </w:tc>
        <w:tc>
          <w:tcPr>
            <w:tcW w:w="459" w:type="pct"/>
            <w:tcBorders>
              <w:top w:val="nil"/>
              <w:left w:val="nil"/>
              <w:bottom w:val="single" w:sz="4" w:space="0" w:color="auto"/>
              <w:right w:val="single" w:sz="4" w:space="0" w:color="auto"/>
            </w:tcBorders>
            <w:shd w:val="clear" w:color="auto" w:fill="auto"/>
            <w:noWrap/>
            <w:vAlign w:val="center"/>
            <w:hideMark/>
          </w:tcPr>
          <w:p w14:paraId="7CC00379"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59,7%</w:t>
            </w:r>
          </w:p>
        </w:tc>
        <w:tc>
          <w:tcPr>
            <w:tcW w:w="507" w:type="pct"/>
            <w:tcBorders>
              <w:top w:val="nil"/>
              <w:left w:val="nil"/>
              <w:bottom w:val="single" w:sz="4" w:space="0" w:color="auto"/>
              <w:right w:val="single" w:sz="4" w:space="0" w:color="auto"/>
            </w:tcBorders>
            <w:shd w:val="clear" w:color="auto" w:fill="auto"/>
            <w:noWrap/>
            <w:vAlign w:val="center"/>
            <w:hideMark/>
          </w:tcPr>
          <w:p w14:paraId="6D5231F7"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50,7%</w:t>
            </w:r>
          </w:p>
        </w:tc>
        <w:tc>
          <w:tcPr>
            <w:tcW w:w="470" w:type="pct"/>
            <w:tcBorders>
              <w:top w:val="nil"/>
              <w:left w:val="nil"/>
              <w:bottom w:val="single" w:sz="4" w:space="0" w:color="auto"/>
              <w:right w:val="single" w:sz="4" w:space="0" w:color="auto"/>
            </w:tcBorders>
            <w:shd w:val="clear" w:color="auto" w:fill="auto"/>
            <w:noWrap/>
            <w:vAlign w:val="center"/>
            <w:hideMark/>
          </w:tcPr>
          <w:p w14:paraId="0553B80F"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61,4%</w:t>
            </w:r>
          </w:p>
        </w:tc>
        <w:tc>
          <w:tcPr>
            <w:tcW w:w="473" w:type="pct"/>
            <w:tcBorders>
              <w:top w:val="nil"/>
              <w:left w:val="nil"/>
              <w:bottom w:val="single" w:sz="4" w:space="0" w:color="auto"/>
              <w:right w:val="single" w:sz="4" w:space="0" w:color="auto"/>
            </w:tcBorders>
            <w:shd w:val="clear" w:color="auto" w:fill="auto"/>
            <w:noWrap/>
            <w:vAlign w:val="center"/>
            <w:hideMark/>
          </w:tcPr>
          <w:p w14:paraId="77C8DD81"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52,1%</w:t>
            </w:r>
          </w:p>
        </w:tc>
        <w:tc>
          <w:tcPr>
            <w:tcW w:w="470" w:type="pct"/>
            <w:tcBorders>
              <w:top w:val="nil"/>
              <w:left w:val="nil"/>
              <w:bottom w:val="single" w:sz="4" w:space="0" w:color="auto"/>
              <w:right w:val="single" w:sz="4" w:space="0" w:color="auto"/>
            </w:tcBorders>
            <w:shd w:val="clear" w:color="auto" w:fill="auto"/>
            <w:noWrap/>
            <w:vAlign w:val="center"/>
            <w:hideMark/>
          </w:tcPr>
          <w:p w14:paraId="6FE697B2"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52,4%</w:t>
            </w:r>
          </w:p>
        </w:tc>
      </w:tr>
      <w:tr w:rsidR="006369AA" w:rsidRPr="006369AA" w14:paraId="43A6C096" w14:textId="77777777" w:rsidTr="00C671A0">
        <w:trPr>
          <w:trHeight w:val="300"/>
        </w:trPr>
        <w:tc>
          <w:tcPr>
            <w:tcW w:w="760" w:type="pct"/>
            <w:vMerge/>
            <w:tcBorders>
              <w:top w:val="nil"/>
              <w:left w:val="single" w:sz="4" w:space="0" w:color="auto"/>
              <w:bottom w:val="single" w:sz="4" w:space="0" w:color="auto"/>
              <w:right w:val="single" w:sz="4" w:space="0" w:color="auto"/>
            </w:tcBorders>
            <w:vAlign w:val="center"/>
            <w:hideMark/>
          </w:tcPr>
          <w:p w14:paraId="1AECCC56" w14:textId="77777777" w:rsidR="006369AA" w:rsidRPr="006369AA" w:rsidRDefault="006369AA" w:rsidP="00C671A0">
            <w:pPr>
              <w:rPr>
                <w:rFonts w:ascii="Palatino Linotype" w:eastAsia="Times New Roman" w:hAnsi="Palatino Linotype" w:cstheme="minorHAnsi"/>
                <w:color w:val="000000"/>
                <w:lang w:eastAsia="es-EC"/>
              </w:rPr>
            </w:pPr>
          </w:p>
        </w:tc>
        <w:tc>
          <w:tcPr>
            <w:tcW w:w="456" w:type="pct"/>
            <w:tcBorders>
              <w:top w:val="nil"/>
              <w:left w:val="nil"/>
              <w:bottom w:val="single" w:sz="4" w:space="0" w:color="auto"/>
              <w:right w:val="single" w:sz="4" w:space="0" w:color="auto"/>
            </w:tcBorders>
            <w:shd w:val="clear" w:color="000000" w:fill="FFFFFF"/>
            <w:vAlign w:val="center"/>
            <w:hideMark/>
          </w:tcPr>
          <w:p w14:paraId="0967AC6D" w14:textId="77777777" w:rsidR="006369AA" w:rsidRPr="006369AA" w:rsidRDefault="006369AA" w:rsidP="00C671A0">
            <w:pPr>
              <w:jc w:val="center"/>
              <w:rPr>
                <w:rFonts w:ascii="Palatino Linotype" w:eastAsia="Times New Roman" w:hAnsi="Palatino Linotype" w:cstheme="minorHAnsi"/>
                <w:color w:val="595959"/>
                <w:lang w:eastAsia="es-EC"/>
              </w:rPr>
            </w:pPr>
            <w:r w:rsidRPr="006369AA">
              <w:rPr>
                <w:rFonts w:ascii="Palatino Linotype" w:eastAsia="Times New Roman" w:hAnsi="Palatino Linotype" w:cstheme="minorHAnsi"/>
                <w:color w:val="595959"/>
                <w:lang w:eastAsia="es-EC"/>
              </w:rPr>
              <w:t>2019</w:t>
            </w:r>
          </w:p>
        </w:tc>
        <w:tc>
          <w:tcPr>
            <w:tcW w:w="477" w:type="pct"/>
            <w:tcBorders>
              <w:top w:val="nil"/>
              <w:left w:val="nil"/>
              <w:bottom w:val="single" w:sz="4" w:space="0" w:color="auto"/>
              <w:right w:val="single" w:sz="4" w:space="0" w:color="auto"/>
            </w:tcBorders>
            <w:shd w:val="clear" w:color="auto" w:fill="auto"/>
            <w:noWrap/>
            <w:vAlign w:val="center"/>
            <w:hideMark/>
          </w:tcPr>
          <w:p w14:paraId="694E9960"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38,3%</w:t>
            </w:r>
          </w:p>
        </w:tc>
        <w:tc>
          <w:tcPr>
            <w:tcW w:w="469" w:type="pct"/>
            <w:tcBorders>
              <w:top w:val="nil"/>
              <w:left w:val="nil"/>
              <w:bottom w:val="single" w:sz="4" w:space="0" w:color="auto"/>
              <w:right w:val="single" w:sz="4" w:space="0" w:color="auto"/>
            </w:tcBorders>
            <w:shd w:val="clear" w:color="auto" w:fill="auto"/>
            <w:noWrap/>
            <w:vAlign w:val="center"/>
            <w:hideMark/>
          </w:tcPr>
          <w:p w14:paraId="075EF888"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47,4%</w:t>
            </w:r>
          </w:p>
        </w:tc>
        <w:tc>
          <w:tcPr>
            <w:tcW w:w="460" w:type="pct"/>
            <w:tcBorders>
              <w:top w:val="nil"/>
              <w:left w:val="nil"/>
              <w:bottom w:val="single" w:sz="4" w:space="0" w:color="auto"/>
              <w:right w:val="single" w:sz="4" w:space="0" w:color="auto"/>
            </w:tcBorders>
            <w:shd w:val="clear" w:color="auto" w:fill="auto"/>
            <w:noWrap/>
            <w:vAlign w:val="center"/>
            <w:hideMark/>
          </w:tcPr>
          <w:p w14:paraId="61712829"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20,9%</w:t>
            </w:r>
          </w:p>
        </w:tc>
        <w:tc>
          <w:tcPr>
            <w:tcW w:w="459" w:type="pct"/>
            <w:tcBorders>
              <w:top w:val="nil"/>
              <w:left w:val="nil"/>
              <w:bottom w:val="single" w:sz="4" w:space="0" w:color="auto"/>
              <w:right w:val="single" w:sz="4" w:space="0" w:color="auto"/>
            </w:tcBorders>
            <w:shd w:val="clear" w:color="auto" w:fill="auto"/>
            <w:noWrap/>
            <w:vAlign w:val="center"/>
            <w:hideMark/>
          </w:tcPr>
          <w:p w14:paraId="4D1E93EC"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55,5%</w:t>
            </w:r>
          </w:p>
        </w:tc>
        <w:tc>
          <w:tcPr>
            <w:tcW w:w="507" w:type="pct"/>
            <w:tcBorders>
              <w:top w:val="nil"/>
              <w:left w:val="nil"/>
              <w:bottom w:val="single" w:sz="4" w:space="0" w:color="auto"/>
              <w:right w:val="single" w:sz="4" w:space="0" w:color="auto"/>
            </w:tcBorders>
            <w:shd w:val="clear" w:color="auto" w:fill="auto"/>
            <w:noWrap/>
            <w:vAlign w:val="center"/>
            <w:hideMark/>
          </w:tcPr>
          <w:p w14:paraId="291D9536"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51,2%</w:t>
            </w:r>
          </w:p>
        </w:tc>
        <w:tc>
          <w:tcPr>
            <w:tcW w:w="470" w:type="pct"/>
            <w:tcBorders>
              <w:top w:val="nil"/>
              <w:left w:val="nil"/>
              <w:bottom w:val="single" w:sz="4" w:space="0" w:color="auto"/>
              <w:right w:val="single" w:sz="4" w:space="0" w:color="auto"/>
            </w:tcBorders>
            <w:shd w:val="clear" w:color="auto" w:fill="auto"/>
            <w:noWrap/>
            <w:vAlign w:val="center"/>
            <w:hideMark/>
          </w:tcPr>
          <w:p w14:paraId="6EF1EF3D"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64,4%</w:t>
            </w:r>
          </w:p>
        </w:tc>
        <w:tc>
          <w:tcPr>
            <w:tcW w:w="473" w:type="pct"/>
            <w:tcBorders>
              <w:top w:val="nil"/>
              <w:left w:val="nil"/>
              <w:bottom w:val="single" w:sz="4" w:space="0" w:color="auto"/>
              <w:right w:val="single" w:sz="4" w:space="0" w:color="auto"/>
            </w:tcBorders>
            <w:shd w:val="clear" w:color="auto" w:fill="auto"/>
            <w:noWrap/>
            <w:vAlign w:val="center"/>
            <w:hideMark/>
          </w:tcPr>
          <w:p w14:paraId="5273E0F5"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55,8%</w:t>
            </w:r>
          </w:p>
        </w:tc>
        <w:tc>
          <w:tcPr>
            <w:tcW w:w="470" w:type="pct"/>
            <w:tcBorders>
              <w:top w:val="nil"/>
              <w:left w:val="nil"/>
              <w:bottom w:val="single" w:sz="4" w:space="0" w:color="auto"/>
              <w:right w:val="single" w:sz="4" w:space="0" w:color="auto"/>
            </w:tcBorders>
            <w:shd w:val="clear" w:color="auto" w:fill="auto"/>
            <w:noWrap/>
            <w:vAlign w:val="center"/>
            <w:hideMark/>
          </w:tcPr>
          <w:p w14:paraId="428A0320"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49,7%</w:t>
            </w:r>
          </w:p>
        </w:tc>
      </w:tr>
      <w:tr w:rsidR="006369AA" w:rsidRPr="006369AA" w14:paraId="266DFE34" w14:textId="77777777" w:rsidTr="00C671A0">
        <w:trPr>
          <w:trHeight w:val="300"/>
        </w:trPr>
        <w:tc>
          <w:tcPr>
            <w:tcW w:w="760" w:type="pct"/>
            <w:vMerge/>
            <w:tcBorders>
              <w:top w:val="nil"/>
              <w:left w:val="single" w:sz="4" w:space="0" w:color="auto"/>
              <w:bottom w:val="single" w:sz="4" w:space="0" w:color="auto"/>
              <w:right w:val="single" w:sz="4" w:space="0" w:color="auto"/>
            </w:tcBorders>
            <w:vAlign w:val="center"/>
            <w:hideMark/>
          </w:tcPr>
          <w:p w14:paraId="6F370BC9" w14:textId="77777777" w:rsidR="006369AA" w:rsidRPr="006369AA" w:rsidRDefault="006369AA" w:rsidP="00C671A0">
            <w:pPr>
              <w:rPr>
                <w:rFonts w:ascii="Palatino Linotype" w:eastAsia="Times New Roman" w:hAnsi="Palatino Linotype" w:cstheme="minorHAnsi"/>
                <w:color w:val="000000"/>
                <w:lang w:eastAsia="es-EC"/>
              </w:rPr>
            </w:pPr>
          </w:p>
        </w:tc>
        <w:tc>
          <w:tcPr>
            <w:tcW w:w="456" w:type="pct"/>
            <w:tcBorders>
              <w:top w:val="nil"/>
              <w:left w:val="nil"/>
              <w:bottom w:val="single" w:sz="4" w:space="0" w:color="auto"/>
              <w:right w:val="single" w:sz="4" w:space="0" w:color="auto"/>
            </w:tcBorders>
            <w:shd w:val="clear" w:color="000000" w:fill="FFFFFF"/>
            <w:vAlign w:val="center"/>
            <w:hideMark/>
          </w:tcPr>
          <w:p w14:paraId="2DCC214C" w14:textId="77777777" w:rsidR="006369AA" w:rsidRPr="006369AA" w:rsidRDefault="006369AA" w:rsidP="00C671A0">
            <w:pPr>
              <w:jc w:val="center"/>
              <w:rPr>
                <w:rFonts w:ascii="Palatino Linotype" w:eastAsia="Times New Roman" w:hAnsi="Palatino Linotype" w:cstheme="minorHAnsi"/>
                <w:color w:val="595959"/>
                <w:lang w:eastAsia="es-EC"/>
              </w:rPr>
            </w:pPr>
            <w:r w:rsidRPr="006369AA">
              <w:rPr>
                <w:rFonts w:ascii="Palatino Linotype" w:eastAsia="Times New Roman" w:hAnsi="Palatino Linotype" w:cstheme="minorHAnsi"/>
                <w:color w:val="595959"/>
                <w:lang w:eastAsia="es-EC"/>
              </w:rPr>
              <w:t>2021</w:t>
            </w:r>
          </w:p>
        </w:tc>
        <w:tc>
          <w:tcPr>
            <w:tcW w:w="477" w:type="pct"/>
            <w:tcBorders>
              <w:top w:val="nil"/>
              <w:left w:val="nil"/>
              <w:bottom w:val="single" w:sz="4" w:space="0" w:color="auto"/>
              <w:right w:val="single" w:sz="4" w:space="0" w:color="auto"/>
            </w:tcBorders>
            <w:shd w:val="clear" w:color="auto" w:fill="auto"/>
            <w:noWrap/>
            <w:vAlign w:val="center"/>
            <w:hideMark/>
          </w:tcPr>
          <w:p w14:paraId="0B261D14"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32,5%</w:t>
            </w:r>
          </w:p>
        </w:tc>
        <w:tc>
          <w:tcPr>
            <w:tcW w:w="469" w:type="pct"/>
            <w:tcBorders>
              <w:top w:val="nil"/>
              <w:left w:val="nil"/>
              <w:bottom w:val="single" w:sz="4" w:space="0" w:color="auto"/>
              <w:right w:val="single" w:sz="4" w:space="0" w:color="auto"/>
            </w:tcBorders>
            <w:shd w:val="clear" w:color="auto" w:fill="auto"/>
            <w:noWrap/>
            <w:vAlign w:val="center"/>
            <w:hideMark/>
          </w:tcPr>
          <w:p w14:paraId="50365225"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39,8%</w:t>
            </w:r>
          </w:p>
        </w:tc>
        <w:tc>
          <w:tcPr>
            <w:tcW w:w="460" w:type="pct"/>
            <w:tcBorders>
              <w:top w:val="nil"/>
              <w:left w:val="nil"/>
              <w:bottom w:val="single" w:sz="4" w:space="0" w:color="auto"/>
              <w:right w:val="single" w:sz="4" w:space="0" w:color="auto"/>
            </w:tcBorders>
            <w:shd w:val="clear" w:color="auto" w:fill="auto"/>
            <w:noWrap/>
            <w:vAlign w:val="center"/>
            <w:hideMark/>
          </w:tcPr>
          <w:p w14:paraId="4EFA3307"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18,7%</w:t>
            </w:r>
          </w:p>
        </w:tc>
        <w:tc>
          <w:tcPr>
            <w:tcW w:w="459" w:type="pct"/>
            <w:tcBorders>
              <w:top w:val="nil"/>
              <w:left w:val="nil"/>
              <w:bottom w:val="single" w:sz="4" w:space="0" w:color="auto"/>
              <w:right w:val="single" w:sz="4" w:space="0" w:color="auto"/>
            </w:tcBorders>
            <w:shd w:val="clear" w:color="auto" w:fill="auto"/>
            <w:noWrap/>
            <w:vAlign w:val="center"/>
            <w:hideMark/>
          </w:tcPr>
          <w:p w14:paraId="6F84685C"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45,2%</w:t>
            </w:r>
          </w:p>
        </w:tc>
        <w:tc>
          <w:tcPr>
            <w:tcW w:w="507" w:type="pct"/>
            <w:tcBorders>
              <w:top w:val="nil"/>
              <w:left w:val="nil"/>
              <w:bottom w:val="single" w:sz="4" w:space="0" w:color="auto"/>
              <w:right w:val="single" w:sz="4" w:space="0" w:color="auto"/>
            </w:tcBorders>
            <w:shd w:val="clear" w:color="auto" w:fill="auto"/>
            <w:noWrap/>
            <w:vAlign w:val="center"/>
            <w:hideMark/>
          </w:tcPr>
          <w:p w14:paraId="45A482F0"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42,3%</w:t>
            </w:r>
          </w:p>
        </w:tc>
        <w:tc>
          <w:tcPr>
            <w:tcW w:w="470" w:type="pct"/>
            <w:tcBorders>
              <w:top w:val="nil"/>
              <w:left w:val="nil"/>
              <w:bottom w:val="single" w:sz="4" w:space="0" w:color="auto"/>
              <w:right w:val="single" w:sz="4" w:space="0" w:color="auto"/>
            </w:tcBorders>
            <w:shd w:val="clear" w:color="auto" w:fill="auto"/>
            <w:noWrap/>
            <w:vAlign w:val="center"/>
            <w:hideMark/>
          </w:tcPr>
          <w:p w14:paraId="53401238"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52,3%</w:t>
            </w:r>
          </w:p>
        </w:tc>
        <w:tc>
          <w:tcPr>
            <w:tcW w:w="473" w:type="pct"/>
            <w:tcBorders>
              <w:top w:val="nil"/>
              <w:left w:val="nil"/>
              <w:bottom w:val="single" w:sz="4" w:space="0" w:color="auto"/>
              <w:right w:val="single" w:sz="4" w:space="0" w:color="auto"/>
            </w:tcBorders>
            <w:shd w:val="clear" w:color="auto" w:fill="auto"/>
            <w:noWrap/>
            <w:vAlign w:val="center"/>
            <w:hideMark/>
          </w:tcPr>
          <w:p w14:paraId="5C07D0CC"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41,4%</w:t>
            </w:r>
          </w:p>
        </w:tc>
        <w:tc>
          <w:tcPr>
            <w:tcW w:w="470" w:type="pct"/>
            <w:tcBorders>
              <w:top w:val="nil"/>
              <w:left w:val="nil"/>
              <w:bottom w:val="single" w:sz="4" w:space="0" w:color="auto"/>
              <w:right w:val="single" w:sz="4" w:space="0" w:color="auto"/>
            </w:tcBorders>
            <w:shd w:val="clear" w:color="auto" w:fill="auto"/>
            <w:noWrap/>
            <w:vAlign w:val="center"/>
            <w:hideMark/>
          </w:tcPr>
          <w:p w14:paraId="32E215E0"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39,0%</w:t>
            </w:r>
          </w:p>
        </w:tc>
      </w:tr>
      <w:tr w:rsidR="006369AA" w:rsidRPr="006369AA" w14:paraId="69EC15F8" w14:textId="77777777" w:rsidTr="00C671A0">
        <w:trPr>
          <w:trHeight w:val="300"/>
        </w:trPr>
        <w:tc>
          <w:tcPr>
            <w:tcW w:w="760" w:type="pct"/>
            <w:vMerge w:val="restart"/>
            <w:tcBorders>
              <w:top w:val="nil"/>
              <w:left w:val="single" w:sz="4" w:space="0" w:color="auto"/>
              <w:bottom w:val="single" w:sz="4" w:space="0" w:color="auto"/>
              <w:right w:val="single" w:sz="4" w:space="0" w:color="auto"/>
            </w:tcBorders>
            <w:shd w:val="clear" w:color="000000" w:fill="FFFFFF"/>
            <w:vAlign w:val="center"/>
            <w:hideMark/>
          </w:tcPr>
          <w:p w14:paraId="64BDE3D6"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lastRenderedPageBreak/>
              <w:t>Desempleo</w:t>
            </w:r>
          </w:p>
        </w:tc>
        <w:tc>
          <w:tcPr>
            <w:tcW w:w="456" w:type="pct"/>
            <w:tcBorders>
              <w:top w:val="nil"/>
              <w:left w:val="nil"/>
              <w:bottom w:val="single" w:sz="4" w:space="0" w:color="auto"/>
              <w:right w:val="single" w:sz="4" w:space="0" w:color="auto"/>
            </w:tcBorders>
            <w:shd w:val="clear" w:color="000000" w:fill="FFFFFF"/>
            <w:vAlign w:val="center"/>
            <w:hideMark/>
          </w:tcPr>
          <w:p w14:paraId="63DA6580" w14:textId="77777777" w:rsidR="006369AA" w:rsidRPr="006369AA" w:rsidRDefault="006369AA" w:rsidP="00C671A0">
            <w:pPr>
              <w:jc w:val="center"/>
              <w:rPr>
                <w:rFonts w:ascii="Palatino Linotype" w:eastAsia="Times New Roman" w:hAnsi="Palatino Linotype" w:cstheme="minorHAnsi"/>
                <w:color w:val="595959"/>
                <w:lang w:eastAsia="es-EC"/>
              </w:rPr>
            </w:pPr>
            <w:r w:rsidRPr="006369AA">
              <w:rPr>
                <w:rFonts w:ascii="Palatino Linotype" w:eastAsia="Times New Roman" w:hAnsi="Palatino Linotype" w:cstheme="minorHAnsi"/>
                <w:color w:val="595959"/>
                <w:lang w:eastAsia="es-EC"/>
              </w:rPr>
              <w:t>2018</w:t>
            </w:r>
          </w:p>
        </w:tc>
        <w:tc>
          <w:tcPr>
            <w:tcW w:w="477" w:type="pct"/>
            <w:tcBorders>
              <w:top w:val="nil"/>
              <w:left w:val="nil"/>
              <w:bottom w:val="single" w:sz="4" w:space="0" w:color="auto"/>
              <w:right w:val="single" w:sz="4" w:space="0" w:color="auto"/>
            </w:tcBorders>
            <w:shd w:val="clear" w:color="auto" w:fill="auto"/>
            <w:noWrap/>
            <w:vAlign w:val="center"/>
            <w:hideMark/>
          </w:tcPr>
          <w:p w14:paraId="4C74DAC2"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3,9%</w:t>
            </w:r>
          </w:p>
        </w:tc>
        <w:tc>
          <w:tcPr>
            <w:tcW w:w="469" w:type="pct"/>
            <w:tcBorders>
              <w:top w:val="nil"/>
              <w:left w:val="nil"/>
              <w:bottom w:val="single" w:sz="4" w:space="0" w:color="auto"/>
              <w:right w:val="single" w:sz="4" w:space="0" w:color="auto"/>
            </w:tcBorders>
            <w:shd w:val="clear" w:color="auto" w:fill="auto"/>
            <w:noWrap/>
            <w:vAlign w:val="center"/>
            <w:hideMark/>
          </w:tcPr>
          <w:p w14:paraId="39F91699"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5,2%</w:t>
            </w:r>
          </w:p>
        </w:tc>
        <w:tc>
          <w:tcPr>
            <w:tcW w:w="460" w:type="pct"/>
            <w:tcBorders>
              <w:top w:val="nil"/>
              <w:left w:val="nil"/>
              <w:bottom w:val="single" w:sz="4" w:space="0" w:color="auto"/>
              <w:right w:val="single" w:sz="4" w:space="0" w:color="auto"/>
            </w:tcBorders>
            <w:shd w:val="clear" w:color="auto" w:fill="auto"/>
            <w:noWrap/>
            <w:vAlign w:val="center"/>
            <w:hideMark/>
          </w:tcPr>
          <w:p w14:paraId="23E4C86C"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1,5%</w:t>
            </w:r>
          </w:p>
        </w:tc>
        <w:tc>
          <w:tcPr>
            <w:tcW w:w="459" w:type="pct"/>
            <w:tcBorders>
              <w:top w:val="nil"/>
              <w:left w:val="nil"/>
              <w:bottom w:val="single" w:sz="4" w:space="0" w:color="auto"/>
              <w:right w:val="single" w:sz="4" w:space="0" w:color="auto"/>
            </w:tcBorders>
            <w:shd w:val="clear" w:color="auto" w:fill="auto"/>
            <w:noWrap/>
            <w:vAlign w:val="center"/>
            <w:hideMark/>
          </w:tcPr>
          <w:p w14:paraId="1AE98CBC"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8,6%</w:t>
            </w:r>
          </w:p>
        </w:tc>
        <w:tc>
          <w:tcPr>
            <w:tcW w:w="507" w:type="pct"/>
            <w:tcBorders>
              <w:top w:val="nil"/>
              <w:left w:val="nil"/>
              <w:bottom w:val="single" w:sz="4" w:space="0" w:color="auto"/>
              <w:right w:val="single" w:sz="4" w:space="0" w:color="auto"/>
            </w:tcBorders>
            <w:shd w:val="clear" w:color="auto" w:fill="auto"/>
            <w:noWrap/>
            <w:vAlign w:val="center"/>
            <w:hideMark/>
          </w:tcPr>
          <w:p w14:paraId="0CC8D64D"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3,7%</w:t>
            </w:r>
          </w:p>
        </w:tc>
        <w:tc>
          <w:tcPr>
            <w:tcW w:w="470" w:type="pct"/>
            <w:tcBorders>
              <w:top w:val="nil"/>
              <w:left w:val="nil"/>
              <w:bottom w:val="single" w:sz="4" w:space="0" w:color="auto"/>
              <w:right w:val="single" w:sz="4" w:space="0" w:color="auto"/>
            </w:tcBorders>
            <w:shd w:val="clear" w:color="auto" w:fill="auto"/>
            <w:noWrap/>
            <w:vAlign w:val="center"/>
            <w:hideMark/>
          </w:tcPr>
          <w:p w14:paraId="0FD1FED3"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5,3%</w:t>
            </w:r>
          </w:p>
        </w:tc>
        <w:tc>
          <w:tcPr>
            <w:tcW w:w="473" w:type="pct"/>
            <w:tcBorders>
              <w:top w:val="nil"/>
              <w:left w:val="nil"/>
              <w:bottom w:val="single" w:sz="4" w:space="0" w:color="auto"/>
              <w:right w:val="single" w:sz="4" w:space="0" w:color="auto"/>
            </w:tcBorders>
            <w:shd w:val="clear" w:color="auto" w:fill="auto"/>
            <w:noWrap/>
            <w:vAlign w:val="center"/>
            <w:hideMark/>
          </w:tcPr>
          <w:p w14:paraId="062996A2"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6,3%</w:t>
            </w:r>
          </w:p>
        </w:tc>
        <w:tc>
          <w:tcPr>
            <w:tcW w:w="470" w:type="pct"/>
            <w:tcBorders>
              <w:top w:val="nil"/>
              <w:left w:val="nil"/>
              <w:bottom w:val="single" w:sz="4" w:space="0" w:color="auto"/>
              <w:right w:val="single" w:sz="4" w:space="0" w:color="auto"/>
            </w:tcBorders>
            <w:shd w:val="clear" w:color="auto" w:fill="auto"/>
            <w:noWrap/>
            <w:vAlign w:val="center"/>
            <w:hideMark/>
          </w:tcPr>
          <w:p w14:paraId="04847E40"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4,6%</w:t>
            </w:r>
          </w:p>
        </w:tc>
      </w:tr>
      <w:tr w:rsidR="006369AA" w:rsidRPr="006369AA" w14:paraId="34B52871" w14:textId="77777777" w:rsidTr="00C671A0">
        <w:trPr>
          <w:trHeight w:val="300"/>
        </w:trPr>
        <w:tc>
          <w:tcPr>
            <w:tcW w:w="760" w:type="pct"/>
            <w:vMerge/>
            <w:tcBorders>
              <w:top w:val="nil"/>
              <w:left w:val="single" w:sz="4" w:space="0" w:color="auto"/>
              <w:bottom w:val="single" w:sz="4" w:space="0" w:color="auto"/>
              <w:right w:val="single" w:sz="4" w:space="0" w:color="auto"/>
            </w:tcBorders>
            <w:vAlign w:val="center"/>
            <w:hideMark/>
          </w:tcPr>
          <w:p w14:paraId="2113B831" w14:textId="77777777" w:rsidR="006369AA" w:rsidRPr="006369AA" w:rsidRDefault="006369AA" w:rsidP="00C671A0">
            <w:pPr>
              <w:rPr>
                <w:rFonts w:ascii="Palatino Linotype" w:eastAsia="Times New Roman" w:hAnsi="Palatino Linotype" w:cstheme="minorHAnsi"/>
                <w:color w:val="000000"/>
                <w:lang w:eastAsia="es-EC"/>
              </w:rPr>
            </w:pPr>
          </w:p>
        </w:tc>
        <w:tc>
          <w:tcPr>
            <w:tcW w:w="456" w:type="pct"/>
            <w:tcBorders>
              <w:top w:val="nil"/>
              <w:left w:val="nil"/>
              <w:bottom w:val="single" w:sz="4" w:space="0" w:color="auto"/>
              <w:right w:val="single" w:sz="4" w:space="0" w:color="auto"/>
            </w:tcBorders>
            <w:shd w:val="clear" w:color="000000" w:fill="FFFFFF"/>
            <w:vAlign w:val="center"/>
            <w:hideMark/>
          </w:tcPr>
          <w:p w14:paraId="0C8DF543" w14:textId="77777777" w:rsidR="006369AA" w:rsidRPr="006369AA" w:rsidRDefault="006369AA" w:rsidP="00C671A0">
            <w:pPr>
              <w:jc w:val="center"/>
              <w:rPr>
                <w:rFonts w:ascii="Palatino Linotype" w:eastAsia="Times New Roman" w:hAnsi="Palatino Linotype" w:cstheme="minorHAnsi"/>
                <w:color w:val="595959"/>
                <w:lang w:eastAsia="es-EC"/>
              </w:rPr>
            </w:pPr>
            <w:r w:rsidRPr="006369AA">
              <w:rPr>
                <w:rFonts w:ascii="Palatino Linotype" w:eastAsia="Times New Roman" w:hAnsi="Palatino Linotype" w:cstheme="minorHAnsi"/>
                <w:color w:val="595959"/>
                <w:lang w:eastAsia="es-EC"/>
              </w:rPr>
              <w:t>2019</w:t>
            </w:r>
          </w:p>
        </w:tc>
        <w:tc>
          <w:tcPr>
            <w:tcW w:w="477" w:type="pct"/>
            <w:tcBorders>
              <w:top w:val="nil"/>
              <w:left w:val="nil"/>
              <w:bottom w:val="single" w:sz="4" w:space="0" w:color="auto"/>
              <w:right w:val="single" w:sz="4" w:space="0" w:color="auto"/>
            </w:tcBorders>
            <w:shd w:val="clear" w:color="auto" w:fill="auto"/>
            <w:noWrap/>
            <w:vAlign w:val="center"/>
            <w:hideMark/>
          </w:tcPr>
          <w:p w14:paraId="3D06CD6D"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4,2%</w:t>
            </w:r>
          </w:p>
        </w:tc>
        <w:tc>
          <w:tcPr>
            <w:tcW w:w="469" w:type="pct"/>
            <w:tcBorders>
              <w:top w:val="nil"/>
              <w:left w:val="nil"/>
              <w:bottom w:val="single" w:sz="4" w:space="0" w:color="auto"/>
              <w:right w:val="single" w:sz="4" w:space="0" w:color="auto"/>
            </w:tcBorders>
            <w:shd w:val="clear" w:color="auto" w:fill="auto"/>
            <w:noWrap/>
            <w:vAlign w:val="center"/>
            <w:hideMark/>
          </w:tcPr>
          <w:p w14:paraId="4903B061"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5,3%</w:t>
            </w:r>
          </w:p>
        </w:tc>
        <w:tc>
          <w:tcPr>
            <w:tcW w:w="460" w:type="pct"/>
            <w:tcBorders>
              <w:top w:val="nil"/>
              <w:left w:val="nil"/>
              <w:bottom w:val="single" w:sz="4" w:space="0" w:color="auto"/>
              <w:right w:val="single" w:sz="4" w:space="0" w:color="auto"/>
            </w:tcBorders>
            <w:shd w:val="clear" w:color="auto" w:fill="auto"/>
            <w:noWrap/>
            <w:vAlign w:val="center"/>
            <w:hideMark/>
          </w:tcPr>
          <w:p w14:paraId="2D9254A7"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1,9%</w:t>
            </w:r>
          </w:p>
        </w:tc>
        <w:tc>
          <w:tcPr>
            <w:tcW w:w="459" w:type="pct"/>
            <w:tcBorders>
              <w:top w:val="nil"/>
              <w:left w:val="nil"/>
              <w:bottom w:val="single" w:sz="4" w:space="0" w:color="auto"/>
              <w:right w:val="single" w:sz="4" w:space="0" w:color="auto"/>
            </w:tcBorders>
            <w:shd w:val="clear" w:color="auto" w:fill="auto"/>
            <w:noWrap/>
            <w:vAlign w:val="center"/>
            <w:hideMark/>
          </w:tcPr>
          <w:p w14:paraId="61C65538"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9,1%</w:t>
            </w:r>
          </w:p>
        </w:tc>
        <w:tc>
          <w:tcPr>
            <w:tcW w:w="507" w:type="pct"/>
            <w:tcBorders>
              <w:top w:val="nil"/>
              <w:left w:val="nil"/>
              <w:bottom w:val="single" w:sz="4" w:space="0" w:color="auto"/>
              <w:right w:val="single" w:sz="4" w:space="0" w:color="auto"/>
            </w:tcBorders>
            <w:shd w:val="clear" w:color="auto" w:fill="auto"/>
            <w:noWrap/>
            <w:vAlign w:val="center"/>
            <w:hideMark/>
          </w:tcPr>
          <w:p w14:paraId="10C03B49"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3,1%</w:t>
            </w:r>
          </w:p>
        </w:tc>
        <w:tc>
          <w:tcPr>
            <w:tcW w:w="470" w:type="pct"/>
            <w:tcBorders>
              <w:top w:val="nil"/>
              <w:left w:val="nil"/>
              <w:bottom w:val="single" w:sz="4" w:space="0" w:color="auto"/>
              <w:right w:val="single" w:sz="4" w:space="0" w:color="auto"/>
            </w:tcBorders>
            <w:shd w:val="clear" w:color="auto" w:fill="auto"/>
            <w:noWrap/>
            <w:vAlign w:val="center"/>
            <w:hideMark/>
          </w:tcPr>
          <w:p w14:paraId="39AF0F40"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5,2%</w:t>
            </w:r>
          </w:p>
        </w:tc>
        <w:tc>
          <w:tcPr>
            <w:tcW w:w="473" w:type="pct"/>
            <w:tcBorders>
              <w:top w:val="nil"/>
              <w:left w:val="nil"/>
              <w:bottom w:val="single" w:sz="4" w:space="0" w:color="auto"/>
              <w:right w:val="single" w:sz="4" w:space="0" w:color="auto"/>
            </w:tcBorders>
            <w:shd w:val="clear" w:color="auto" w:fill="auto"/>
            <w:noWrap/>
            <w:vAlign w:val="center"/>
            <w:hideMark/>
          </w:tcPr>
          <w:p w14:paraId="0BE8D8C7"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6,0%</w:t>
            </w:r>
          </w:p>
        </w:tc>
        <w:tc>
          <w:tcPr>
            <w:tcW w:w="470" w:type="pct"/>
            <w:tcBorders>
              <w:top w:val="nil"/>
              <w:left w:val="nil"/>
              <w:bottom w:val="single" w:sz="4" w:space="0" w:color="auto"/>
              <w:right w:val="single" w:sz="4" w:space="0" w:color="auto"/>
            </w:tcBorders>
            <w:shd w:val="clear" w:color="auto" w:fill="auto"/>
            <w:noWrap/>
            <w:vAlign w:val="center"/>
            <w:hideMark/>
          </w:tcPr>
          <w:p w14:paraId="7ED10B8D"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4,8%</w:t>
            </w:r>
          </w:p>
        </w:tc>
      </w:tr>
      <w:tr w:rsidR="006369AA" w:rsidRPr="006369AA" w14:paraId="55D63910" w14:textId="77777777" w:rsidTr="00C671A0">
        <w:trPr>
          <w:trHeight w:val="300"/>
        </w:trPr>
        <w:tc>
          <w:tcPr>
            <w:tcW w:w="760" w:type="pct"/>
            <w:vMerge/>
            <w:tcBorders>
              <w:top w:val="nil"/>
              <w:left w:val="single" w:sz="4" w:space="0" w:color="auto"/>
              <w:bottom w:val="single" w:sz="4" w:space="0" w:color="auto"/>
              <w:right w:val="single" w:sz="4" w:space="0" w:color="auto"/>
            </w:tcBorders>
            <w:vAlign w:val="center"/>
            <w:hideMark/>
          </w:tcPr>
          <w:p w14:paraId="24DD5995" w14:textId="77777777" w:rsidR="006369AA" w:rsidRPr="006369AA" w:rsidRDefault="006369AA" w:rsidP="00C671A0">
            <w:pPr>
              <w:rPr>
                <w:rFonts w:ascii="Palatino Linotype" w:eastAsia="Times New Roman" w:hAnsi="Palatino Linotype" w:cstheme="minorHAnsi"/>
                <w:color w:val="000000"/>
                <w:lang w:eastAsia="es-EC"/>
              </w:rPr>
            </w:pPr>
          </w:p>
        </w:tc>
        <w:tc>
          <w:tcPr>
            <w:tcW w:w="456" w:type="pct"/>
            <w:tcBorders>
              <w:top w:val="nil"/>
              <w:left w:val="nil"/>
              <w:bottom w:val="single" w:sz="4" w:space="0" w:color="auto"/>
              <w:right w:val="single" w:sz="4" w:space="0" w:color="auto"/>
            </w:tcBorders>
            <w:shd w:val="clear" w:color="000000" w:fill="FFFFFF"/>
            <w:vAlign w:val="center"/>
            <w:hideMark/>
          </w:tcPr>
          <w:p w14:paraId="5AC27D7F" w14:textId="77777777" w:rsidR="006369AA" w:rsidRPr="006369AA" w:rsidRDefault="006369AA" w:rsidP="00C671A0">
            <w:pPr>
              <w:jc w:val="center"/>
              <w:rPr>
                <w:rFonts w:ascii="Palatino Linotype" w:eastAsia="Times New Roman" w:hAnsi="Palatino Linotype" w:cstheme="minorHAnsi"/>
                <w:color w:val="595959"/>
                <w:lang w:eastAsia="es-EC"/>
              </w:rPr>
            </w:pPr>
            <w:r w:rsidRPr="006369AA">
              <w:rPr>
                <w:rFonts w:ascii="Palatino Linotype" w:eastAsia="Times New Roman" w:hAnsi="Palatino Linotype" w:cstheme="minorHAnsi"/>
                <w:color w:val="595959"/>
                <w:lang w:eastAsia="es-EC"/>
              </w:rPr>
              <w:t>2021</w:t>
            </w:r>
          </w:p>
        </w:tc>
        <w:tc>
          <w:tcPr>
            <w:tcW w:w="477" w:type="pct"/>
            <w:tcBorders>
              <w:top w:val="nil"/>
              <w:left w:val="nil"/>
              <w:bottom w:val="single" w:sz="4" w:space="0" w:color="auto"/>
              <w:right w:val="single" w:sz="4" w:space="0" w:color="auto"/>
            </w:tcBorders>
            <w:shd w:val="clear" w:color="auto" w:fill="auto"/>
            <w:noWrap/>
            <w:vAlign w:val="center"/>
            <w:hideMark/>
          </w:tcPr>
          <w:p w14:paraId="72555F34"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5,2%</w:t>
            </w:r>
          </w:p>
        </w:tc>
        <w:tc>
          <w:tcPr>
            <w:tcW w:w="469" w:type="pct"/>
            <w:tcBorders>
              <w:top w:val="nil"/>
              <w:left w:val="nil"/>
              <w:bottom w:val="single" w:sz="4" w:space="0" w:color="auto"/>
              <w:right w:val="single" w:sz="4" w:space="0" w:color="auto"/>
            </w:tcBorders>
            <w:shd w:val="clear" w:color="auto" w:fill="auto"/>
            <w:noWrap/>
            <w:vAlign w:val="center"/>
            <w:hideMark/>
          </w:tcPr>
          <w:p w14:paraId="50324793"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6,8%</w:t>
            </w:r>
          </w:p>
        </w:tc>
        <w:tc>
          <w:tcPr>
            <w:tcW w:w="460" w:type="pct"/>
            <w:tcBorders>
              <w:top w:val="nil"/>
              <w:left w:val="nil"/>
              <w:bottom w:val="single" w:sz="4" w:space="0" w:color="auto"/>
              <w:right w:val="single" w:sz="4" w:space="0" w:color="auto"/>
            </w:tcBorders>
            <w:shd w:val="clear" w:color="auto" w:fill="auto"/>
            <w:noWrap/>
            <w:vAlign w:val="center"/>
            <w:hideMark/>
          </w:tcPr>
          <w:p w14:paraId="33F0ABA5"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2,3%</w:t>
            </w:r>
          </w:p>
        </w:tc>
        <w:tc>
          <w:tcPr>
            <w:tcW w:w="459" w:type="pct"/>
            <w:tcBorders>
              <w:top w:val="nil"/>
              <w:left w:val="nil"/>
              <w:bottom w:val="single" w:sz="4" w:space="0" w:color="auto"/>
              <w:right w:val="single" w:sz="4" w:space="0" w:color="auto"/>
            </w:tcBorders>
            <w:shd w:val="clear" w:color="auto" w:fill="auto"/>
            <w:noWrap/>
            <w:vAlign w:val="center"/>
            <w:hideMark/>
          </w:tcPr>
          <w:p w14:paraId="32F5993B"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11,8%</w:t>
            </w:r>
          </w:p>
        </w:tc>
        <w:tc>
          <w:tcPr>
            <w:tcW w:w="507" w:type="pct"/>
            <w:tcBorders>
              <w:top w:val="nil"/>
              <w:left w:val="nil"/>
              <w:bottom w:val="single" w:sz="4" w:space="0" w:color="auto"/>
              <w:right w:val="single" w:sz="4" w:space="0" w:color="auto"/>
            </w:tcBorders>
            <w:shd w:val="clear" w:color="auto" w:fill="auto"/>
            <w:noWrap/>
            <w:vAlign w:val="center"/>
            <w:hideMark/>
          </w:tcPr>
          <w:p w14:paraId="1304406E"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4,4%</w:t>
            </w:r>
          </w:p>
        </w:tc>
        <w:tc>
          <w:tcPr>
            <w:tcW w:w="470" w:type="pct"/>
            <w:tcBorders>
              <w:top w:val="nil"/>
              <w:left w:val="nil"/>
              <w:bottom w:val="single" w:sz="4" w:space="0" w:color="auto"/>
              <w:right w:val="single" w:sz="4" w:space="0" w:color="auto"/>
            </w:tcBorders>
            <w:shd w:val="clear" w:color="auto" w:fill="auto"/>
            <w:noWrap/>
            <w:vAlign w:val="center"/>
            <w:hideMark/>
          </w:tcPr>
          <w:p w14:paraId="25288731"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7,3%</w:t>
            </w:r>
          </w:p>
        </w:tc>
        <w:tc>
          <w:tcPr>
            <w:tcW w:w="473" w:type="pct"/>
            <w:tcBorders>
              <w:top w:val="nil"/>
              <w:left w:val="nil"/>
              <w:bottom w:val="single" w:sz="4" w:space="0" w:color="auto"/>
              <w:right w:val="single" w:sz="4" w:space="0" w:color="auto"/>
            </w:tcBorders>
            <w:shd w:val="clear" w:color="auto" w:fill="auto"/>
            <w:noWrap/>
            <w:vAlign w:val="center"/>
            <w:hideMark/>
          </w:tcPr>
          <w:p w14:paraId="1ED7245E"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8,7%</w:t>
            </w:r>
          </w:p>
        </w:tc>
        <w:tc>
          <w:tcPr>
            <w:tcW w:w="470" w:type="pct"/>
            <w:tcBorders>
              <w:top w:val="nil"/>
              <w:left w:val="nil"/>
              <w:bottom w:val="single" w:sz="4" w:space="0" w:color="auto"/>
              <w:right w:val="single" w:sz="4" w:space="0" w:color="auto"/>
            </w:tcBorders>
            <w:shd w:val="clear" w:color="auto" w:fill="auto"/>
            <w:noWrap/>
            <w:vAlign w:val="center"/>
            <w:hideMark/>
          </w:tcPr>
          <w:p w14:paraId="3E9ADB27"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6,1%</w:t>
            </w:r>
          </w:p>
        </w:tc>
      </w:tr>
      <w:tr w:rsidR="006369AA" w:rsidRPr="006369AA" w14:paraId="75DB1315" w14:textId="77777777" w:rsidTr="00C671A0">
        <w:trPr>
          <w:trHeight w:val="300"/>
        </w:trPr>
        <w:tc>
          <w:tcPr>
            <w:tcW w:w="760" w:type="pct"/>
            <w:vMerge w:val="restart"/>
            <w:tcBorders>
              <w:top w:val="nil"/>
              <w:left w:val="single" w:sz="4" w:space="0" w:color="auto"/>
              <w:bottom w:val="single" w:sz="4" w:space="0" w:color="auto"/>
              <w:right w:val="single" w:sz="4" w:space="0" w:color="auto"/>
            </w:tcBorders>
            <w:shd w:val="clear" w:color="000000" w:fill="FFFFFF"/>
            <w:vAlign w:val="center"/>
            <w:hideMark/>
          </w:tcPr>
          <w:p w14:paraId="1658091C"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Sector informal</w:t>
            </w:r>
          </w:p>
        </w:tc>
        <w:tc>
          <w:tcPr>
            <w:tcW w:w="456" w:type="pct"/>
            <w:tcBorders>
              <w:top w:val="nil"/>
              <w:left w:val="nil"/>
              <w:bottom w:val="single" w:sz="4" w:space="0" w:color="auto"/>
              <w:right w:val="single" w:sz="4" w:space="0" w:color="auto"/>
            </w:tcBorders>
            <w:shd w:val="clear" w:color="000000" w:fill="FFFFFF"/>
            <w:vAlign w:val="center"/>
            <w:hideMark/>
          </w:tcPr>
          <w:p w14:paraId="4A623909" w14:textId="77777777" w:rsidR="006369AA" w:rsidRPr="006369AA" w:rsidRDefault="006369AA" w:rsidP="00C671A0">
            <w:pPr>
              <w:jc w:val="center"/>
              <w:rPr>
                <w:rFonts w:ascii="Palatino Linotype" w:eastAsia="Times New Roman" w:hAnsi="Palatino Linotype" w:cstheme="minorHAnsi"/>
                <w:color w:val="595959"/>
                <w:lang w:eastAsia="es-EC"/>
              </w:rPr>
            </w:pPr>
            <w:r w:rsidRPr="006369AA">
              <w:rPr>
                <w:rFonts w:ascii="Palatino Linotype" w:eastAsia="Times New Roman" w:hAnsi="Palatino Linotype" w:cstheme="minorHAnsi"/>
                <w:color w:val="595959"/>
                <w:lang w:eastAsia="es-EC"/>
              </w:rPr>
              <w:t>2018</w:t>
            </w:r>
          </w:p>
        </w:tc>
        <w:tc>
          <w:tcPr>
            <w:tcW w:w="477" w:type="pct"/>
            <w:tcBorders>
              <w:top w:val="nil"/>
              <w:left w:val="nil"/>
              <w:bottom w:val="single" w:sz="4" w:space="0" w:color="auto"/>
              <w:right w:val="single" w:sz="4" w:space="0" w:color="auto"/>
            </w:tcBorders>
            <w:shd w:val="clear" w:color="auto" w:fill="auto"/>
            <w:noWrap/>
            <w:vAlign w:val="center"/>
            <w:hideMark/>
          </w:tcPr>
          <w:p w14:paraId="3532DB26"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46,8%</w:t>
            </w:r>
          </w:p>
        </w:tc>
        <w:tc>
          <w:tcPr>
            <w:tcW w:w="469" w:type="pct"/>
            <w:tcBorders>
              <w:top w:val="nil"/>
              <w:left w:val="nil"/>
              <w:bottom w:val="single" w:sz="4" w:space="0" w:color="auto"/>
              <w:right w:val="single" w:sz="4" w:space="0" w:color="auto"/>
            </w:tcBorders>
            <w:shd w:val="clear" w:color="auto" w:fill="auto"/>
            <w:noWrap/>
            <w:vAlign w:val="center"/>
            <w:hideMark/>
          </w:tcPr>
          <w:p w14:paraId="7B0E0237"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35,2%</w:t>
            </w:r>
          </w:p>
        </w:tc>
        <w:tc>
          <w:tcPr>
            <w:tcW w:w="460" w:type="pct"/>
            <w:tcBorders>
              <w:top w:val="nil"/>
              <w:left w:val="nil"/>
              <w:bottom w:val="single" w:sz="4" w:space="0" w:color="auto"/>
              <w:right w:val="single" w:sz="4" w:space="0" w:color="auto"/>
            </w:tcBorders>
            <w:shd w:val="clear" w:color="auto" w:fill="auto"/>
            <w:noWrap/>
            <w:vAlign w:val="center"/>
            <w:hideMark/>
          </w:tcPr>
          <w:p w14:paraId="6377E7C6"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68,4%</w:t>
            </w:r>
          </w:p>
        </w:tc>
        <w:tc>
          <w:tcPr>
            <w:tcW w:w="459" w:type="pct"/>
            <w:tcBorders>
              <w:top w:val="nil"/>
              <w:left w:val="nil"/>
              <w:bottom w:val="single" w:sz="4" w:space="0" w:color="auto"/>
              <w:right w:val="single" w:sz="4" w:space="0" w:color="auto"/>
            </w:tcBorders>
            <w:shd w:val="clear" w:color="auto" w:fill="auto"/>
            <w:noWrap/>
            <w:vAlign w:val="center"/>
            <w:hideMark/>
          </w:tcPr>
          <w:p w14:paraId="0A037112"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21,5%</w:t>
            </w:r>
          </w:p>
        </w:tc>
        <w:tc>
          <w:tcPr>
            <w:tcW w:w="507" w:type="pct"/>
            <w:tcBorders>
              <w:top w:val="nil"/>
              <w:left w:val="nil"/>
              <w:bottom w:val="single" w:sz="4" w:space="0" w:color="auto"/>
              <w:right w:val="single" w:sz="4" w:space="0" w:color="auto"/>
            </w:tcBorders>
            <w:shd w:val="clear" w:color="auto" w:fill="auto"/>
            <w:noWrap/>
            <w:vAlign w:val="center"/>
            <w:hideMark/>
          </w:tcPr>
          <w:p w14:paraId="411586B9"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41,7%</w:t>
            </w:r>
          </w:p>
        </w:tc>
        <w:tc>
          <w:tcPr>
            <w:tcW w:w="470" w:type="pct"/>
            <w:tcBorders>
              <w:top w:val="nil"/>
              <w:left w:val="nil"/>
              <w:bottom w:val="single" w:sz="4" w:space="0" w:color="auto"/>
              <w:right w:val="single" w:sz="4" w:space="0" w:color="auto"/>
            </w:tcBorders>
            <w:shd w:val="clear" w:color="auto" w:fill="auto"/>
            <w:noWrap/>
            <w:vAlign w:val="center"/>
            <w:hideMark/>
          </w:tcPr>
          <w:p w14:paraId="71DE301C"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21,8%</w:t>
            </w:r>
          </w:p>
        </w:tc>
        <w:tc>
          <w:tcPr>
            <w:tcW w:w="473" w:type="pct"/>
            <w:tcBorders>
              <w:top w:val="nil"/>
              <w:left w:val="nil"/>
              <w:bottom w:val="single" w:sz="4" w:space="0" w:color="auto"/>
              <w:right w:val="single" w:sz="4" w:space="0" w:color="auto"/>
            </w:tcBorders>
            <w:shd w:val="clear" w:color="auto" w:fill="auto"/>
            <w:noWrap/>
            <w:vAlign w:val="center"/>
            <w:hideMark/>
          </w:tcPr>
          <w:p w14:paraId="73E89842"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33,5%</w:t>
            </w:r>
          </w:p>
        </w:tc>
        <w:tc>
          <w:tcPr>
            <w:tcW w:w="470" w:type="pct"/>
            <w:tcBorders>
              <w:top w:val="nil"/>
              <w:left w:val="nil"/>
              <w:bottom w:val="single" w:sz="4" w:space="0" w:color="auto"/>
              <w:right w:val="single" w:sz="4" w:space="0" w:color="auto"/>
            </w:tcBorders>
            <w:shd w:val="clear" w:color="auto" w:fill="auto"/>
            <w:noWrap/>
            <w:vAlign w:val="center"/>
            <w:hideMark/>
          </w:tcPr>
          <w:p w14:paraId="3D260002"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20,9%</w:t>
            </w:r>
          </w:p>
        </w:tc>
      </w:tr>
      <w:tr w:rsidR="006369AA" w:rsidRPr="006369AA" w14:paraId="42EC79DD" w14:textId="77777777" w:rsidTr="00C671A0">
        <w:trPr>
          <w:trHeight w:val="300"/>
        </w:trPr>
        <w:tc>
          <w:tcPr>
            <w:tcW w:w="760" w:type="pct"/>
            <w:vMerge/>
            <w:tcBorders>
              <w:top w:val="nil"/>
              <w:left w:val="single" w:sz="4" w:space="0" w:color="auto"/>
              <w:bottom w:val="single" w:sz="4" w:space="0" w:color="auto"/>
              <w:right w:val="single" w:sz="4" w:space="0" w:color="auto"/>
            </w:tcBorders>
            <w:vAlign w:val="center"/>
            <w:hideMark/>
          </w:tcPr>
          <w:p w14:paraId="7077FBF8" w14:textId="77777777" w:rsidR="006369AA" w:rsidRPr="006369AA" w:rsidRDefault="006369AA" w:rsidP="00C671A0">
            <w:pPr>
              <w:rPr>
                <w:rFonts w:ascii="Palatino Linotype" w:eastAsia="Times New Roman" w:hAnsi="Palatino Linotype" w:cstheme="minorHAnsi"/>
                <w:color w:val="000000"/>
                <w:lang w:eastAsia="es-EC"/>
              </w:rPr>
            </w:pPr>
          </w:p>
        </w:tc>
        <w:tc>
          <w:tcPr>
            <w:tcW w:w="456" w:type="pct"/>
            <w:tcBorders>
              <w:top w:val="nil"/>
              <w:left w:val="nil"/>
              <w:bottom w:val="single" w:sz="4" w:space="0" w:color="auto"/>
              <w:right w:val="single" w:sz="4" w:space="0" w:color="auto"/>
            </w:tcBorders>
            <w:shd w:val="clear" w:color="000000" w:fill="FFFFFF"/>
            <w:vAlign w:val="center"/>
            <w:hideMark/>
          </w:tcPr>
          <w:p w14:paraId="460A564D" w14:textId="77777777" w:rsidR="006369AA" w:rsidRPr="006369AA" w:rsidRDefault="006369AA" w:rsidP="00C671A0">
            <w:pPr>
              <w:jc w:val="center"/>
              <w:rPr>
                <w:rFonts w:ascii="Palatino Linotype" w:eastAsia="Times New Roman" w:hAnsi="Palatino Linotype" w:cstheme="minorHAnsi"/>
                <w:color w:val="595959"/>
                <w:lang w:eastAsia="es-EC"/>
              </w:rPr>
            </w:pPr>
            <w:r w:rsidRPr="006369AA">
              <w:rPr>
                <w:rFonts w:ascii="Palatino Linotype" w:eastAsia="Times New Roman" w:hAnsi="Palatino Linotype" w:cstheme="minorHAnsi"/>
                <w:color w:val="595959"/>
                <w:lang w:eastAsia="es-EC"/>
              </w:rPr>
              <w:t>2019</w:t>
            </w:r>
          </w:p>
        </w:tc>
        <w:tc>
          <w:tcPr>
            <w:tcW w:w="477" w:type="pct"/>
            <w:tcBorders>
              <w:top w:val="nil"/>
              <w:left w:val="nil"/>
              <w:bottom w:val="single" w:sz="4" w:space="0" w:color="auto"/>
              <w:right w:val="single" w:sz="4" w:space="0" w:color="auto"/>
            </w:tcBorders>
            <w:shd w:val="clear" w:color="auto" w:fill="auto"/>
            <w:noWrap/>
            <w:vAlign w:val="center"/>
            <w:hideMark/>
          </w:tcPr>
          <w:p w14:paraId="159D8F88"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47,8%</w:t>
            </w:r>
          </w:p>
        </w:tc>
        <w:tc>
          <w:tcPr>
            <w:tcW w:w="469" w:type="pct"/>
            <w:tcBorders>
              <w:top w:val="nil"/>
              <w:left w:val="nil"/>
              <w:bottom w:val="single" w:sz="4" w:space="0" w:color="auto"/>
              <w:right w:val="single" w:sz="4" w:space="0" w:color="auto"/>
            </w:tcBorders>
            <w:shd w:val="clear" w:color="auto" w:fill="auto"/>
            <w:noWrap/>
            <w:vAlign w:val="center"/>
            <w:hideMark/>
          </w:tcPr>
          <w:p w14:paraId="589819CA"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35,6%</w:t>
            </w:r>
          </w:p>
        </w:tc>
        <w:tc>
          <w:tcPr>
            <w:tcW w:w="460" w:type="pct"/>
            <w:tcBorders>
              <w:top w:val="nil"/>
              <w:left w:val="nil"/>
              <w:bottom w:val="single" w:sz="4" w:space="0" w:color="auto"/>
              <w:right w:val="single" w:sz="4" w:space="0" w:color="auto"/>
            </w:tcBorders>
            <w:shd w:val="clear" w:color="auto" w:fill="auto"/>
            <w:noWrap/>
            <w:vAlign w:val="center"/>
            <w:hideMark/>
          </w:tcPr>
          <w:p w14:paraId="5E223BDD"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68,9%</w:t>
            </w:r>
          </w:p>
        </w:tc>
        <w:tc>
          <w:tcPr>
            <w:tcW w:w="459" w:type="pct"/>
            <w:tcBorders>
              <w:top w:val="nil"/>
              <w:left w:val="nil"/>
              <w:bottom w:val="single" w:sz="4" w:space="0" w:color="auto"/>
              <w:right w:val="single" w:sz="4" w:space="0" w:color="auto"/>
            </w:tcBorders>
            <w:shd w:val="clear" w:color="auto" w:fill="auto"/>
            <w:noWrap/>
            <w:vAlign w:val="center"/>
            <w:hideMark/>
          </w:tcPr>
          <w:p w14:paraId="625F7330"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20,7%</w:t>
            </w:r>
          </w:p>
        </w:tc>
        <w:tc>
          <w:tcPr>
            <w:tcW w:w="507" w:type="pct"/>
            <w:tcBorders>
              <w:top w:val="nil"/>
              <w:left w:val="nil"/>
              <w:bottom w:val="single" w:sz="4" w:space="0" w:color="auto"/>
              <w:right w:val="single" w:sz="4" w:space="0" w:color="auto"/>
            </w:tcBorders>
            <w:shd w:val="clear" w:color="auto" w:fill="auto"/>
            <w:noWrap/>
            <w:vAlign w:val="center"/>
            <w:hideMark/>
          </w:tcPr>
          <w:p w14:paraId="02D2D37B"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42,1%</w:t>
            </w:r>
          </w:p>
        </w:tc>
        <w:tc>
          <w:tcPr>
            <w:tcW w:w="470" w:type="pct"/>
            <w:tcBorders>
              <w:top w:val="nil"/>
              <w:left w:val="nil"/>
              <w:bottom w:val="single" w:sz="4" w:space="0" w:color="auto"/>
              <w:right w:val="single" w:sz="4" w:space="0" w:color="auto"/>
            </w:tcBorders>
            <w:shd w:val="clear" w:color="auto" w:fill="auto"/>
            <w:noWrap/>
            <w:vAlign w:val="center"/>
            <w:hideMark/>
          </w:tcPr>
          <w:p w14:paraId="6D07BD65"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22,6%</w:t>
            </w:r>
          </w:p>
        </w:tc>
        <w:tc>
          <w:tcPr>
            <w:tcW w:w="473" w:type="pct"/>
            <w:tcBorders>
              <w:top w:val="nil"/>
              <w:left w:val="nil"/>
              <w:bottom w:val="single" w:sz="4" w:space="0" w:color="auto"/>
              <w:right w:val="single" w:sz="4" w:space="0" w:color="auto"/>
            </w:tcBorders>
            <w:shd w:val="clear" w:color="auto" w:fill="auto"/>
            <w:noWrap/>
            <w:vAlign w:val="center"/>
            <w:hideMark/>
          </w:tcPr>
          <w:p w14:paraId="5CF9AFDF"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34,8%</w:t>
            </w:r>
          </w:p>
        </w:tc>
        <w:tc>
          <w:tcPr>
            <w:tcW w:w="470" w:type="pct"/>
            <w:tcBorders>
              <w:top w:val="nil"/>
              <w:left w:val="nil"/>
              <w:bottom w:val="single" w:sz="4" w:space="0" w:color="auto"/>
              <w:right w:val="single" w:sz="4" w:space="0" w:color="auto"/>
            </w:tcBorders>
            <w:shd w:val="clear" w:color="auto" w:fill="auto"/>
            <w:noWrap/>
            <w:vAlign w:val="center"/>
            <w:hideMark/>
          </w:tcPr>
          <w:p w14:paraId="71DCE93B"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20,5%</w:t>
            </w:r>
          </w:p>
        </w:tc>
      </w:tr>
      <w:tr w:rsidR="006369AA" w:rsidRPr="006369AA" w14:paraId="6ED5712E" w14:textId="77777777" w:rsidTr="00C671A0">
        <w:trPr>
          <w:trHeight w:val="300"/>
        </w:trPr>
        <w:tc>
          <w:tcPr>
            <w:tcW w:w="760" w:type="pct"/>
            <w:vMerge/>
            <w:tcBorders>
              <w:top w:val="nil"/>
              <w:left w:val="single" w:sz="4" w:space="0" w:color="auto"/>
              <w:bottom w:val="single" w:sz="4" w:space="0" w:color="auto"/>
              <w:right w:val="single" w:sz="4" w:space="0" w:color="auto"/>
            </w:tcBorders>
            <w:vAlign w:val="center"/>
            <w:hideMark/>
          </w:tcPr>
          <w:p w14:paraId="050BEFD3" w14:textId="77777777" w:rsidR="006369AA" w:rsidRPr="006369AA" w:rsidRDefault="006369AA" w:rsidP="00C671A0">
            <w:pPr>
              <w:rPr>
                <w:rFonts w:ascii="Palatino Linotype" w:eastAsia="Times New Roman" w:hAnsi="Palatino Linotype" w:cstheme="minorHAnsi"/>
                <w:color w:val="000000"/>
                <w:lang w:eastAsia="es-EC"/>
              </w:rPr>
            </w:pPr>
          </w:p>
        </w:tc>
        <w:tc>
          <w:tcPr>
            <w:tcW w:w="456" w:type="pct"/>
            <w:tcBorders>
              <w:top w:val="nil"/>
              <w:left w:val="nil"/>
              <w:bottom w:val="single" w:sz="4" w:space="0" w:color="auto"/>
              <w:right w:val="single" w:sz="4" w:space="0" w:color="auto"/>
            </w:tcBorders>
            <w:shd w:val="clear" w:color="000000" w:fill="FFFFFF"/>
            <w:vAlign w:val="center"/>
            <w:hideMark/>
          </w:tcPr>
          <w:p w14:paraId="35FC31A4" w14:textId="77777777" w:rsidR="006369AA" w:rsidRPr="006369AA" w:rsidRDefault="006369AA" w:rsidP="00C671A0">
            <w:pPr>
              <w:jc w:val="center"/>
              <w:rPr>
                <w:rFonts w:ascii="Palatino Linotype" w:eastAsia="Times New Roman" w:hAnsi="Palatino Linotype" w:cstheme="minorHAnsi"/>
                <w:color w:val="595959"/>
                <w:lang w:eastAsia="es-EC"/>
              </w:rPr>
            </w:pPr>
            <w:r w:rsidRPr="006369AA">
              <w:rPr>
                <w:rFonts w:ascii="Palatino Linotype" w:eastAsia="Times New Roman" w:hAnsi="Palatino Linotype" w:cstheme="minorHAnsi"/>
                <w:color w:val="595959"/>
                <w:lang w:eastAsia="es-EC"/>
              </w:rPr>
              <w:t>2021</w:t>
            </w:r>
          </w:p>
        </w:tc>
        <w:tc>
          <w:tcPr>
            <w:tcW w:w="477" w:type="pct"/>
            <w:tcBorders>
              <w:top w:val="nil"/>
              <w:left w:val="nil"/>
              <w:bottom w:val="single" w:sz="4" w:space="0" w:color="auto"/>
              <w:right w:val="single" w:sz="4" w:space="0" w:color="auto"/>
            </w:tcBorders>
            <w:shd w:val="clear" w:color="auto" w:fill="auto"/>
            <w:noWrap/>
            <w:vAlign w:val="center"/>
            <w:hideMark/>
          </w:tcPr>
          <w:p w14:paraId="27093F11"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49,5%</w:t>
            </w:r>
          </w:p>
        </w:tc>
        <w:tc>
          <w:tcPr>
            <w:tcW w:w="469" w:type="pct"/>
            <w:tcBorders>
              <w:top w:val="nil"/>
              <w:left w:val="nil"/>
              <w:bottom w:val="single" w:sz="4" w:space="0" w:color="auto"/>
              <w:right w:val="single" w:sz="4" w:space="0" w:color="auto"/>
            </w:tcBorders>
            <w:shd w:val="clear" w:color="auto" w:fill="auto"/>
            <w:noWrap/>
            <w:vAlign w:val="center"/>
            <w:hideMark/>
          </w:tcPr>
          <w:p w14:paraId="28C52487"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38,7%</w:t>
            </w:r>
          </w:p>
        </w:tc>
        <w:tc>
          <w:tcPr>
            <w:tcW w:w="460" w:type="pct"/>
            <w:tcBorders>
              <w:top w:val="nil"/>
              <w:left w:val="nil"/>
              <w:bottom w:val="single" w:sz="4" w:space="0" w:color="auto"/>
              <w:right w:val="single" w:sz="4" w:space="0" w:color="auto"/>
            </w:tcBorders>
            <w:shd w:val="clear" w:color="auto" w:fill="auto"/>
            <w:noWrap/>
            <w:vAlign w:val="center"/>
            <w:hideMark/>
          </w:tcPr>
          <w:p w14:paraId="2E170F1C"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69,0%</w:t>
            </w:r>
          </w:p>
        </w:tc>
        <w:tc>
          <w:tcPr>
            <w:tcW w:w="459" w:type="pct"/>
            <w:tcBorders>
              <w:top w:val="nil"/>
              <w:left w:val="nil"/>
              <w:bottom w:val="single" w:sz="4" w:space="0" w:color="auto"/>
              <w:right w:val="single" w:sz="4" w:space="0" w:color="auto"/>
            </w:tcBorders>
            <w:shd w:val="clear" w:color="auto" w:fill="auto"/>
            <w:noWrap/>
            <w:vAlign w:val="center"/>
            <w:hideMark/>
          </w:tcPr>
          <w:p w14:paraId="45AB6443"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25,6%</w:t>
            </w:r>
          </w:p>
        </w:tc>
        <w:tc>
          <w:tcPr>
            <w:tcW w:w="507" w:type="pct"/>
            <w:tcBorders>
              <w:top w:val="nil"/>
              <w:left w:val="nil"/>
              <w:bottom w:val="single" w:sz="4" w:space="0" w:color="auto"/>
              <w:right w:val="single" w:sz="4" w:space="0" w:color="auto"/>
            </w:tcBorders>
            <w:shd w:val="clear" w:color="auto" w:fill="auto"/>
            <w:noWrap/>
            <w:vAlign w:val="center"/>
            <w:hideMark/>
          </w:tcPr>
          <w:p w14:paraId="5B3235EE"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44,6%</w:t>
            </w:r>
          </w:p>
        </w:tc>
        <w:tc>
          <w:tcPr>
            <w:tcW w:w="470" w:type="pct"/>
            <w:tcBorders>
              <w:top w:val="nil"/>
              <w:left w:val="nil"/>
              <w:bottom w:val="single" w:sz="4" w:space="0" w:color="auto"/>
              <w:right w:val="single" w:sz="4" w:space="0" w:color="auto"/>
            </w:tcBorders>
            <w:shd w:val="clear" w:color="auto" w:fill="auto"/>
            <w:noWrap/>
            <w:vAlign w:val="center"/>
            <w:hideMark/>
          </w:tcPr>
          <w:p w14:paraId="304BD244"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23,4%</w:t>
            </w:r>
          </w:p>
        </w:tc>
        <w:tc>
          <w:tcPr>
            <w:tcW w:w="473" w:type="pct"/>
            <w:tcBorders>
              <w:top w:val="nil"/>
              <w:left w:val="nil"/>
              <w:bottom w:val="single" w:sz="4" w:space="0" w:color="auto"/>
              <w:right w:val="single" w:sz="4" w:space="0" w:color="auto"/>
            </w:tcBorders>
            <w:shd w:val="clear" w:color="auto" w:fill="auto"/>
            <w:noWrap/>
            <w:vAlign w:val="center"/>
            <w:hideMark/>
          </w:tcPr>
          <w:p w14:paraId="67CE3645"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37,0%</w:t>
            </w:r>
          </w:p>
        </w:tc>
        <w:tc>
          <w:tcPr>
            <w:tcW w:w="470" w:type="pct"/>
            <w:tcBorders>
              <w:top w:val="nil"/>
              <w:left w:val="nil"/>
              <w:bottom w:val="single" w:sz="4" w:space="0" w:color="auto"/>
              <w:right w:val="single" w:sz="4" w:space="0" w:color="auto"/>
            </w:tcBorders>
            <w:shd w:val="clear" w:color="auto" w:fill="auto"/>
            <w:noWrap/>
            <w:vAlign w:val="center"/>
            <w:hideMark/>
          </w:tcPr>
          <w:p w14:paraId="6D04DE6A"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25,1%</w:t>
            </w:r>
          </w:p>
        </w:tc>
      </w:tr>
    </w:tbl>
    <w:p w14:paraId="0D63E87A" w14:textId="77777777" w:rsidR="006369AA" w:rsidRPr="006369AA" w:rsidRDefault="006369AA" w:rsidP="006369AA">
      <w:pPr>
        <w:tabs>
          <w:tab w:val="right" w:pos="9026"/>
        </w:tabs>
        <w:jc w:val="both"/>
        <w:rPr>
          <w:rFonts w:ascii="Palatino Linotype" w:hAnsi="Palatino Linotype" w:cstheme="minorHAnsi"/>
        </w:rPr>
      </w:pPr>
      <w:r w:rsidRPr="006369AA">
        <w:rPr>
          <w:rFonts w:ascii="Palatino Linotype" w:hAnsi="Palatino Linotype" w:cstheme="minorHAnsi"/>
        </w:rPr>
        <w:t>Fuente: INEC 2022</w:t>
      </w:r>
    </w:p>
    <w:p w14:paraId="4CDA400D" w14:textId="77777777" w:rsidR="006369AA" w:rsidRPr="006369AA" w:rsidRDefault="006369AA" w:rsidP="006369AA">
      <w:pPr>
        <w:tabs>
          <w:tab w:val="right" w:pos="9026"/>
        </w:tabs>
        <w:jc w:val="both"/>
        <w:rPr>
          <w:rFonts w:ascii="Palatino Linotype" w:hAnsi="Palatino Linotype" w:cstheme="minorHAnsi"/>
        </w:rPr>
      </w:pPr>
      <w:r w:rsidRPr="006369AA">
        <w:rPr>
          <w:rFonts w:ascii="Palatino Linotype" w:hAnsi="Palatino Linotype" w:cstheme="minorHAnsi"/>
        </w:rPr>
        <w:t>Sobre los indicadores de pobreza y desigualdad, Quito refleja un aumento en la tasa de pobreza por ingreso en 6,4 puntos porcentuales entre 2019 y 2021. Sobre desigualdad, el deterioro del coeficiente de Gini aumento de manera considerable de 0,47 a 0,51, así, la ciudad cuya tasa de pobreza extrema alcanzó el 6,5% en el 2021 paro a ser la ciudad con mayor desigualdad en el país (Agenda de Competitividad, 2022).</w:t>
      </w:r>
    </w:p>
    <w:p w14:paraId="6BD8013F" w14:textId="77777777" w:rsidR="006369AA" w:rsidRPr="006369AA" w:rsidRDefault="006369AA" w:rsidP="006369AA">
      <w:pPr>
        <w:tabs>
          <w:tab w:val="right" w:pos="9026"/>
        </w:tabs>
        <w:jc w:val="center"/>
        <w:rPr>
          <w:rFonts w:ascii="Palatino Linotype" w:hAnsi="Palatino Linotype" w:cstheme="minorHAnsi"/>
          <w:b/>
          <w:bCs/>
        </w:rPr>
      </w:pPr>
      <w:r w:rsidRPr="006369AA">
        <w:rPr>
          <w:rFonts w:ascii="Palatino Linotype" w:hAnsi="Palatino Linotype" w:cstheme="minorHAnsi"/>
          <w:b/>
          <w:bCs/>
        </w:rPr>
        <w:t>Indicadores de pobreza y desigualdad por ciudad</w:t>
      </w:r>
    </w:p>
    <w:tbl>
      <w:tblPr>
        <w:tblW w:w="5089" w:type="pct"/>
        <w:tblCellMar>
          <w:left w:w="70" w:type="dxa"/>
          <w:right w:w="70" w:type="dxa"/>
        </w:tblCellMar>
        <w:tblLook w:val="04A0" w:firstRow="1" w:lastRow="0" w:firstColumn="1" w:lastColumn="0" w:noHBand="0" w:noVBand="1"/>
      </w:tblPr>
      <w:tblGrid>
        <w:gridCol w:w="1365"/>
        <w:gridCol w:w="1213"/>
        <w:gridCol w:w="1213"/>
        <w:gridCol w:w="1216"/>
        <w:gridCol w:w="1214"/>
        <w:gridCol w:w="1212"/>
        <w:gridCol w:w="1212"/>
      </w:tblGrid>
      <w:tr w:rsidR="006369AA" w:rsidRPr="006369AA" w14:paraId="782BE16E" w14:textId="77777777" w:rsidTr="00C671A0">
        <w:trPr>
          <w:trHeight w:val="300"/>
        </w:trPr>
        <w:tc>
          <w:tcPr>
            <w:tcW w:w="790"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8B4B583"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Indicadores</w:t>
            </w:r>
          </w:p>
        </w:tc>
        <w:tc>
          <w:tcPr>
            <w:tcW w:w="702"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7A44486"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Año</w:t>
            </w:r>
          </w:p>
        </w:tc>
        <w:tc>
          <w:tcPr>
            <w:tcW w:w="3508" w:type="pct"/>
            <w:gridSpan w:val="5"/>
            <w:tcBorders>
              <w:top w:val="single" w:sz="4" w:space="0" w:color="auto"/>
              <w:left w:val="nil"/>
              <w:bottom w:val="single" w:sz="4" w:space="0" w:color="auto"/>
              <w:right w:val="single" w:sz="4" w:space="0" w:color="auto"/>
            </w:tcBorders>
            <w:shd w:val="clear" w:color="000000" w:fill="F2F2F2"/>
            <w:vAlign w:val="center"/>
            <w:hideMark/>
          </w:tcPr>
          <w:p w14:paraId="63E58BAA"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Ciudades</w:t>
            </w:r>
          </w:p>
        </w:tc>
      </w:tr>
      <w:tr w:rsidR="006369AA" w:rsidRPr="006369AA" w14:paraId="7B248D22" w14:textId="77777777" w:rsidTr="00C671A0">
        <w:trPr>
          <w:trHeight w:val="300"/>
        </w:trPr>
        <w:tc>
          <w:tcPr>
            <w:tcW w:w="790" w:type="pct"/>
            <w:vMerge/>
            <w:tcBorders>
              <w:top w:val="single" w:sz="4" w:space="0" w:color="auto"/>
              <w:left w:val="single" w:sz="4" w:space="0" w:color="auto"/>
              <w:bottom w:val="single" w:sz="4" w:space="0" w:color="auto"/>
              <w:right w:val="single" w:sz="4" w:space="0" w:color="auto"/>
            </w:tcBorders>
            <w:vAlign w:val="center"/>
            <w:hideMark/>
          </w:tcPr>
          <w:p w14:paraId="46742FA6" w14:textId="77777777" w:rsidR="006369AA" w:rsidRPr="006369AA" w:rsidRDefault="006369AA" w:rsidP="00C671A0">
            <w:pPr>
              <w:rPr>
                <w:rFonts w:ascii="Palatino Linotype" w:eastAsia="Times New Roman" w:hAnsi="Palatino Linotype" w:cstheme="minorHAnsi"/>
                <w:b/>
                <w:bCs/>
                <w:color w:val="595959"/>
                <w:lang w:eastAsia="es-EC"/>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7254C25A" w14:textId="77777777" w:rsidR="006369AA" w:rsidRPr="006369AA" w:rsidRDefault="006369AA" w:rsidP="00C671A0">
            <w:pPr>
              <w:rPr>
                <w:rFonts w:ascii="Palatino Linotype" w:eastAsia="Times New Roman" w:hAnsi="Palatino Linotype" w:cstheme="minorHAnsi"/>
                <w:b/>
                <w:bCs/>
                <w:color w:val="595959"/>
                <w:lang w:eastAsia="es-EC"/>
              </w:rPr>
            </w:pPr>
          </w:p>
        </w:tc>
        <w:tc>
          <w:tcPr>
            <w:tcW w:w="702" w:type="pct"/>
            <w:tcBorders>
              <w:top w:val="nil"/>
              <w:left w:val="nil"/>
              <w:bottom w:val="single" w:sz="4" w:space="0" w:color="auto"/>
              <w:right w:val="single" w:sz="4" w:space="0" w:color="auto"/>
            </w:tcBorders>
            <w:shd w:val="clear" w:color="000000" w:fill="F2F2F2"/>
            <w:vAlign w:val="center"/>
            <w:hideMark/>
          </w:tcPr>
          <w:p w14:paraId="38B0E8BD"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Quito</w:t>
            </w:r>
          </w:p>
        </w:tc>
        <w:tc>
          <w:tcPr>
            <w:tcW w:w="702" w:type="pct"/>
            <w:tcBorders>
              <w:top w:val="nil"/>
              <w:left w:val="nil"/>
              <w:bottom w:val="single" w:sz="4" w:space="0" w:color="auto"/>
              <w:right w:val="single" w:sz="4" w:space="0" w:color="auto"/>
            </w:tcBorders>
            <w:shd w:val="clear" w:color="000000" w:fill="F2F2F2"/>
            <w:vAlign w:val="center"/>
            <w:hideMark/>
          </w:tcPr>
          <w:p w14:paraId="75DD5FD1"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Guayaquil</w:t>
            </w:r>
          </w:p>
        </w:tc>
        <w:tc>
          <w:tcPr>
            <w:tcW w:w="702" w:type="pct"/>
            <w:tcBorders>
              <w:top w:val="nil"/>
              <w:left w:val="nil"/>
              <w:bottom w:val="single" w:sz="4" w:space="0" w:color="auto"/>
              <w:right w:val="single" w:sz="4" w:space="0" w:color="auto"/>
            </w:tcBorders>
            <w:shd w:val="clear" w:color="000000" w:fill="F2F2F2"/>
            <w:vAlign w:val="center"/>
            <w:hideMark/>
          </w:tcPr>
          <w:p w14:paraId="48B1C7DE"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Cuenca</w:t>
            </w:r>
          </w:p>
        </w:tc>
        <w:tc>
          <w:tcPr>
            <w:tcW w:w="701" w:type="pct"/>
            <w:tcBorders>
              <w:top w:val="nil"/>
              <w:left w:val="nil"/>
              <w:bottom w:val="single" w:sz="4" w:space="0" w:color="auto"/>
              <w:right w:val="single" w:sz="4" w:space="0" w:color="auto"/>
            </w:tcBorders>
            <w:shd w:val="clear" w:color="000000" w:fill="F2F2F2"/>
            <w:vAlign w:val="center"/>
            <w:hideMark/>
          </w:tcPr>
          <w:p w14:paraId="674D5BB3"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Machala</w:t>
            </w:r>
          </w:p>
        </w:tc>
        <w:tc>
          <w:tcPr>
            <w:tcW w:w="702" w:type="pct"/>
            <w:tcBorders>
              <w:top w:val="nil"/>
              <w:left w:val="nil"/>
              <w:bottom w:val="single" w:sz="4" w:space="0" w:color="auto"/>
              <w:right w:val="single" w:sz="4" w:space="0" w:color="auto"/>
            </w:tcBorders>
            <w:shd w:val="clear" w:color="000000" w:fill="F2F2F2"/>
            <w:vAlign w:val="center"/>
            <w:hideMark/>
          </w:tcPr>
          <w:p w14:paraId="1DC3C9E1"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Ambato</w:t>
            </w:r>
          </w:p>
        </w:tc>
      </w:tr>
      <w:tr w:rsidR="006369AA" w:rsidRPr="006369AA" w14:paraId="1416EBB8" w14:textId="77777777" w:rsidTr="00C671A0">
        <w:trPr>
          <w:trHeight w:val="300"/>
        </w:trPr>
        <w:tc>
          <w:tcPr>
            <w:tcW w:w="790" w:type="pct"/>
            <w:vMerge w:val="restart"/>
            <w:tcBorders>
              <w:top w:val="nil"/>
              <w:left w:val="single" w:sz="4" w:space="0" w:color="auto"/>
              <w:bottom w:val="single" w:sz="4" w:space="0" w:color="auto"/>
              <w:right w:val="single" w:sz="4" w:space="0" w:color="auto"/>
            </w:tcBorders>
            <w:shd w:val="clear" w:color="000000" w:fill="FFFFFF"/>
            <w:vAlign w:val="center"/>
            <w:hideMark/>
          </w:tcPr>
          <w:p w14:paraId="44474DBC"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Coeficiente de desigualdad de Gini</w:t>
            </w:r>
          </w:p>
        </w:tc>
        <w:tc>
          <w:tcPr>
            <w:tcW w:w="702" w:type="pct"/>
            <w:tcBorders>
              <w:top w:val="nil"/>
              <w:left w:val="nil"/>
              <w:bottom w:val="single" w:sz="4" w:space="0" w:color="auto"/>
              <w:right w:val="single" w:sz="4" w:space="0" w:color="auto"/>
            </w:tcBorders>
            <w:shd w:val="clear" w:color="000000" w:fill="FFFFFF"/>
            <w:vAlign w:val="center"/>
            <w:hideMark/>
          </w:tcPr>
          <w:p w14:paraId="7E7DECDA" w14:textId="77777777" w:rsidR="006369AA" w:rsidRPr="006369AA" w:rsidRDefault="006369AA" w:rsidP="00C671A0">
            <w:pPr>
              <w:jc w:val="center"/>
              <w:rPr>
                <w:rFonts w:ascii="Palatino Linotype" w:eastAsia="Times New Roman" w:hAnsi="Palatino Linotype" w:cstheme="minorHAnsi"/>
                <w:color w:val="595959"/>
                <w:lang w:eastAsia="es-EC"/>
              </w:rPr>
            </w:pPr>
            <w:r w:rsidRPr="006369AA">
              <w:rPr>
                <w:rFonts w:ascii="Palatino Linotype" w:eastAsia="Times New Roman" w:hAnsi="Palatino Linotype" w:cstheme="minorHAnsi"/>
                <w:color w:val="595959"/>
                <w:lang w:eastAsia="es-EC"/>
              </w:rPr>
              <w:t>2019</w:t>
            </w:r>
          </w:p>
        </w:tc>
        <w:tc>
          <w:tcPr>
            <w:tcW w:w="702" w:type="pct"/>
            <w:tcBorders>
              <w:top w:val="nil"/>
              <w:left w:val="nil"/>
              <w:bottom w:val="single" w:sz="4" w:space="0" w:color="auto"/>
              <w:right w:val="single" w:sz="4" w:space="0" w:color="auto"/>
            </w:tcBorders>
            <w:shd w:val="clear" w:color="auto" w:fill="auto"/>
            <w:vAlign w:val="center"/>
            <w:hideMark/>
          </w:tcPr>
          <w:p w14:paraId="3FF452F1"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0,47</w:t>
            </w:r>
          </w:p>
        </w:tc>
        <w:tc>
          <w:tcPr>
            <w:tcW w:w="702" w:type="pct"/>
            <w:tcBorders>
              <w:top w:val="nil"/>
              <w:left w:val="nil"/>
              <w:bottom w:val="single" w:sz="4" w:space="0" w:color="auto"/>
              <w:right w:val="single" w:sz="4" w:space="0" w:color="auto"/>
            </w:tcBorders>
            <w:shd w:val="clear" w:color="auto" w:fill="auto"/>
            <w:vAlign w:val="center"/>
            <w:hideMark/>
          </w:tcPr>
          <w:p w14:paraId="1B1EC92F"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0,4</w:t>
            </w:r>
          </w:p>
        </w:tc>
        <w:tc>
          <w:tcPr>
            <w:tcW w:w="702" w:type="pct"/>
            <w:tcBorders>
              <w:top w:val="nil"/>
              <w:left w:val="nil"/>
              <w:bottom w:val="single" w:sz="4" w:space="0" w:color="auto"/>
              <w:right w:val="single" w:sz="4" w:space="0" w:color="auto"/>
            </w:tcBorders>
            <w:shd w:val="clear" w:color="auto" w:fill="auto"/>
            <w:vAlign w:val="center"/>
            <w:hideMark/>
          </w:tcPr>
          <w:p w14:paraId="0718DD8E"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0,42</w:t>
            </w:r>
          </w:p>
        </w:tc>
        <w:tc>
          <w:tcPr>
            <w:tcW w:w="701" w:type="pct"/>
            <w:tcBorders>
              <w:top w:val="nil"/>
              <w:left w:val="nil"/>
              <w:bottom w:val="single" w:sz="4" w:space="0" w:color="auto"/>
              <w:right w:val="single" w:sz="4" w:space="0" w:color="auto"/>
            </w:tcBorders>
            <w:shd w:val="clear" w:color="auto" w:fill="auto"/>
            <w:vAlign w:val="center"/>
            <w:hideMark/>
          </w:tcPr>
          <w:p w14:paraId="5FF83D04"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0,41</w:t>
            </w:r>
          </w:p>
        </w:tc>
        <w:tc>
          <w:tcPr>
            <w:tcW w:w="702" w:type="pct"/>
            <w:tcBorders>
              <w:top w:val="nil"/>
              <w:left w:val="nil"/>
              <w:bottom w:val="single" w:sz="4" w:space="0" w:color="auto"/>
              <w:right w:val="single" w:sz="4" w:space="0" w:color="auto"/>
            </w:tcBorders>
            <w:shd w:val="clear" w:color="auto" w:fill="auto"/>
            <w:vAlign w:val="center"/>
            <w:hideMark/>
          </w:tcPr>
          <w:p w14:paraId="5149B7A4"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0,47</w:t>
            </w:r>
          </w:p>
        </w:tc>
      </w:tr>
      <w:tr w:rsidR="006369AA" w:rsidRPr="006369AA" w14:paraId="56B7B6D2" w14:textId="77777777" w:rsidTr="00C671A0">
        <w:trPr>
          <w:trHeight w:val="300"/>
        </w:trPr>
        <w:tc>
          <w:tcPr>
            <w:tcW w:w="790" w:type="pct"/>
            <w:vMerge/>
            <w:tcBorders>
              <w:top w:val="nil"/>
              <w:left w:val="single" w:sz="4" w:space="0" w:color="auto"/>
              <w:bottom w:val="single" w:sz="4" w:space="0" w:color="auto"/>
              <w:right w:val="single" w:sz="4" w:space="0" w:color="auto"/>
            </w:tcBorders>
            <w:vAlign w:val="center"/>
            <w:hideMark/>
          </w:tcPr>
          <w:p w14:paraId="4E5D9CDA" w14:textId="77777777" w:rsidR="006369AA" w:rsidRPr="006369AA" w:rsidRDefault="006369AA" w:rsidP="00C671A0">
            <w:pPr>
              <w:rPr>
                <w:rFonts w:ascii="Palatino Linotype" w:eastAsia="Times New Roman" w:hAnsi="Palatino Linotype" w:cstheme="minorHAnsi"/>
                <w:color w:val="000000"/>
                <w:lang w:eastAsia="es-EC"/>
              </w:rPr>
            </w:pPr>
          </w:p>
        </w:tc>
        <w:tc>
          <w:tcPr>
            <w:tcW w:w="702" w:type="pct"/>
            <w:tcBorders>
              <w:top w:val="nil"/>
              <w:left w:val="nil"/>
              <w:bottom w:val="single" w:sz="4" w:space="0" w:color="auto"/>
              <w:right w:val="single" w:sz="4" w:space="0" w:color="auto"/>
            </w:tcBorders>
            <w:shd w:val="clear" w:color="000000" w:fill="FFFFFF"/>
            <w:vAlign w:val="center"/>
            <w:hideMark/>
          </w:tcPr>
          <w:p w14:paraId="78573B12" w14:textId="77777777" w:rsidR="006369AA" w:rsidRPr="006369AA" w:rsidRDefault="006369AA" w:rsidP="00C671A0">
            <w:pPr>
              <w:jc w:val="center"/>
              <w:rPr>
                <w:rFonts w:ascii="Palatino Linotype" w:eastAsia="Times New Roman" w:hAnsi="Palatino Linotype" w:cstheme="minorHAnsi"/>
                <w:color w:val="595959"/>
                <w:lang w:eastAsia="es-EC"/>
              </w:rPr>
            </w:pPr>
            <w:r w:rsidRPr="006369AA">
              <w:rPr>
                <w:rFonts w:ascii="Palatino Linotype" w:eastAsia="Times New Roman" w:hAnsi="Palatino Linotype" w:cstheme="minorHAnsi"/>
                <w:color w:val="595959"/>
                <w:lang w:eastAsia="es-EC"/>
              </w:rPr>
              <w:t>2021</w:t>
            </w:r>
          </w:p>
        </w:tc>
        <w:tc>
          <w:tcPr>
            <w:tcW w:w="702" w:type="pct"/>
            <w:tcBorders>
              <w:top w:val="nil"/>
              <w:left w:val="nil"/>
              <w:bottom w:val="single" w:sz="4" w:space="0" w:color="auto"/>
              <w:right w:val="single" w:sz="4" w:space="0" w:color="auto"/>
            </w:tcBorders>
            <w:shd w:val="clear" w:color="auto" w:fill="auto"/>
            <w:vAlign w:val="center"/>
            <w:hideMark/>
          </w:tcPr>
          <w:p w14:paraId="4582269D"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0,51</w:t>
            </w:r>
          </w:p>
        </w:tc>
        <w:tc>
          <w:tcPr>
            <w:tcW w:w="702" w:type="pct"/>
            <w:tcBorders>
              <w:top w:val="nil"/>
              <w:left w:val="nil"/>
              <w:bottom w:val="single" w:sz="4" w:space="0" w:color="auto"/>
              <w:right w:val="single" w:sz="4" w:space="0" w:color="auto"/>
            </w:tcBorders>
            <w:shd w:val="clear" w:color="auto" w:fill="auto"/>
            <w:vAlign w:val="center"/>
            <w:hideMark/>
          </w:tcPr>
          <w:p w14:paraId="2D101F4A"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0,43</w:t>
            </w:r>
          </w:p>
        </w:tc>
        <w:tc>
          <w:tcPr>
            <w:tcW w:w="702" w:type="pct"/>
            <w:tcBorders>
              <w:top w:val="nil"/>
              <w:left w:val="nil"/>
              <w:bottom w:val="single" w:sz="4" w:space="0" w:color="auto"/>
              <w:right w:val="single" w:sz="4" w:space="0" w:color="auto"/>
            </w:tcBorders>
            <w:shd w:val="clear" w:color="auto" w:fill="auto"/>
            <w:vAlign w:val="center"/>
            <w:hideMark/>
          </w:tcPr>
          <w:p w14:paraId="5E8D33F2"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0,43</w:t>
            </w:r>
          </w:p>
        </w:tc>
        <w:tc>
          <w:tcPr>
            <w:tcW w:w="701" w:type="pct"/>
            <w:tcBorders>
              <w:top w:val="nil"/>
              <w:left w:val="nil"/>
              <w:bottom w:val="single" w:sz="4" w:space="0" w:color="auto"/>
              <w:right w:val="single" w:sz="4" w:space="0" w:color="auto"/>
            </w:tcBorders>
            <w:shd w:val="clear" w:color="auto" w:fill="auto"/>
            <w:vAlign w:val="center"/>
            <w:hideMark/>
          </w:tcPr>
          <w:p w14:paraId="6A0EB17D"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0,44</w:t>
            </w:r>
          </w:p>
        </w:tc>
        <w:tc>
          <w:tcPr>
            <w:tcW w:w="702" w:type="pct"/>
            <w:tcBorders>
              <w:top w:val="nil"/>
              <w:left w:val="nil"/>
              <w:bottom w:val="single" w:sz="4" w:space="0" w:color="auto"/>
              <w:right w:val="single" w:sz="4" w:space="0" w:color="auto"/>
            </w:tcBorders>
            <w:shd w:val="clear" w:color="auto" w:fill="auto"/>
            <w:vAlign w:val="center"/>
            <w:hideMark/>
          </w:tcPr>
          <w:p w14:paraId="50BBFBCD"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0,48</w:t>
            </w:r>
          </w:p>
        </w:tc>
      </w:tr>
      <w:tr w:rsidR="006369AA" w:rsidRPr="006369AA" w14:paraId="14B92C0B" w14:textId="77777777" w:rsidTr="00C671A0">
        <w:trPr>
          <w:trHeight w:val="300"/>
        </w:trPr>
        <w:tc>
          <w:tcPr>
            <w:tcW w:w="790" w:type="pct"/>
            <w:vMerge w:val="restart"/>
            <w:tcBorders>
              <w:top w:val="nil"/>
              <w:left w:val="single" w:sz="4" w:space="0" w:color="auto"/>
              <w:bottom w:val="single" w:sz="4" w:space="0" w:color="auto"/>
              <w:right w:val="single" w:sz="4" w:space="0" w:color="auto"/>
            </w:tcBorders>
            <w:shd w:val="clear" w:color="000000" w:fill="FFFFFF"/>
            <w:vAlign w:val="center"/>
            <w:hideMark/>
          </w:tcPr>
          <w:p w14:paraId="60ED7DD7"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Pobreza extrema por ingresos</w:t>
            </w:r>
          </w:p>
        </w:tc>
        <w:tc>
          <w:tcPr>
            <w:tcW w:w="702" w:type="pct"/>
            <w:tcBorders>
              <w:top w:val="nil"/>
              <w:left w:val="nil"/>
              <w:bottom w:val="single" w:sz="4" w:space="0" w:color="auto"/>
              <w:right w:val="single" w:sz="4" w:space="0" w:color="auto"/>
            </w:tcBorders>
            <w:shd w:val="clear" w:color="000000" w:fill="FFFFFF"/>
            <w:vAlign w:val="center"/>
            <w:hideMark/>
          </w:tcPr>
          <w:p w14:paraId="12017BFF" w14:textId="77777777" w:rsidR="006369AA" w:rsidRPr="006369AA" w:rsidRDefault="006369AA" w:rsidP="00C671A0">
            <w:pPr>
              <w:jc w:val="center"/>
              <w:rPr>
                <w:rFonts w:ascii="Palatino Linotype" w:eastAsia="Times New Roman" w:hAnsi="Palatino Linotype" w:cstheme="minorHAnsi"/>
                <w:color w:val="595959"/>
                <w:lang w:eastAsia="es-EC"/>
              </w:rPr>
            </w:pPr>
            <w:r w:rsidRPr="006369AA">
              <w:rPr>
                <w:rFonts w:ascii="Palatino Linotype" w:eastAsia="Times New Roman" w:hAnsi="Palatino Linotype" w:cstheme="minorHAnsi"/>
                <w:color w:val="595959"/>
                <w:lang w:eastAsia="es-EC"/>
              </w:rPr>
              <w:t>2019</w:t>
            </w:r>
          </w:p>
        </w:tc>
        <w:tc>
          <w:tcPr>
            <w:tcW w:w="702" w:type="pct"/>
            <w:tcBorders>
              <w:top w:val="nil"/>
              <w:left w:val="nil"/>
              <w:bottom w:val="single" w:sz="4" w:space="0" w:color="auto"/>
              <w:right w:val="single" w:sz="4" w:space="0" w:color="auto"/>
            </w:tcBorders>
            <w:shd w:val="clear" w:color="auto" w:fill="auto"/>
            <w:vAlign w:val="center"/>
            <w:hideMark/>
          </w:tcPr>
          <w:p w14:paraId="5DFEA5C6"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4,10%</w:t>
            </w:r>
          </w:p>
        </w:tc>
        <w:tc>
          <w:tcPr>
            <w:tcW w:w="702" w:type="pct"/>
            <w:tcBorders>
              <w:top w:val="nil"/>
              <w:left w:val="nil"/>
              <w:bottom w:val="single" w:sz="4" w:space="0" w:color="auto"/>
              <w:right w:val="single" w:sz="4" w:space="0" w:color="auto"/>
            </w:tcBorders>
            <w:shd w:val="clear" w:color="auto" w:fill="auto"/>
            <w:vAlign w:val="center"/>
            <w:hideMark/>
          </w:tcPr>
          <w:p w14:paraId="0D2A895B"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1,70%</w:t>
            </w:r>
          </w:p>
        </w:tc>
        <w:tc>
          <w:tcPr>
            <w:tcW w:w="702" w:type="pct"/>
            <w:tcBorders>
              <w:top w:val="nil"/>
              <w:left w:val="nil"/>
              <w:bottom w:val="single" w:sz="4" w:space="0" w:color="auto"/>
              <w:right w:val="single" w:sz="4" w:space="0" w:color="auto"/>
            </w:tcBorders>
            <w:shd w:val="clear" w:color="auto" w:fill="auto"/>
            <w:vAlign w:val="center"/>
            <w:hideMark/>
          </w:tcPr>
          <w:p w14:paraId="33E4152B"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1,10%</w:t>
            </w:r>
          </w:p>
        </w:tc>
        <w:tc>
          <w:tcPr>
            <w:tcW w:w="701" w:type="pct"/>
            <w:tcBorders>
              <w:top w:val="nil"/>
              <w:left w:val="nil"/>
              <w:bottom w:val="single" w:sz="4" w:space="0" w:color="auto"/>
              <w:right w:val="single" w:sz="4" w:space="0" w:color="auto"/>
            </w:tcBorders>
            <w:shd w:val="clear" w:color="auto" w:fill="auto"/>
            <w:vAlign w:val="center"/>
            <w:hideMark/>
          </w:tcPr>
          <w:p w14:paraId="500CD36F"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2,70%</w:t>
            </w:r>
          </w:p>
        </w:tc>
        <w:tc>
          <w:tcPr>
            <w:tcW w:w="702" w:type="pct"/>
            <w:tcBorders>
              <w:top w:val="nil"/>
              <w:left w:val="nil"/>
              <w:bottom w:val="single" w:sz="4" w:space="0" w:color="auto"/>
              <w:right w:val="single" w:sz="4" w:space="0" w:color="auto"/>
            </w:tcBorders>
            <w:shd w:val="clear" w:color="auto" w:fill="auto"/>
            <w:vAlign w:val="center"/>
            <w:hideMark/>
          </w:tcPr>
          <w:p w14:paraId="171827BD"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2,70%</w:t>
            </w:r>
          </w:p>
        </w:tc>
      </w:tr>
      <w:tr w:rsidR="006369AA" w:rsidRPr="006369AA" w14:paraId="11762930" w14:textId="77777777" w:rsidTr="00C671A0">
        <w:trPr>
          <w:trHeight w:val="300"/>
        </w:trPr>
        <w:tc>
          <w:tcPr>
            <w:tcW w:w="790" w:type="pct"/>
            <w:vMerge/>
            <w:tcBorders>
              <w:top w:val="nil"/>
              <w:left w:val="single" w:sz="4" w:space="0" w:color="auto"/>
              <w:bottom w:val="single" w:sz="4" w:space="0" w:color="auto"/>
              <w:right w:val="single" w:sz="4" w:space="0" w:color="auto"/>
            </w:tcBorders>
            <w:vAlign w:val="center"/>
            <w:hideMark/>
          </w:tcPr>
          <w:p w14:paraId="1EDB662F" w14:textId="77777777" w:rsidR="006369AA" w:rsidRPr="006369AA" w:rsidRDefault="006369AA" w:rsidP="00C671A0">
            <w:pPr>
              <w:rPr>
                <w:rFonts w:ascii="Palatino Linotype" w:eastAsia="Times New Roman" w:hAnsi="Palatino Linotype" w:cstheme="minorHAnsi"/>
                <w:color w:val="000000"/>
                <w:lang w:eastAsia="es-EC"/>
              </w:rPr>
            </w:pPr>
          </w:p>
        </w:tc>
        <w:tc>
          <w:tcPr>
            <w:tcW w:w="702" w:type="pct"/>
            <w:tcBorders>
              <w:top w:val="nil"/>
              <w:left w:val="nil"/>
              <w:bottom w:val="single" w:sz="4" w:space="0" w:color="auto"/>
              <w:right w:val="single" w:sz="4" w:space="0" w:color="auto"/>
            </w:tcBorders>
            <w:shd w:val="clear" w:color="000000" w:fill="FFFFFF"/>
            <w:vAlign w:val="center"/>
            <w:hideMark/>
          </w:tcPr>
          <w:p w14:paraId="61EBD7CA" w14:textId="77777777" w:rsidR="006369AA" w:rsidRPr="006369AA" w:rsidRDefault="006369AA" w:rsidP="00C671A0">
            <w:pPr>
              <w:jc w:val="center"/>
              <w:rPr>
                <w:rFonts w:ascii="Palatino Linotype" w:eastAsia="Times New Roman" w:hAnsi="Palatino Linotype" w:cstheme="minorHAnsi"/>
                <w:color w:val="595959"/>
                <w:lang w:eastAsia="es-EC"/>
              </w:rPr>
            </w:pPr>
            <w:r w:rsidRPr="006369AA">
              <w:rPr>
                <w:rFonts w:ascii="Palatino Linotype" w:eastAsia="Times New Roman" w:hAnsi="Palatino Linotype" w:cstheme="minorHAnsi"/>
                <w:color w:val="595959"/>
                <w:lang w:eastAsia="es-EC"/>
              </w:rPr>
              <w:t>2021</w:t>
            </w:r>
          </w:p>
        </w:tc>
        <w:tc>
          <w:tcPr>
            <w:tcW w:w="702" w:type="pct"/>
            <w:tcBorders>
              <w:top w:val="nil"/>
              <w:left w:val="nil"/>
              <w:bottom w:val="single" w:sz="4" w:space="0" w:color="auto"/>
              <w:right w:val="single" w:sz="4" w:space="0" w:color="auto"/>
            </w:tcBorders>
            <w:shd w:val="clear" w:color="auto" w:fill="auto"/>
            <w:vAlign w:val="center"/>
            <w:hideMark/>
          </w:tcPr>
          <w:p w14:paraId="2FC23B7F"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6,50%</w:t>
            </w:r>
          </w:p>
        </w:tc>
        <w:tc>
          <w:tcPr>
            <w:tcW w:w="702" w:type="pct"/>
            <w:tcBorders>
              <w:top w:val="nil"/>
              <w:left w:val="nil"/>
              <w:bottom w:val="single" w:sz="4" w:space="0" w:color="auto"/>
              <w:right w:val="single" w:sz="4" w:space="0" w:color="auto"/>
            </w:tcBorders>
            <w:shd w:val="clear" w:color="auto" w:fill="auto"/>
            <w:vAlign w:val="center"/>
            <w:hideMark/>
          </w:tcPr>
          <w:p w14:paraId="49714C2E"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5,20%</w:t>
            </w:r>
          </w:p>
        </w:tc>
        <w:tc>
          <w:tcPr>
            <w:tcW w:w="702" w:type="pct"/>
            <w:tcBorders>
              <w:top w:val="nil"/>
              <w:left w:val="nil"/>
              <w:bottom w:val="single" w:sz="4" w:space="0" w:color="auto"/>
              <w:right w:val="single" w:sz="4" w:space="0" w:color="auto"/>
            </w:tcBorders>
            <w:shd w:val="clear" w:color="auto" w:fill="auto"/>
            <w:vAlign w:val="center"/>
            <w:hideMark/>
          </w:tcPr>
          <w:p w14:paraId="1A8460C6"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2,40%</w:t>
            </w:r>
          </w:p>
        </w:tc>
        <w:tc>
          <w:tcPr>
            <w:tcW w:w="701" w:type="pct"/>
            <w:tcBorders>
              <w:top w:val="nil"/>
              <w:left w:val="nil"/>
              <w:bottom w:val="single" w:sz="4" w:space="0" w:color="auto"/>
              <w:right w:val="single" w:sz="4" w:space="0" w:color="auto"/>
            </w:tcBorders>
            <w:shd w:val="clear" w:color="auto" w:fill="auto"/>
            <w:vAlign w:val="center"/>
            <w:hideMark/>
          </w:tcPr>
          <w:p w14:paraId="63813A29"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5,00%</w:t>
            </w:r>
          </w:p>
        </w:tc>
        <w:tc>
          <w:tcPr>
            <w:tcW w:w="702" w:type="pct"/>
            <w:tcBorders>
              <w:top w:val="nil"/>
              <w:left w:val="nil"/>
              <w:bottom w:val="single" w:sz="4" w:space="0" w:color="auto"/>
              <w:right w:val="single" w:sz="4" w:space="0" w:color="auto"/>
            </w:tcBorders>
            <w:shd w:val="clear" w:color="auto" w:fill="auto"/>
            <w:vAlign w:val="center"/>
            <w:hideMark/>
          </w:tcPr>
          <w:p w14:paraId="6FA11381"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5,20%</w:t>
            </w:r>
          </w:p>
        </w:tc>
      </w:tr>
      <w:tr w:rsidR="006369AA" w:rsidRPr="006369AA" w14:paraId="0408B82C" w14:textId="77777777" w:rsidTr="00C671A0">
        <w:trPr>
          <w:trHeight w:val="300"/>
        </w:trPr>
        <w:tc>
          <w:tcPr>
            <w:tcW w:w="790" w:type="pct"/>
            <w:vMerge w:val="restart"/>
            <w:tcBorders>
              <w:top w:val="nil"/>
              <w:left w:val="single" w:sz="4" w:space="0" w:color="auto"/>
              <w:bottom w:val="single" w:sz="4" w:space="0" w:color="auto"/>
              <w:right w:val="single" w:sz="4" w:space="0" w:color="auto"/>
            </w:tcBorders>
            <w:shd w:val="clear" w:color="000000" w:fill="FFFFFF"/>
            <w:vAlign w:val="center"/>
            <w:hideMark/>
          </w:tcPr>
          <w:p w14:paraId="7D16CA82"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Pobreza por ingresos</w:t>
            </w:r>
          </w:p>
        </w:tc>
        <w:tc>
          <w:tcPr>
            <w:tcW w:w="702" w:type="pct"/>
            <w:tcBorders>
              <w:top w:val="nil"/>
              <w:left w:val="nil"/>
              <w:bottom w:val="single" w:sz="4" w:space="0" w:color="auto"/>
              <w:right w:val="single" w:sz="4" w:space="0" w:color="auto"/>
            </w:tcBorders>
            <w:shd w:val="clear" w:color="000000" w:fill="FFFFFF"/>
            <w:vAlign w:val="center"/>
            <w:hideMark/>
          </w:tcPr>
          <w:p w14:paraId="6E63E6A4" w14:textId="77777777" w:rsidR="006369AA" w:rsidRPr="006369AA" w:rsidRDefault="006369AA" w:rsidP="00C671A0">
            <w:pPr>
              <w:jc w:val="center"/>
              <w:rPr>
                <w:rFonts w:ascii="Palatino Linotype" w:eastAsia="Times New Roman" w:hAnsi="Palatino Linotype" w:cstheme="minorHAnsi"/>
                <w:color w:val="595959"/>
                <w:lang w:eastAsia="es-EC"/>
              </w:rPr>
            </w:pPr>
            <w:r w:rsidRPr="006369AA">
              <w:rPr>
                <w:rFonts w:ascii="Palatino Linotype" w:eastAsia="Times New Roman" w:hAnsi="Palatino Linotype" w:cstheme="minorHAnsi"/>
                <w:color w:val="595959"/>
                <w:lang w:eastAsia="es-EC"/>
              </w:rPr>
              <w:t>2019</w:t>
            </w:r>
          </w:p>
        </w:tc>
        <w:tc>
          <w:tcPr>
            <w:tcW w:w="702" w:type="pct"/>
            <w:tcBorders>
              <w:top w:val="nil"/>
              <w:left w:val="nil"/>
              <w:bottom w:val="single" w:sz="4" w:space="0" w:color="auto"/>
              <w:right w:val="single" w:sz="4" w:space="0" w:color="auto"/>
            </w:tcBorders>
            <w:shd w:val="clear" w:color="auto" w:fill="auto"/>
            <w:vAlign w:val="center"/>
            <w:hideMark/>
          </w:tcPr>
          <w:p w14:paraId="099426E1"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12,10%</w:t>
            </w:r>
          </w:p>
        </w:tc>
        <w:tc>
          <w:tcPr>
            <w:tcW w:w="702" w:type="pct"/>
            <w:tcBorders>
              <w:top w:val="nil"/>
              <w:left w:val="nil"/>
              <w:bottom w:val="single" w:sz="4" w:space="0" w:color="auto"/>
              <w:right w:val="single" w:sz="4" w:space="0" w:color="auto"/>
            </w:tcBorders>
            <w:shd w:val="clear" w:color="auto" w:fill="auto"/>
            <w:vAlign w:val="center"/>
            <w:hideMark/>
          </w:tcPr>
          <w:p w14:paraId="13A43E9D"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10,80%</w:t>
            </w:r>
          </w:p>
        </w:tc>
        <w:tc>
          <w:tcPr>
            <w:tcW w:w="702" w:type="pct"/>
            <w:tcBorders>
              <w:top w:val="nil"/>
              <w:left w:val="nil"/>
              <w:bottom w:val="single" w:sz="4" w:space="0" w:color="auto"/>
              <w:right w:val="single" w:sz="4" w:space="0" w:color="auto"/>
            </w:tcBorders>
            <w:shd w:val="clear" w:color="auto" w:fill="auto"/>
            <w:vAlign w:val="center"/>
            <w:hideMark/>
          </w:tcPr>
          <w:p w14:paraId="1F02BB58"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5,60%</w:t>
            </w:r>
          </w:p>
        </w:tc>
        <w:tc>
          <w:tcPr>
            <w:tcW w:w="701" w:type="pct"/>
            <w:tcBorders>
              <w:top w:val="nil"/>
              <w:left w:val="nil"/>
              <w:bottom w:val="single" w:sz="4" w:space="0" w:color="auto"/>
              <w:right w:val="single" w:sz="4" w:space="0" w:color="auto"/>
            </w:tcBorders>
            <w:shd w:val="clear" w:color="auto" w:fill="auto"/>
            <w:vAlign w:val="center"/>
            <w:hideMark/>
          </w:tcPr>
          <w:p w14:paraId="46D9DC2F"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11,20%</w:t>
            </w:r>
          </w:p>
        </w:tc>
        <w:tc>
          <w:tcPr>
            <w:tcW w:w="702" w:type="pct"/>
            <w:tcBorders>
              <w:top w:val="nil"/>
              <w:left w:val="nil"/>
              <w:bottom w:val="single" w:sz="4" w:space="0" w:color="auto"/>
              <w:right w:val="single" w:sz="4" w:space="0" w:color="auto"/>
            </w:tcBorders>
            <w:shd w:val="clear" w:color="auto" w:fill="auto"/>
            <w:vAlign w:val="center"/>
            <w:hideMark/>
          </w:tcPr>
          <w:p w14:paraId="2EE0E046"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9,80%</w:t>
            </w:r>
          </w:p>
        </w:tc>
      </w:tr>
      <w:tr w:rsidR="006369AA" w:rsidRPr="006369AA" w14:paraId="0882E444" w14:textId="77777777" w:rsidTr="00C671A0">
        <w:trPr>
          <w:trHeight w:val="300"/>
        </w:trPr>
        <w:tc>
          <w:tcPr>
            <w:tcW w:w="790" w:type="pct"/>
            <w:vMerge/>
            <w:tcBorders>
              <w:top w:val="nil"/>
              <w:left w:val="single" w:sz="4" w:space="0" w:color="auto"/>
              <w:bottom w:val="single" w:sz="4" w:space="0" w:color="auto"/>
              <w:right w:val="single" w:sz="4" w:space="0" w:color="auto"/>
            </w:tcBorders>
            <w:vAlign w:val="center"/>
            <w:hideMark/>
          </w:tcPr>
          <w:p w14:paraId="5D8E222F" w14:textId="77777777" w:rsidR="006369AA" w:rsidRPr="006369AA" w:rsidRDefault="006369AA" w:rsidP="00C671A0">
            <w:pPr>
              <w:rPr>
                <w:rFonts w:ascii="Palatino Linotype" w:eastAsia="Times New Roman" w:hAnsi="Palatino Linotype" w:cstheme="minorHAnsi"/>
                <w:color w:val="000000"/>
                <w:lang w:eastAsia="es-EC"/>
              </w:rPr>
            </w:pPr>
          </w:p>
        </w:tc>
        <w:tc>
          <w:tcPr>
            <w:tcW w:w="702" w:type="pct"/>
            <w:tcBorders>
              <w:top w:val="nil"/>
              <w:left w:val="nil"/>
              <w:bottom w:val="single" w:sz="4" w:space="0" w:color="auto"/>
              <w:right w:val="single" w:sz="4" w:space="0" w:color="auto"/>
            </w:tcBorders>
            <w:shd w:val="clear" w:color="000000" w:fill="FFFFFF"/>
            <w:vAlign w:val="center"/>
            <w:hideMark/>
          </w:tcPr>
          <w:p w14:paraId="30C259BD" w14:textId="77777777" w:rsidR="006369AA" w:rsidRPr="006369AA" w:rsidRDefault="006369AA" w:rsidP="00C671A0">
            <w:pPr>
              <w:jc w:val="center"/>
              <w:rPr>
                <w:rFonts w:ascii="Palatino Linotype" w:eastAsia="Times New Roman" w:hAnsi="Palatino Linotype" w:cstheme="minorHAnsi"/>
                <w:color w:val="595959"/>
                <w:lang w:eastAsia="es-EC"/>
              </w:rPr>
            </w:pPr>
            <w:r w:rsidRPr="006369AA">
              <w:rPr>
                <w:rFonts w:ascii="Palatino Linotype" w:eastAsia="Times New Roman" w:hAnsi="Palatino Linotype" w:cstheme="minorHAnsi"/>
                <w:color w:val="595959"/>
                <w:lang w:eastAsia="es-EC"/>
              </w:rPr>
              <w:t>2021</w:t>
            </w:r>
          </w:p>
        </w:tc>
        <w:tc>
          <w:tcPr>
            <w:tcW w:w="702" w:type="pct"/>
            <w:tcBorders>
              <w:top w:val="nil"/>
              <w:left w:val="nil"/>
              <w:bottom w:val="single" w:sz="4" w:space="0" w:color="auto"/>
              <w:right w:val="single" w:sz="4" w:space="0" w:color="auto"/>
            </w:tcBorders>
            <w:shd w:val="clear" w:color="auto" w:fill="auto"/>
            <w:vAlign w:val="center"/>
            <w:hideMark/>
          </w:tcPr>
          <w:p w14:paraId="2AF97A62"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18,50%</w:t>
            </w:r>
          </w:p>
        </w:tc>
        <w:tc>
          <w:tcPr>
            <w:tcW w:w="702" w:type="pct"/>
            <w:tcBorders>
              <w:top w:val="nil"/>
              <w:left w:val="nil"/>
              <w:bottom w:val="single" w:sz="4" w:space="0" w:color="auto"/>
              <w:right w:val="single" w:sz="4" w:space="0" w:color="auto"/>
            </w:tcBorders>
            <w:shd w:val="clear" w:color="auto" w:fill="auto"/>
            <w:vAlign w:val="center"/>
            <w:hideMark/>
          </w:tcPr>
          <w:p w14:paraId="3FD8C975"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20,10%</w:t>
            </w:r>
          </w:p>
        </w:tc>
        <w:tc>
          <w:tcPr>
            <w:tcW w:w="702" w:type="pct"/>
            <w:tcBorders>
              <w:top w:val="nil"/>
              <w:left w:val="nil"/>
              <w:bottom w:val="single" w:sz="4" w:space="0" w:color="auto"/>
              <w:right w:val="single" w:sz="4" w:space="0" w:color="auto"/>
            </w:tcBorders>
            <w:shd w:val="clear" w:color="auto" w:fill="auto"/>
            <w:vAlign w:val="center"/>
            <w:hideMark/>
          </w:tcPr>
          <w:p w14:paraId="7AB56EC2"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9,40%</w:t>
            </w:r>
          </w:p>
        </w:tc>
        <w:tc>
          <w:tcPr>
            <w:tcW w:w="701" w:type="pct"/>
            <w:tcBorders>
              <w:top w:val="nil"/>
              <w:left w:val="nil"/>
              <w:bottom w:val="single" w:sz="4" w:space="0" w:color="auto"/>
              <w:right w:val="single" w:sz="4" w:space="0" w:color="auto"/>
            </w:tcBorders>
            <w:shd w:val="clear" w:color="auto" w:fill="auto"/>
            <w:vAlign w:val="center"/>
            <w:hideMark/>
          </w:tcPr>
          <w:p w14:paraId="1D66FFD7"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19,30%</w:t>
            </w:r>
          </w:p>
        </w:tc>
        <w:tc>
          <w:tcPr>
            <w:tcW w:w="702" w:type="pct"/>
            <w:tcBorders>
              <w:top w:val="nil"/>
              <w:left w:val="nil"/>
              <w:bottom w:val="single" w:sz="4" w:space="0" w:color="auto"/>
              <w:right w:val="single" w:sz="4" w:space="0" w:color="auto"/>
            </w:tcBorders>
            <w:shd w:val="clear" w:color="auto" w:fill="auto"/>
            <w:vAlign w:val="center"/>
            <w:hideMark/>
          </w:tcPr>
          <w:p w14:paraId="13719C39"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16,80%</w:t>
            </w:r>
          </w:p>
        </w:tc>
      </w:tr>
    </w:tbl>
    <w:p w14:paraId="207BC8F7" w14:textId="77777777" w:rsidR="006369AA" w:rsidRPr="006369AA" w:rsidRDefault="006369AA" w:rsidP="006369AA">
      <w:pPr>
        <w:tabs>
          <w:tab w:val="right" w:pos="9026"/>
        </w:tabs>
        <w:jc w:val="both"/>
        <w:rPr>
          <w:rFonts w:ascii="Palatino Linotype" w:hAnsi="Palatino Linotype" w:cstheme="minorHAnsi"/>
        </w:rPr>
      </w:pPr>
      <w:r w:rsidRPr="006369AA">
        <w:rPr>
          <w:rFonts w:ascii="Palatino Linotype" w:hAnsi="Palatino Linotype" w:cstheme="minorHAnsi"/>
        </w:rPr>
        <w:t>Fuente: INEC 2022</w:t>
      </w:r>
    </w:p>
    <w:p w14:paraId="47D9716A" w14:textId="77777777" w:rsidR="006369AA" w:rsidRPr="006369AA" w:rsidRDefault="006369AA" w:rsidP="006369AA">
      <w:pPr>
        <w:tabs>
          <w:tab w:val="right" w:pos="9026"/>
        </w:tabs>
        <w:jc w:val="both"/>
        <w:rPr>
          <w:rFonts w:ascii="Palatino Linotype" w:hAnsi="Palatino Linotype" w:cstheme="minorHAnsi"/>
        </w:rPr>
      </w:pPr>
      <w:r w:rsidRPr="006369AA">
        <w:rPr>
          <w:rFonts w:ascii="Palatino Linotype" w:hAnsi="Palatino Linotype" w:cstheme="minorHAnsi"/>
        </w:rPr>
        <w:lastRenderedPageBreak/>
        <w:t>Para el año 2020, el Instituto Nacional de Estadísticas y Censos (INEC) registra que, para la ciudad de Quito existía 186.445 empresas: 168.275 microempresas; 13.746 pequeñas empresas; 3.241 medianas empresas y 1.183 grandes. El número de empresas disminuyó en 5.375 frente a 2019 como consecuencia de la pandemia, concentrándose el 83% de esas pérdidas en micro y pequeñas empresas.</w:t>
      </w:r>
    </w:p>
    <w:p w14:paraId="7BE0C67F" w14:textId="77777777" w:rsidR="006369AA" w:rsidRPr="006369AA" w:rsidRDefault="006369AA" w:rsidP="006369AA">
      <w:pPr>
        <w:tabs>
          <w:tab w:val="right" w:pos="9026"/>
        </w:tabs>
        <w:jc w:val="center"/>
        <w:rPr>
          <w:rFonts w:ascii="Palatino Linotype" w:hAnsi="Palatino Linotype" w:cstheme="minorHAnsi"/>
          <w:b/>
          <w:bCs/>
        </w:rPr>
      </w:pPr>
      <w:r w:rsidRPr="006369AA">
        <w:rPr>
          <w:rFonts w:ascii="Palatino Linotype" w:hAnsi="Palatino Linotype" w:cstheme="minorHAnsi"/>
          <w:b/>
          <w:bCs/>
        </w:rPr>
        <w:t>Empresas en Quito (2019,2020)</w:t>
      </w:r>
    </w:p>
    <w:tbl>
      <w:tblPr>
        <w:tblW w:w="6627" w:type="dxa"/>
        <w:jc w:val="center"/>
        <w:tblCellMar>
          <w:left w:w="70" w:type="dxa"/>
          <w:right w:w="70" w:type="dxa"/>
        </w:tblCellMar>
        <w:tblLook w:val="04A0" w:firstRow="1" w:lastRow="0" w:firstColumn="1" w:lastColumn="0" w:noHBand="0" w:noVBand="1"/>
      </w:tblPr>
      <w:tblGrid>
        <w:gridCol w:w="1820"/>
        <w:gridCol w:w="1290"/>
        <w:gridCol w:w="1290"/>
        <w:gridCol w:w="1296"/>
        <w:gridCol w:w="1069"/>
      </w:tblGrid>
      <w:tr w:rsidR="006369AA" w:rsidRPr="006369AA" w14:paraId="01E5CAB6" w14:textId="77777777" w:rsidTr="00C671A0">
        <w:trPr>
          <w:trHeight w:val="255"/>
          <w:jc w:val="center"/>
        </w:trPr>
        <w:tc>
          <w:tcPr>
            <w:tcW w:w="182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2BF1EA"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Tamaño de la empresa</w:t>
            </w:r>
          </w:p>
        </w:tc>
        <w:tc>
          <w:tcPr>
            <w:tcW w:w="4807" w:type="dxa"/>
            <w:gridSpan w:val="4"/>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5ECA0E9"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Número de empresas</w:t>
            </w:r>
          </w:p>
        </w:tc>
      </w:tr>
      <w:tr w:rsidR="006369AA" w:rsidRPr="006369AA" w14:paraId="39F91179" w14:textId="77777777" w:rsidTr="00C671A0">
        <w:trPr>
          <w:trHeight w:val="300"/>
          <w:jc w:val="center"/>
        </w:trPr>
        <w:tc>
          <w:tcPr>
            <w:tcW w:w="182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9E6734" w14:textId="77777777" w:rsidR="006369AA" w:rsidRPr="006369AA" w:rsidRDefault="006369AA" w:rsidP="00C671A0">
            <w:pPr>
              <w:jc w:val="center"/>
              <w:rPr>
                <w:rFonts w:ascii="Palatino Linotype" w:eastAsia="Times New Roman" w:hAnsi="Palatino Linotype" w:cstheme="minorHAnsi"/>
                <w:b/>
                <w:bCs/>
                <w:color w:val="595959"/>
                <w:lang w:eastAsia="es-EC"/>
              </w:rPr>
            </w:pPr>
          </w:p>
        </w:tc>
        <w:tc>
          <w:tcPr>
            <w:tcW w:w="1290" w:type="dxa"/>
            <w:tcBorders>
              <w:top w:val="nil"/>
              <w:left w:val="nil"/>
              <w:bottom w:val="single" w:sz="4" w:space="0" w:color="auto"/>
              <w:right w:val="single" w:sz="4" w:space="0" w:color="auto"/>
            </w:tcBorders>
            <w:shd w:val="clear" w:color="auto" w:fill="F2F2F2" w:themeFill="background1" w:themeFillShade="F2"/>
            <w:noWrap/>
            <w:vAlign w:val="bottom"/>
            <w:hideMark/>
          </w:tcPr>
          <w:p w14:paraId="42EA33D9"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2019</w:t>
            </w:r>
          </w:p>
        </w:tc>
        <w:tc>
          <w:tcPr>
            <w:tcW w:w="1290" w:type="dxa"/>
            <w:tcBorders>
              <w:top w:val="nil"/>
              <w:left w:val="nil"/>
              <w:bottom w:val="single" w:sz="4" w:space="0" w:color="auto"/>
              <w:right w:val="single" w:sz="4" w:space="0" w:color="auto"/>
            </w:tcBorders>
            <w:shd w:val="clear" w:color="auto" w:fill="F2F2F2" w:themeFill="background1" w:themeFillShade="F2"/>
            <w:noWrap/>
            <w:vAlign w:val="bottom"/>
            <w:hideMark/>
          </w:tcPr>
          <w:p w14:paraId="2DD3E346"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2020</w:t>
            </w:r>
          </w:p>
        </w:tc>
        <w:tc>
          <w:tcPr>
            <w:tcW w:w="1296" w:type="dxa"/>
            <w:tcBorders>
              <w:top w:val="nil"/>
              <w:left w:val="nil"/>
              <w:bottom w:val="single" w:sz="4" w:space="0" w:color="auto"/>
              <w:right w:val="single" w:sz="4" w:space="0" w:color="auto"/>
            </w:tcBorders>
            <w:shd w:val="clear" w:color="auto" w:fill="F2F2F2" w:themeFill="background1" w:themeFillShade="F2"/>
            <w:noWrap/>
            <w:vAlign w:val="bottom"/>
            <w:hideMark/>
          </w:tcPr>
          <w:p w14:paraId="34C2CD4C"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diferencia</w:t>
            </w:r>
          </w:p>
        </w:tc>
        <w:tc>
          <w:tcPr>
            <w:tcW w:w="931" w:type="dxa"/>
            <w:tcBorders>
              <w:top w:val="nil"/>
              <w:left w:val="nil"/>
              <w:bottom w:val="single" w:sz="4" w:space="0" w:color="auto"/>
              <w:right w:val="single" w:sz="4" w:space="0" w:color="auto"/>
            </w:tcBorders>
            <w:shd w:val="clear" w:color="auto" w:fill="F2F2F2" w:themeFill="background1" w:themeFillShade="F2"/>
            <w:noWrap/>
            <w:vAlign w:val="bottom"/>
            <w:hideMark/>
          </w:tcPr>
          <w:p w14:paraId="304AA06C"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variación</w:t>
            </w:r>
          </w:p>
        </w:tc>
      </w:tr>
      <w:tr w:rsidR="006369AA" w:rsidRPr="006369AA" w14:paraId="4EDE0A73" w14:textId="77777777" w:rsidTr="00C671A0">
        <w:trPr>
          <w:trHeight w:val="255"/>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3201850"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Gran empresa</w:t>
            </w:r>
          </w:p>
        </w:tc>
        <w:tc>
          <w:tcPr>
            <w:tcW w:w="1290" w:type="dxa"/>
            <w:tcBorders>
              <w:top w:val="nil"/>
              <w:left w:val="nil"/>
              <w:bottom w:val="single" w:sz="4" w:space="0" w:color="auto"/>
              <w:right w:val="single" w:sz="4" w:space="0" w:color="auto"/>
            </w:tcBorders>
            <w:shd w:val="clear" w:color="auto" w:fill="auto"/>
            <w:noWrap/>
            <w:vAlign w:val="bottom"/>
            <w:hideMark/>
          </w:tcPr>
          <w:p w14:paraId="2151883C" w14:textId="77777777" w:rsidR="006369AA" w:rsidRPr="006369AA" w:rsidRDefault="006369AA" w:rsidP="00C671A0">
            <w:pP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 xml:space="preserve">             1.410 </w:t>
            </w:r>
          </w:p>
        </w:tc>
        <w:tc>
          <w:tcPr>
            <w:tcW w:w="1290" w:type="dxa"/>
            <w:tcBorders>
              <w:top w:val="nil"/>
              <w:left w:val="nil"/>
              <w:bottom w:val="single" w:sz="4" w:space="0" w:color="auto"/>
              <w:right w:val="single" w:sz="4" w:space="0" w:color="auto"/>
            </w:tcBorders>
            <w:shd w:val="clear" w:color="auto" w:fill="auto"/>
            <w:noWrap/>
            <w:vAlign w:val="bottom"/>
            <w:hideMark/>
          </w:tcPr>
          <w:p w14:paraId="4FE43119" w14:textId="77777777" w:rsidR="006369AA" w:rsidRPr="006369AA" w:rsidRDefault="006369AA" w:rsidP="00C671A0">
            <w:pP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 xml:space="preserve">             1.183 </w:t>
            </w:r>
          </w:p>
        </w:tc>
        <w:tc>
          <w:tcPr>
            <w:tcW w:w="1296" w:type="dxa"/>
            <w:tcBorders>
              <w:top w:val="nil"/>
              <w:left w:val="nil"/>
              <w:bottom w:val="single" w:sz="4" w:space="0" w:color="auto"/>
              <w:right w:val="single" w:sz="4" w:space="0" w:color="auto"/>
            </w:tcBorders>
            <w:shd w:val="clear" w:color="auto" w:fill="auto"/>
            <w:noWrap/>
            <w:vAlign w:val="bottom"/>
            <w:hideMark/>
          </w:tcPr>
          <w:p w14:paraId="003C7AFB" w14:textId="77777777" w:rsidR="006369AA" w:rsidRPr="006369AA" w:rsidRDefault="006369AA" w:rsidP="00C671A0">
            <w:pP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 xml:space="preserve">               -227 </w:t>
            </w:r>
          </w:p>
        </w:tc>
        <w:tc>
          <w:tcPr>
            <w:tcW w:w="931" w:type="dxa"/>
            <w:tcBorders>
              <w:top w:val="nil"/>
              <w:left w:val="nil"/>
              <w:bottom w:val="single" w:sz="4" w:space="0" w:color="auto"/>
              <w:right w:val="single" w:sz="4" w:space="0" w:color="auto"/>
            </w:tcBorders>
            <w:shd w:val="clear" w:color="auto" w:fill="auto"/>
            <w:noWrap/>
            <w:vAlign w:val="bottom"/>
            <w:hideMark/>
          </w:tcPr>
          <w:p w14:paraId="2B469C11"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-16,1%</w:t>
            </w:r>
          </w:p>
        </w:tc>
      </w:tr>
      <w:tr w:rsidR="006369AA" w:rsidRPr="006369AA" w14:paraId="17BC6913" w14:textId="77777777" w:rsidTr="00C671A0">
        <w:trPr>
          <w:trHeight w:val="255"/>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743B093"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Microempresa</w:t>
            </w:r>
          </w:p>
        </w:tc>
        <w:tc>
          <w:tcPr>
            <w:tcW w:w="1290" w:type="dxa"/>
            <w:tcBorders>
              <w:top w:val="nil"/>
              <w:left w:val="nil"/>
              <w:bottom w:val="single" w:sz="4" w:space="0" w:color="auto"/>
              <w:right w:val="single" w:sz="4" w:space="0" w:color="auto"/>
            </w:tcBorders>
            <w:shd w:val="clear" w:color="auto" w:fill="auto"/>
            <w:noWrap/>
            <w:vAlign w:val="bottom"/>
            <w:hideMark/>
          </w:tcPr>
          <w:p w14:paraId="3AD9C63A" w14:textId="77777777" w:rsidR="006369AA" w:rsidRPr="006369AA" w:rsidRDefault="006369AA" w:rsidP="00C671A0">
            <w:pP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 xml:space="preserve">         169.533 </w:t>
            </w:r>
          </w:p>
        </w:tc>
        <w:tc>
          <w:tcPr>
            <w:tcW w:w="1290" w:type="dxa"/>
            <w:tcBorders>
              <w:top w:val="nil"/>
              <w:left w:val="nil"/>
              <w:bottom w:val="single" w:sz="4" w:space="0" w:color="auto"/>
              <w:right w:val="single" w:sz="4" w:space="0" w:color="auto"/>
            </w:tcBorders>
            <w:shd w:val="clear" w:color="auto" w:fill="auto"/>
            <w:noWrap/>
            <w:vAlign w:val="bottom"/>
            <w:hideMark/>
          </w:tcPr>
          <w:p w14:paraId="4F967C35" w14:textId="77777777" w:rsidR="006369AA" w:rsidRPr="006369AA" w:rsidRDefault="006369AA" w:rsidP="00C671A0">
            <w:pP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 xml:space="preserve">         168.275 </w:t>
            </w:r>
          </w:p>
        </w:tc>
        <w:tc>
          <w:tcPr>
            <w:tcW w:w="1296" w:type="dxa"/>
            <w:tcBorders>
              <w:top w:val="nil"/>
              <w:left w:val="nil"/>
              <w:bottom w:val="single" w:sz="4" w:space="0" w:color="auto"/>
              <w:right w:val="single" w:sz="4" w:space="0" w:color="auto"/>
            </w:tcBorders>
            <w:shd w:val="clear" w:color="auto" w:fill="auto"/>
            <w:noWrap/>
            <w:vAlign w:val="bottom"/>
            <w:hideMark/>
          </w:tcPr>
          <w:p w14:paraId="5B27CEA0" w14:textId="77777777" w:rsidR="006369AA" w:rsidRPr="006369AA" w:rsidRDefault="006369AA" w:rsidP="00C671A0">
            <w:pP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 xml:space="preserve">            -1.258 </w:t>
            </w:r>
          </w:p>
        </w:tc>
        <w:tc>
          <w:tcPr>
            <w:tcW w:w="931" w:type="dxa"/>
            <w:tcBorders>
              <w:top w:val="nil"/>
              <w:left w:val="nil"/>
              <w:bottom w:val="single" w:sz="4" w:space="0" w:color="auto"/>
              <w:right w:val="single" w:sz="4" w:space="0" w:color="auto"/>
            </w:tcBorders>
            <w:shd w:val="clear" w:color="auto" w:fill="auto"/>
            <w:noWrap/>
            <w:vAlign w:val="bottom"/>
            <w:hideMark/>
          </w:tcPr>
          <w:p w14:paraId="212EB402"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-0,7%</w:t>
            </w:r>
          </w:p>
        </w:tc>
      </w:tr>
      <w:tr w:rsidR="006369AA" w:rsidRPr="006369AA" w14:paraId="4DEBDB70" w14:textId="77777777" w:rsidTr="00C671A0">
        <w:trPr>
          <w:trHeight w:val="255"/>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217C828"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Mediana empresa</w:t>
            </w:r>
          </w:p>
        </w:tc>
        <w:tc>
          <w:tcPr>
            <w:tcW w:w="1290" w:type="dxa"/>
            <w:tcBorders>
              <w:top w:val="nil"/>
              <w:left w:val="nil"/>
              <w:bottom w:val="single" w:sz="4" w:space="0" w:color="auto"/>
              <w:right w:val="single" w:sz="4" w:space="0" w:color="auto"/>
            </w:tcBorders>
            <w:shd w:val="clear" w:color="auto" w:fill="auto"/>
            <w:noWrap/>
            <w:vAlign w:val="bottom"/>
            <w:hideMark/>
          </w:tcPr>
          <w:p w14:paraId="55668098" w14:textId="77777777" w:rsidR="006369AA" w:rsidRPr="006369AA" w:rsidRDefault="006369AA" w:rsidP="00C671A0">
            <w:pP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 xml:space="preserve">             5.413 </w:t>
            </w:r>
          </w:p>
        </w:tc>
        <w:tc>
          <w:tcPr>
            <w:tcW w:w="1290" w:type="dxa"/>
            <w:tcBorders>
              <w:top w:val="nil"/>
              <w:left w:val="nil"/>
              <w:bottom w:val="single" w:sz="4" w:space="0" w:color="auto"/>
              <w:right w:val="single" w:sz="4" w:space="0" w:color="auto"/>
            </w:tcBorders>
            <w:shd w:val="clear" w:color="auto" w:fill="auto"/>
            <w:noWrap/>
            <w:vAlign w:val="bottom"/>
            <w:hideMark/>
          </w:tcPr>
          <w:p w14:paraId="58602DCB" w14:textId="77777777" w:rsidR="006369AA" w:rsidRPr="006369AA" w:rsidRDefault="006369AA" w:rsidP="00C671A0">
            <w:pP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 xml:space="preserve">             4.265 </w:t>
            </w:r>
          </w:p>
        </w:tc>
        <w:tc>
          <w:tcPr>
            <w:tcW w:w="1296" w:type="dxa"/>
            <w:tcBorders>
              <w:top w:val="nil"/>
              <w:left w:val="nil"/>
              <w:bottom w:val="single" w:sz="4" w:space="0" w:color="auto"/>
              <w:right w:val="single" w:sz="4" w:space="0" w:color="auto"/>
            </w:tcBorders>
            <w:shd w:val="clear" w:color="auto" w:fill="auto"/>
            <w:noWrap/>
            <w:vAlign w:val="bottom"/>
            <w:hideMark/>
          </w:tcPr>
          <w:p w14:paraId="7CC9B822" w14:textId="77777777" w:rsidR="006369AA" w:rsidRPr="006369AA" w:rsidRDefault="006369AA" w:rsidP="00C671A0">
            <w:pP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 xml:space="preserve">            -1.148 </w:t>
            </w:r>
          </w:p>
        </w:tc>
        <w:tc>
          <w:tcPr>
            <w:tcW w:w="931" w:type="dxa"/>
            <w:tcBorders>
              <w:top w:val="nil"/>
              <w:left w:val="nil"/>
              <w:bottom w:val="single" w:sz="4" w:space="0" w:color="auto"/>
              <w:right w:val="single" w:sz="4" w:space="0" w:color="auto"/>
            </w:tcBorders>
            <w:shd w:val="clear" w:color="auto" w:fill="auto"/>
            <w:noWrap/>
            <w:vAlign w:val="bottom"/>
            <w:hideMark/>
          </w:tcPr>
          <w:p w14:paraId="61A9E610"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-21,2%</w:t>
            </w:r>
          </w:p>
        </w:tc>
      </w:tr>
      <w:tr w:rsidR="006369AA" w:rsidRPr="006369AA" w14:paraId="44EB3A2D" w14:textId="77777777" w:rsidTr="00C671A0">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6C4E398B"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Pequeña empresa</w:t>
            </w:r>
          </w:p>
        </w:tc>
        <w:tc>
          <w:tcPr>
            <w:tcW w:w="1290" w:type="dxa"/>
            <w:tcBorders>
              <w:top w:val="nil"/>
              <w:left w:val="nil"/>
              <w:bottom w:val="single" w:sz="4" w:space="0" w:color="auto"/>
              <w:right w:val="single" w:sz="4" w:space="0" w:color="auto"/>
            </w:tcBorders>
            <w:shd w:val="clear" w:color="auto" w:fill="auto"/>
            <w:noWrap/>
            <w:vAlign w:val="bottom"/>
            <w:hideMark/>
          </w:tcPr>
          <w:p w14:paraId="10026BE1" w14:textId="77777777" w:rsidR="006369AA" w:rsidRPr="006369AA" w:rsidRDefault="006369AA" w:rsidP="00C671A0">
            <w:pP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 xml:space="preserve">           16.924 </w:t>
            </w:r>
          </w:p>
        </w:tc>
        <w:tc>
          <w:tcPr>
            <w:tcW w:w="1290" w:type="dxa"/>
            <w:tcBorders>
              <w:top w:val="nil"/>
              <w:left w:val="nil"/>
              <w:bottom w:val="single" w:sz="4" w:space="0" w:color="auto"/>
              <w:right w:val="single" w:sz="4" w:space="0" w:color="auto"/>
            </w:tcBorders>
            <w:shd w:val="clear" w:color="auto" w:fill="auto"/>
            <w:noWrap/>
            <w:vAlign w:val="bottom"/>
            <w:hideMark/>
          </w:tcPr>
          <w:p w14:paraId="47F15D3F" w14:textId="77777777" w:rsidR="006369AA" w:rsidRPr="006369AA" w:rsidRDefault="006369AA" w:rsidP="00C671A0">
            <w:pP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 xml:space="preserve">           13.746 </w:t>
            </w:r>
          </w:p>
        </w:tc>
        <w:tc>
          <w:tcPr>
            <w:tcW w:w="1296" w:type="dxa"/>
            <w:tcBorders>
              <w:top w:val="nil"/>
              <w:left w:val="nil"/>
              <w:bottom w:val="single" w:sz="4" w:space="0" w:color="auto"/>
              <w:right w:val="single" w:sz="4" w:space="0" w:color="auto"/>
            </w:tcBorders>
            <w:shd w:val="clear" w:color="auto" w:fill="auto"/>
            <w:noWrap/>
            <w:vAlign w:val="bottom"/>
            <w:hideMark/>
          </w:tcPr>
          <w:p w14:paraId="119310CF" w14:textId="77777777" w:rsidR="006369AA" w:rsidRPr="006369AA" w:rsidRDefault="006369AA" w:rsidP="00C671A0">
            <w:pP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 xml:space="preserve">            -3.178 </w:t>
            </w:r>
          </w:p>
        </w:tc>
        <w:tc>
          <w:tcPr>
            <w:tcW w:w="931" w:type="dxa"/>
            <w:tcBorders>
              <w:top w:val="nil"/>
              <w:left w:val="nil"/>
              <w:bottom w:val="single" w:sz="4" w:space="0" w:color="auto"/>
              <w:right w:val="single" w:sz="4" w:space="0" w:color="auto"/>
            </w:tcBorders>
            <w:shd w:val="clear" w:color="auto" w:fill="auto"/>
            <w:noWrap/>
            <w:vAlign w:val="bottom"/>
            <w:hideMark/>
          </w:tcPr>
          <w:p w14:paraId="51F87D49"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-18,8%</w:t>
            </w:r>
          </w:p>
        </w:tc>
      </w:tr>
      <w:tr w:rsidR="006369AA" w:rsidRPr="006369AA" w14:paraId="3FB21A49" w14:textId="77777777" w:rsidTr="00C671A0">
        <w:trPr>
          <w:trHeight w:val="255"/>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F23B654"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Total</w:t>
            </w:r>
          </w:p>
        </w:tc>
        <w:tc>
          <w:tcPr>
            <w:tcW w:w="1290" w:type="dxa"/>
            <w:tcBorders>
              <w:top w:val="nil"/>
              <w:left w:val="nil"/>
              <w:bottom w:val="single" w:sz="4" w:space="0" w:color="auto"/>
              <w:right w:val="single" w:sz="4" w:space="0" w:color="auto"/>
            </w:tcBorders>
            <w:shd w:val="clear" w:color="auto" w:fill="auto"/>
            <w:noWrap/>
            <w:vAlign w:val="bottom"/>
            <w:hideMark/>
          </w:tcPr>
          <w:p w14:paraId="68167028" w14:textId="77777777" w:rsidR="006369AA" w:rsidRPr="006369AA" w:rsidRDefault="006369AA" w:rsidP="00C671A0">
            <w:pP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 xml:space="preserve">         191.820 </w:t>
            </w:r>
          </w:p>
        </w:tc>
        <w:tc>
          <w:tcPr>
            <w:tcW w:w="1290" w:type="dxa"/>
            <w:tcBorders>
              <w:top w:val="nil"/>
              <w:left w:val="nil"/>
              <w:bottom w:val="single" w:sz="4" w:space="0" w:color="auto"/>
              <w:right w:val="single" w:sz="4" w:space="0" w:color="auto"/>
            </w:tcBorders>
            <w:shd w:val="clear" w:color="auto" w:fill="auto"/>
            <w:noWrap/>
            <w:vAlign w:val="bottom"/>
            <w:hideMark/>
          </w:tcPr>
          <w:p w14:paraId="3FD99ED9" w14:textId="77777777" w:rsidR="006369AA" w:rsidRPr="006369AA" w:rsidRDefault="006369AA" w:rsidP="00C671A0">
            <w:pP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 xml:space="preserve">         186.445 </w:t>
            </w:r>
          </w:p>
        </w:tc>
        <w:tc>
          <w:tcPr>
            <w:tcW w:w="1296" w:type="dxa"/>
            <w:tcBorders>
              <w:top w:val="nil"/>
              <w:left w:val="nil"/>
              <w:bottom w:val="single" w:sz="4" w:space="0" w:color="auto"/>
              <w:right w:val="single" w:sz="4" w:space="0" w:color="auto"/>
            </w:tcBorders>
            <w:shd w:val="clear" w:color="auto" w:fill="auto"/>
            <w:noWrap/>
            <w:vAlign w:val="bottom"/>
            <w:hideMark/>
          </w:tcPr>
          <w:p w14:paraId="1AAFCF63" w14:textId="77777777" w:rsidR="006369AA" w:rsidRPr="006369AA" w:rsidRDefault="006369AA" w:rsidP="00C671A0">
            <w:pP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 xml:space="preserve">            -5.375 </w:t>
            </w:r>
          </w:p>
        </w:tc>
        <w:tc>
          <w:tcPr>
            <w:tcW w:w="931" w:type="dxa"/>
            <w:tcBorders>
              <w:top w:val="nil"/>
              <w:left w:val="nil"/>
              <w:bottom w:val="single" w:sz="4" w:space="0" w:color="auto"/>
              <w:right w:val="single" w:sz="4" w:space="0" w:color="auto"/>
            </w:tcBorders>
            <w:shd w:val="clear" w:color="auto" w:fill="auto"/>
            <w:noWrap/>
            <w:vAlign w:val="bottom"/>
            <w:hideMark/>
          </w:tcPr>
          <w:p w14:paraId="65B3D9A9"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-2,8%</w:t>
            </w:r>
          </w:p>
        </w:tc>
      </w:tr>
      <w:tr w:rsidR="006369AA" w:rsidRPr="006369AA" w14:paraId="614D60E2" w14:textId="77777777" w:rsidTr="00C671A0">
        <w:trPr>
          <w:trHeight w:val="255"/>
          <w:jc w:val="center"/>
        </w:trPr>
        <w:tc>
          <w:tcPr>
            <w:tcW w:w="662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73FF5"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 </w:t>
            </w:r>
          </w:p>
        </w:tc>
      </w:tr>
      <w:tr w:rsidR="006369AA" w:rsidRPr="006369AA" w14:paraId="17CDFB86" w14:textId="77777777" w:rsidTr="00C671A0">
        <w:trPr>
          <w:trHeight w:val="300"/>
          <w:jc w:val="center"/>
        </w:trPr>
        <w:tc>
          <w:tcPr>
            <w:tcW w:w="1820"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08AB7DB"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Tamaño de la empresa</w:t>
            </w:r>
          </w:p>
        </w:tc>
        <w:tc>
          <w:tcPr>
            <w:tcW w:w="4807" w:type="dxa"/>
            <w:gridSpan w:val="4"/>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4BC5322"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Plazas de empleo registrado</w:t>
            </w:r>
          </w:p>
        </w:tc>
      </w:tr>
      <w:tr w:rsidR="006369AA" w:rsidRPr="006369AA" w14:paraId="31C710DE" w14:textId="77777777" w:rsidTr="00C671A0">
        <w:trPr>
          <w:trHeight w:val="255"/>
          <w:jc w:val="center"/>
        </w:trPr>
        <w:tc>
          <w:tcPr>
            <w:tcW w:w="182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436F1AF" w14:textId="77777777" w:rsidR="006369AA" w:rsidRPr="006369AA" w:rsidRDefault="006369AA" w:rsidP="00C671A0">
            <w:pPr>
              <w:jc w:val="center"/>
              <w:rPr>
                <w:rFonts w:ascii="Palatino Linotype" w:eastAsia="Times New Roman" w:hAnsi="Palatino Linotype" w:cstheme="minorHAnsi"/>
                <w:b/>
                <w:bCs/>
                <w:color w:val="595959"/>
                <w:lang w:eastAsia="es-EC"/>
              </w:rPr>
            </w:pPr>
          </w:p>
        </w:tc>
        <w:tc>
          <w:tcPr>
            <w:tcW w:w="1290" w:type="dxa"/>
            <w:tcBorders>
              <w:top w:val="nil"/>
              <w:left w:val="nil"/>
              <w:bottom w:val="single" w:sz="4" w:space="0" w:color="auto"/>
              <w:right w:val="single" w:sz="4" w:space="0" w:color="auto"/>
            </w:tcBorders>
            <w:shd w:val="clear" w:color="auto" w:fill="F2F2F2" w:themeFill="background1" w:themeFillShade="F2"/>
            <w:noWrap/>
            <w:vAlign w:val="bottom"/>
            <w:hideMark/>
          </w:tcPr>
          <w:p w14:paraId="5AE2B4A4"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2019</w:t>
            </w:r>
          </w:p>
        </w:tc>
        <w:tc>
          <w:tcPr>
            <w:tcW w:w="1290" w:type="dxa"/>
            <w:tcBorders>
              <w:top w:val="nil"/>
              <w:left w:val="nil"/>
              <w:bottom w:val="single" w:sz="4" w:space="0" w:color="auto"/>
              <w:right w:val="single" w:sz="4" w:space="0" w:color="auto"/>
            </w:tcBorders>
            <w:shd w:val="clear" w:color="auto" w:fill="F2F2F2" w:themeFill="background1" w:themeFillShade="F2"/>
            <w:noWrap/>
            <w:vAlign w:val="bottom"/>
            <w:hideMark/>
          </w:tcPr>
          <w:p w14:paraId="4638F143"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2020</w:t>
            </w:r>
          </w:p>
        </w:tc>
        <w:tc>
          <w:tcPr>
            <w:tcW w:w="1296" w:type="dxa"/>
            <w:tcBorders>
              <w:top w:val="nil"/>
              <w:left w:val="nil"/>
              <w:bottom w:val="single" w:sz="4" w:space="0" w:color="auto"/>
              <w:right w:val="single" w:sz="4" w:space="0" w:color="auto"/>
            </w:tcBorders>
            <w:shd w:val="clear" w:color="auto" w:fill="F2F2F2" w:themeFill="background1" w:themeFillShade="F2"/>
            <w:noWrap/>
            <w:vAlign w:val="bottom"/>
            <w:hideMark/>
          </w:tcPr>
          <w:p w14:paraId="118C7095"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diferencia</w:t>
            </w:r>
          </w:p>
        </w:tc>
        <w:tc>
          <w:tcPr>
            <w:tcW w:w="931" w:type="dxa"/>
            <w:tcBorders>
              <w:top w:val="nil"/>
              <w:left w:val="nil"/>
              <w:bottom w:val="single" w:sz="4" w:space="0" w:color="auto"/>
              <w:right w:val="single" w:sz="4" w:space="0" w:color="auto"/>
            </w:tcBorders>
            <w:shd w:val="clear" w:color="auto" w:fill="F2F2F2" w:themeFill="background1" w:themeFillShade="F2"/>
            <w:noWrap/>
            <w:vAlign w:val="bottom"/>
            <w:hideMark/>
          </w:tcPr>
          <w:p w14:paraId="53C7C46B"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variación</w:t>
            </w:r>
          </w:p>
        </w:tc>
      </w:tr>
      <w:tr w:rsidR="006369AA" w:rsidRPr="006369AA" w14:paraId="1EF393F9" w14:textId="77777777" w:rsidTr="00C671A0">
        <w:trPr>
          <w:trHeight w:val="255"/>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CDEDFE1"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Gran empresa</w:t>
            </w:r>
          </w:p>
        </w:tc>
        <w:tc>
          <w:tcPr>
            <w:tcW w:w="1290" w:type="dxa"/>
            <w:tcBorders>
              <w:top w:val="nil"/>
              <w:left w:val="nil"/>
              <w:bottom w:val="single" w:sz="4" w:space="0" w:color="auto"/>
              <w:right w:val="single" w:sz="4" w:space="0" w:color="auto"/>
            </w:tcBorders>
            <w:shd w:val="clear" w:color="auto" w:fill="auto"/>
            <w:noWrap/>
            <w:vAlign w:val="bottom"/>
            <w:hideMark/>
          </w:tcPr>
          <w:p w14:paraId="4D3F7C4D" w14:textId="77777777" w:rsidR="006369AA" w:rsidRPr="006369AA" w:rsidRDefault="006369AA" w:rsidP="00C671A0">
            <w:pP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 xml:space="preserve">         431.522 </w:t>
            </w:r>
          </w:p>
        </w:tc>
        <w:tc>
          <w:tcPr>
            <w:tcW w:w="1290" w:type="dxa"/>
            <w:tcBorders>
              <w:top w:val="nil"/>
              <w:left w:val="nil"/>
              <w:bottom w:val="single" w:sz="4" w:space="0" w:color="auto"/>
              <w:right w:val="single" w:sz="4" w:space="0" w:color="auto"/>
            </w:tcBorders>
            <w:shd w:val="clear" w:color="auto" w:fill="auto"/>
            <w:noWrap/>
            <w:vAlign w:val="bottom"/>
            <w:hideMark/>
          </w:tcPr>
          <w:p w14:paraId="17906D58" w14:textId="77777777" w:rsidR="006369AA" w:rsidRPr="006369AA" w:rsidRDefault="006369AA" w:rsidP="00C671A0">
            <w:pP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 xml:space="preserve">         383.539 </w:t>
            </w:r>
          </w:p>
        </w:tc>
        <w:tc>
          <w:tcPr>
            <w:tcW w:w="1296" w:type="dxa"/>
            <w:tcBorders>
              <w:top w:val="nil"/>
              <w:left w:val="nil"/>
              <w:bottom w:val="single" w:sz="4" w:space="0" w:color="auto"/>
              <w:right w:val="single" w:sz="4" w:space="0" w:color="auto"/>
            </w:tcBorders>
            <w:shd w:val="clear" w:color="auto" w:fill="auto"/>
            <w:noWrap/>
            <w:vAlign w:val="bottom"/>
            <w:hideMark/>
          </w:tcPr>
          <w:p w14:paraId="1ABF7481" w14:textId="77777777" w:rsidR="006369AA" w:rsidRPr="006369AA" w:rsidRDefault="006369AA" w:rsidP="00C671A0">
            <w:pP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 xml:space="preserve">          -47.983 </w:t>
            </w:r>
          </w:p>
        </w:tc>
        <w:tc>
          <w:tcPr>
            <w:tcW w:w="931" w:type="dxa"/>
            <w:tcBorders>
              <w:top w:val="nil"/>
              <w:left w:val="nil"/>
              <w:bottom w:val="single" w:sz="4" w:space="0" w:color="auto"/>
              <w:right w:val="single" w:sz="4" w:space="0" w:color="auto"/>
            </w:tcBorders>
            <w:shd w:val="clear" w:color="auto" w:fill="auto"/>
            <w:noWrap/>
            <w:vAlign w:val="bottom"/>
            <w:hideMark/>
          </w:tcPr>
          <w:p w14:paraId="3DE540CB"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-11,1%</w:t>
            </w:r>
          </w:p>
        </w:tc>
      </w:tr>
      <w:tr w:rsidR="006369AA" w:rsidRPr="006369AA" w14:paraId="34B85AD2" w14:textId="77777777" w:rsidTr="00C671A0">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1808456"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Microempresa</w:t>
            </w:r>
          </w:p>
        </w:tc>
        <w:tc>
          <w:tcPr>
            <w:tcW w:w="1290" w:type="dxa"/>
            <w:tcBorders>
              <w:top w:val="nil"/>
              <w:left w:val="nil"/>
              <w:bottom w:val="single" w:sz="4" w:space="0" w:color="auto"/>
              <w:right w:val="single" w:sz="4" w:space="0" w:color="auto"/>
            </w:tcBorders>
            <w:shd w:val="clear" w:color="auto" w:fill="auto"/>
            <w:noWrap/>
            <w:vAlign w:val="bottom"/>
            <w:hideMark/>
          </w:tcPr>
          <w:p w14:paraId="3A6198A8" w14:textId="77777777" w:rsidR="006369AA" w:rsidRPr="006369AA" w:rsidRDefault="006369AA" w:rsidP="00C671A0">
            <w:pP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 xml:space="preserve">         207.703 </w:t>
            </w:r>
          </w:p>
        </w:tc>
        <w:tc>
          <w:tcPr>
            <w:tcW w:w="1290" w:type="dxa"/>
            <w:tcBorders>
              <w:top w:val="nil"/>
              <w:left w:val="nil"/>
              <w:bottom w:val="single" w:sz="4" w:space="0" w:color="auto"/>
              <w:right w:val="single" w:sz="4" w:space="0" w:color="auto"/>
            </w:tcBorders>
            <w:shd w:val="clear" w:color="auto" w:fill="auto"/>
            <w:noWrap/>
            <w:vAlign w:val="bottom"/>
            <w:hideMark/>
          </w:tcPr>
          <w:p w14:paraId="4D2A2E76" w14:textId="77777777" w:rsidR="006369AA" w:rsidRPr="006369AA" w:rsidRDefault="006369AA" w:rsidP="00C671A0">
            <w:pP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 xml:space="preserve">         210.345 </w:t>
            </w:r>
          </w:p>
        </w:tc>
        <w:tc>
          <w:tcPr>
            <w:tcW w:w="1296" w:type="dxa"/>
            <w:tcBorders>
              <w:top w:val="nil"/>
              <w:left w:val="nil"/>
              <w:bottom w:val="single" w:sz="4" w:space="0" w:color="auto"/>
              <w:right w:val="single" w:sz="4" w:space="0" w:color="auto"/>
            </w:tcBorders>
            <w:shd w:val="clear" w:color="auto" w:fill="auto"/>
            <w:noWrap/>
            <w:vAlign w:val="bottom"/>
            <w:hideMark/>
          </w:tcPr>
          <w:p w14:paraId="66454A78" w14:textId="77777777" w:rsidR="006369AA" w:rsidRPr="006369AA" w:rsidRDefault="006369AA" w:rsidP="00C671A0">
            <w:pP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 xml:space="preserve">             2.642 </w:t>
            </w:r>
          </w:p>
        </w:tc>
        <w:tc>
          <w:tcPr>
            <w:tcW w:w="931" w:type="dxa"/>
            <w:tcBorders>
              <w:top w:val="nil"/>
              <w:left w:val="nil"/>
              <w:bottom w:val="single" w:sz="4" w:space="0" w:color="auto"/>
              <w:right w:val="single" w:sz="4" w:space="0" w:color="auto"/>
            </w:tcBorders>
            <w:shd w:val="clear" w:color="auto" w:fill="auto"/>
            <w:noWrap/>
            <w:vAlign w:val="bottom"/>
            <w:hideMark/>
          </w:tcPr>
          <w:p w14:paraId="0B46C320"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1,3%</w:t>
            </w:r>
          </w:p>
        </w:tc>
      </w:tr>
      <w:tr w:rsidR="006369AA" w:rsidRPr="006369AA" w14:paraId="5565DA84" w14:textId="77777777" w:rsidTr="00C671A0">
        <w:trPr>
          <w:trHeight w:val="255"/>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1F810CF9"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Mediana empresa</w:t>
            </w:r>
          </w:p>
        </w:tc>
        <w:tc>
          <w:tcPr>
            <w:tcW w:w="1290" w:type="dxa"/>
            <w:tcBorders>
              <w:top w:val="nil"/>
              <w:left w:val="nil"/>
              <w:bottom w:val="single" w:sz="4" w:space="0" w:color="auto"/>
              <w:right w:val="single" w:sz="4" w:space="0" w:color="auto"/>
            </w:tcBorders>
            <w:shd w:val="clear" w:color="auto" w:fill="auto"/>
            <w:noWrap/>
            <w:vAlign w:val="bottom"/>
            <w:hideMark/>
          </w:tcPr>
          <w:p w14:paraId="34DB6867" w14:textId="77777777" w:rsidR="006369AA" w:rsidRPr="006369AA" w:rsidRDefault="006369AA" w:rsidP="00C671A0">
            <w:pP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 xml:space="preserve">         148.334 </w:t>
            </w:r>
          </w:p>
        </w:tc>
        <w:tc>
          <w:tcPr>
            <w:tcW w:w="1290" w:type="dxa"/>
            <w:tcBorders>
              <w:top w:val="nil"/>
              <w:left w:val="nil"/>
              <w:bottom w:val="single" w:sz="4" w:space="0" w:color="auto"/>
              <w:right w:val="single" w:sz="4" w:space="0" w:color="auto"/>
            </w:tcBorders>
            <w:shd w:val="clear" w:color="auto" w:fill="auto"/>
            <w:noWrap/>
            <w:vAlign w:val="bottom"/>
            <w:hideMark/>
          </w:tcPr>
          <w:p w14:paraId="6040F6E1" w14:textId="77777777" w:rsidR="006369AA" w:rsidRPr="006369AA" w:rsidRDefault="006369AA" w:rsidP="00C671A0">
            <w:pP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 xml:space="preserve">         132.836 </w:t>
            </w:r>
          </w:p>
        </w:tc>
        <w:tc>
          <w:tcPr>
            <w:tcW w:w="1296" w:type="dxa"/>
            <w:tcBorders>
              <w:top w:val="nil"/>
              <w:left w:val="nil"/>
              <w:bottom w:val="single" w:sz="4" w:space="0" w:color="auto"/>
              <w:right w:val="single" w:sz="4" w:space="0" w:color="auto"/>
            </w:tcBorders>
            <w:shd w:val="clear" w:color="auto" w:fill="auto"/>
            <w:noWrap/>
            <w:vAlign w:val="bottom"/>
            <w:hideMark/>
          </w:tcPr>
          <w:p w14:paraId="374C102C" w14:textId="77777777" w:rsidR="006369AA" w:rsidRPr="006369AA" w:rsidRDefault="006369AA" w:rsidP="00C671A0">
            <w:pP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 xml:space="preserve">          -15.498 </w:t>
            </w:r>
          </w:p>
        </w:tc>
        <w:tc>
          <w:tcPr>
            <w:tcW w:w="931" w:type="dxa"/>
            <w:tcBorders>
              <w:top w:val="nil"/>
              <w:left w:val="nil"/>
              <w:bottom w:val="single" w:sz="4" w:space="0" w:color="auto"/>
              <w:right w:val="single" w:sz="4" w:space="0" w:color="auto"/>
            </w:tcBorders>
            <w:shd w:val="clear" w:color="auto" w:fill="auto"/>
            <w:noWrap/>
            <w:vAlign w:val="bottom"/>
            <w:hideMark/>
          </w:tcPr>
          <w:p w14:paraId="7C153A2D"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-10,4%</w:t>
            </w:r>
          </w:p>
        </w:tc>
      </w:tr>
      <w:tr w:rsidR="006369AA" w:rsidRPr="006369AA" w14:paraId="633FCA8E" w14:textId="77777777" w:rsidTr="00C671A0">
        <w:trPr>
          <w:trHeight w:val="300"/>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3F7CD1B2"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Pequeña empresa</w:t>
            </w:r>
          </w:p>
        </w:tc>
        <w:tc>
          <w:tcPr>
            <w:tcW w:w="1290" w:type="dxa"/>
            <w:tcBorders>
              <w:top w:val="nil"/>
              <w:left w:val="nil"/>
              <w:bottom w:val="single" w:sz="4" w:space="0" w:color="auto"/>
              <w:right w:val="single" w:sz="4" w:space="0" w:color="auto"/>
            </w:tcBorders>
            <w:shd w:val="clear" w:color="auto" w:fill="auto"/>
            <w:noWrap/>
            <w:vAlign w:val="bottom"/>
            <w:hideMark/>
          </w:tcPr>
          <w:p w14:paraId="3285680A" w14:textId="77777777" w:rsidR="006369AA" w:rsidRPr="006369AA" w:rsidRDefault="006369AA" w:rsidP="00C671A0">
            <w:pP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 xml:space="preserve">         147.415 </w:t>
            </w:r>
          </w:p>
        </w:tc>
        <w:tc>
          <w:tcPr>
            <w:tcW w:w="1290" w:type="dxa"/>
            <w:tcBorders>
              <w:top w:val="nil"/>
              <w:left w:val="nil"/>
              <w:bottom w:val="single" w:sz="4" w:space="0" w:color="auto"/>
              <w:right w:val="single" w:sz="4" w:space="0" w:color="auto"/>
            </w:tcBorders>
            <w:shd w:val="clear" w:color="auto" w:fill="auto"/>
            <w:noWrap/>
            <w:vAlign w:val="bottom"/>
            <w:hideMark/>
          </w:tcPr>
          <w:p w14:paraId="42F52152" w14:textId="77777777" w:rsidR="006369AA" w:rsidRPr="006369AA" w:rsidRDefault="006369AA" w:rsidP="00C671A0">
            <w:pP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 xml:space="preserve">         131.010 </w:t>
            </w:r>
          </w:p>
        </w:tc>
        <w:tc>
          <w:tcPr>
            <w:tcW w:w="1296" w:type="dxa"/>
            <w:tcBorders>
              <w:top w:val="nil"/>
              <w:left w:val="nil"/>
              <w:bottom w:val="single" w:sz="4" w:space="0" w:color="auto"/>
              <w:right w:val="single" w:sz="4" w:space="0" w:color="auto"/>
            </w:tcBorders>
            <w:shd w:val="clear" w:color="auto" w:fill="auto"/>
            <w:noWrap/>
            <w:vAlign w:val="bottom"/>
            <w:hideMark/>
          </w:tcPr>
          <w:p w14:paraId="510C30E3" w14:textId="77777777" w:rsidR="006369AA" w:rsidRPr="006369AA" w:rsidRDefault="006369AA" w:rsidP="00C671A0">
            <w:pP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 xml:space="preserve">          -16.405 </w:t>
            </w:r>
          </w:p>
        </w:tc>
        <w:tc>
          <w:tcPr>
            <w:tcW w:w="931" w:type="dxa"/>
            <w:tcBorders>
              <w:top w:val="nil"/>
              <w:left w:val="nil"/>
              <w:bottom w:val="single" w:sz="4" w:space="0" w:color="auto"/>
              <w:right w:val="single" w:sz="4" w:space="0" w:color="auto"/>
            </w:tcBorders>
            <w:shd w:val="clear" w:color="auto" w:fill="auto"/>
            <w:noWrap/>
            <w:vAlign w:val="bottom"/>
            <w:hideMark/>
          </w:tcPr>
          <w:p w14:paraId="5BBC5618"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-11,1%</w:t>
            </w:r>
          </w:p>
        </w:tc>
      </w:tr>
      <w:tr w:rsidR="006369AA" w:rsidRPr="006369AA" w14:paraId="1FEAEBCF" w14:textId="77777777" w:rsidTr="00C671A0">
        <w:trPr>
          <w:trHeight w:val="255"/>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14AA2BF"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Total</w:t>
            </w:r>
          </w:p>
        </w:tc>
        <w:tc>
          <w:tcPr>
            <w:tcW w:w="1290" w:type="dxa"/>
            <w:tcBorders>
              <w:top w:val="nil"/>
              <w:left w:val="nil"/>
              <w:bottom w:val="single" w:sz="4" w:space="0" w:color="auto"/>
              <w:right w:val="single" w:sz="4" w:space="0" w:color="auto"/>
            </w:tcBorders>
            <w:shd w:val="clear" w:color="auto" w:fill="auto"/>
            <w:noWrap/>
            <w:vAlign w:val="bottom"/>
            <w:hideMark/>
          </w:tcPr>
          <w:p w14:paraId="47524836" w14:textId="77777777" w:rsidR="006369AA" w:rsidRPr="006369AA" w:rsidRDefault="006369AA" w:rsidP="00C671A0">
            <w:pP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 xml:space="preserve">         934.974 </w:t>
            </w:r>
          </w:p>
        </w:tc>
        <w:tc>
          <w:tcPr>
            <w:tcW w:w="1290" w:type="dxa"/>
            <w:tcBorders>
              <w:top w:val="nil"/>
              <w:left w:val="nil"/>
              <w:bottom w:val="single" w:sz="4" w:space="0" w:color="auto"/>
              <w:right w:val="single" w:sz="4" w:space="0" w:color="auto"/>
            </w:tcBorders>
            <w:shd w:val="clear" w:color="auto" w:fill="auto"/>
            <w:noWrap/>
            <w:vAlign w:val="bottom"/>
            <w:hideMark/>
          </w:tcPr>
          <w:p w14:paraId="3AA91CC1" w14:textId="77777777" w:rsidR="006369AA" w:rsidRPr="006369AA" w:rsidRDefault="006369AA" w:rsidP="00C671A0">
            <w:pP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 xml:space="preserve">         857.730 </w:t>
            </w:r>
          </w:p>
        </w:tc>
        <w:tc>
          <w:tcPr>
            <w:tcW w:w="1296" w:type="dxa"/>
            <w:tcBorders>
              <w:top w:val="nil"/>
              <w:left w:val="nil"/>
              <w:bottom w:val="single" w:sz="4" w:space="0" w:color="auto"/>
              <w:right w:val="single" w:sz="4" w:space="0" w:color="auto"/>
            </w:tcBorders>
            <w:shd w:val="clear" w:color="auto" w:fill="auto"/>
            <w:noWrap/>
            <w:vAlign w:val="bottom"/>
            <w:hideMark/>
          </w:tcPr>
          <w:p w14:paraId="04C0E97D" w14:textId="77777777" w:rsidR="006369AA" w:rsidRPr="006369AA" w:rsidRDefault="006369AA" w:rsidP="00C671A0">
            <w:pP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 xml:space="preserve">          -77.244 </w:t>
            </w:r>
          </w:p>
        </w:tc>
        <w:tc>
          <w:tcPr>
            <w:tcW w:w="931" w:type="dxa"/>
            <w:tcBorders>
              <w:top w:val="nil"/>
              <w:left w:val="nil"/>
              <w:bottom w:val="single" w:sz="4" w:space="0" w:color="auto"/>
              <w:right w:val="single" w:sz="4" w:space="0" w:color="auto"/>
            </w:tcBorders>
            <w:shd w:val="clear" w:color="auto" w:fill="auto"/>
            <w:noWrap/>
            <w:vAlign w:val="bottom"/>
            <w:hideMark/>
          </w:tcPr>
          <w:p w14:paraId="77CA1DEC" w14:textId="77777777" w:rsidR="006369AA" w:rsidRPr="006369AA" w:rsidRDefault="006369AA" w:rsidP="00C671A0">
            <w:pPr>
              <w:jc w:val="right"/>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-8,3%</w:t>
            </w:r>
          </w:p>
        </w:tc>
      </w:tr>
      <w:tr w:rsidR="006369AA" w:rsidRPr="006369AA" w14:paraId="4EB3F234" w14:textId="77777777" w:rsidTr="00C671A0">
        <w:trPr>
          <w:trHeight w:val="255"/>
          <w:jc w:val="center"/>
        </w:trPr>
        <w:tc>
          <w:tcPr>
            <w:tcW w:w="662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52E75"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 </w:t>
            </w:r>
          </w:p>
        </w:tc>
      </w:tr>
      <w:tr w:rsidR="006369AA" w:rsidRPr="006369AA" w14:paraId="3482FE1D" w14:textId="77777777" w:rsidTr="00C671A0">
        <w:trPr>
          <w:trHeight w:val="255"/>
          <w:jc w:val="center"/>
        </w:trPr>
        <w:tc>
          <w:tcPr>
            <w:tcW w:w="1820" w:type="dxa"/>
            <w:vMerge w:val="restar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85F9B77"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Tamaño de la empresa</w:t>
            </w:r>
          </w:p>
        </w:tc>
        <w:tc>
          <w:tcPr>
            <w:tcW w:w="4807" w:type="dxa"/>
            <w:gridSpan w:val="4"/>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6DC179F"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Ventas en millones de dólares</w:t>
            </w:r>
          </w:p>
        </w:tc>
      </w:tr>
      <w:tr w:rsidR="006369AA" w:rsidRPr="006369AA" w14:paraId="2444E9AA" w14:textId="77777777" w:rsidTr="00C671A0">
        <w:trPr>
          <w:trHeight w:val="255"/>
          <w:jc w:val="center"/>
        </w:trPr>
        <w:tc>
          <w:tcPr>
            <w:tcW w:w="182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05B5FBA" w14:textId="77777777" w:rsidR="006369AA" w:rsidRPr="006369AA" w:rsidRDefault="006369AA" w:rsidP="00C671A0">
            <w:pPr>
              <w:jc w:val="center"/>
              <w:rPr>
                <w:rFonts w:ascii="Palatino Linotype" w:eastAsia="Times New Roman" w:hAnsi="Palatino Linotype" w:cstheme="minorHAnsi"/>
                <w:b/>
                <w:bCs/>
                <w:color w:val="595959"/>
                <w:lang w:eastAsia="es-EC"/>
              </w:rPr>
            </w:pPr>
          </w:p>
        </w:tc>
        <w:tc>
          <w:tcPr>
            <w:tcW w:w="1290" w:type="dxa"/>
            <w:tcBorders>
              <w:top w:val="nil"/>
              <w:left w:val="nil"/>
              <w:bottom w:val="single" w:sz="4" w:space="0" w:color="auto"/>
              <w:right w:val="single" w:sz="4" w:space="0" w:color="auto"/>
            </w:tcBorders>
            <w:shd w:val="clear" w:color="auto" w:fill="F2F2F2" w:themeFill="background1" w:themeFillShade="F2"/>
            <w:noWrap/>
            <w:vAlign w:val="bottom"/>
            <w:hideMark/>
          </w:tcPr>
          <w:p w14:paraId="6C741718"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2019</w:t>
            </w:r>
          </w:p>
        </w:tc>
        <w:tc>
          <w:tcPr>
            <w:tcW w:w="1290" w:type="dxa"/>
            <w:tcBorders>
              <w:top w:val="nil"/>
              <w:left w:val="nil"/>
              <w:bottom w:val="single" w:sz="4" w:space="0" w:color="auto"/>
              <w:right w:val="single" w:sz="4" w:space="0" w:color="auto"/>
            </w:tcBorders>
            <w:shd w:val="clear" w:color="auto" w:fill="F2F2F2" w:themeFill="background1" w:themeFillShade="F2"/>
            <w:noWrap/>
            <w:vAlign w:val="bottom"/>
            <w:hideMark/>
          </w:tcPr>
          <w:p w14:paraId="3CA6DA39"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2020</w:t>
            </w:r>
          </w:p>
        </w:tc>
        <w:tc>
          <w:tcPr>
            <w:tcW w:w="1296" w:type="dxa"/>
            <w:tcBorders>
              <w:top w:val="nil"/>
              <w:left w:val="nil"/>
              <w:bottom w:val="single" w:sz="4" w:space="0" w:color="auto"/>
              <w:right w:val="single" w:sz="4" w:space="0" w:color="auto"/>
            </w:tcBorders>
            <w:shd w:val="clear" w:color="auto" w:fill="F2F2F2" w:themeFill="background1" w:themeFillShade="F2"/>
            <w:noWrap/>
            <w:vAlign w:val="bottom"/>
            <w:hideMark/>
          </w:tcPr>
          <w:p w14:paraId="680E82C3"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diferencia</w:t>
            </w:r>
          </w:p>
        </w:tc>
        <w:tc>
          <w:tcPr>
            <w:tcW w:w="931" w:type="dxa"/>
            <w:tcBorders>
              <w:top w:val="nil"/>
              <w:left w:val="nil"/>
              <w:bottom w:val="single" w:sz="4" w:space="0" w:color="auto"/>
              <w:right w:val="single" w:sz="4" w:space="0" w:color="auto"/>
            </w:tcBorders>
            <w:shd w:val="clear" w:color="auto" w:fill="F2F2F2" w:themeFill="background1" w:themeFillShade="F2"/>
            <w:noWrap/>
            <w:vAlign w:val="bottom"/>
            <w:hideMark/>
          </w:tcPr>
          <w:p w14:paraId="0FBB6CAD" w14:textId="77777777" w:rsidR="006369AA" w:rsidRPr="006369AA" w:rsidRDefault="006369AA" w:rsidP="00C671A0">
            <w:pPr>
              <w:jc w:val="center"/>
              <w:rPr>
                <w:rFonts w:ascii="Palatino Linotype" w:eastAsia="Times New Roman" w:hAnsi="Palatino Linotype" w:cstheme="minorHAnsi"/>
                <w:b/>
                <w:bCs/>
                <w:color w:val="595959"/>
                <w:lang w:eastAsia="es-EC"/>
              </w:rPr>
            </w:pPr>
            <w:r w:rsidRPr="006369AA">
              <w:rPr>
                <w:rFonts w:ascii="Palatino Linotype" w:eastAsia="Times New Roman" w:hAnsi="Palatino Linotype" w:cstheme="minorHAnsi"/>
                <w:b/>
                <w:bCs/>
                <w:color w:val="595959"/>
                <w:lang w:eastAsia="es-EC"/>
              </w:rPr>
              <w:t>variación</w:t>
            </w:r>
          </w:p>
        </w:tc>
      </w:tr>
      <w:tr w:rsidR="006369AA" w:rsidRPr="006369AA" w14:paraId="178D9448" w14:textId="77777777" w:rsidTr="00C671A0">
        <w:trPr>
          <w:trHeight w:val="255"/>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02C4D6CF"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lastRenderedPageBreak/>
              <w:t>Gran empresa</w:t>
            </w:r>
          </w:p>
        </w:tc>
        <w:tc>
          <w:tcPr>
            <w:tcW w:w="1290" w:type="dxa"/>
            <w:tcBorders>
              <w:top w:val="nil"/>
              <w:left w:val="nil"/>
              <w:bottom w:val="single" w:sz="4" w:space="0" w:color="auto"/>
              <w:right w:val="single" w:sz="4" w:space="0" w:color="auto"/>
            </w:tcBorders>
            <w:shd w:val="clear" w:color="auto" w:fill="auto"/>
            <w:noWrap/>
            <w:vAlign w:val="center"/>
            <w:hideMark/>
          </w:tcPr>
          <w:p w14:paraId="54717194"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55.380</w:t>
            </w:r>
          </w:p>
        </w:tc>
        <w:tc>
          <w:tcPr>
            <w:tcW w:w="1290" w:type="dxa"/>
            <w:tcBorders>
              <w:top w:val="nil"/>
              <w:left w:val="nil"/>
              <w:bottom w:val="single" w:sz="4" w:space="0" w:color="auto"/>
              <w:right w:val="single" w:sz="4" w:space="0" w:color="auto"/>
            </w:tcBorders>
            <w:shd w:val="clear" w:color="auto" w:fill="auto"/>
            <w:noWrap/>
            <w:vAlign w:val="center"/>
            <w:hideMark/>
          </w:tcPr>
          <w:p w14:paraId="1F1F2551"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42.342</w:t>
            </w:r>
          </w:p>
        </w:tc>
        <w:tc>
          <w:tcPr>
            <w:tcW w:w="1296" w:type="dxa"/>
            <w:tcBorders>
              <w:top w:val="nil"/>
              <w:left w:val="nil"/>
              <w:bottom w:val="single" w:sz="4" w:space="0" w:color="auto"/>
              <w:right w:val="single" w:sz="4" w:space="0" w:color="auto"/>
            </w:tcBorders>
            <w:shd w:val="clear" w:color="auto" w:fill="auto"/>
            <w:noWrap/>
            <w:vAlign w:val="center"/>
            <w:hideMark/>
          </w:tcPr>
          <w:p w14:paraId="08E76A26"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-13.038</w:t>
            </w:r>
          </w:p>
        </w:tc>
        <w:tc>
          <w:tcPr>
            <w:tcW w:w="931" w:type="dxa"/>
            <w:tcBorders>
              <w:top w:val="nil"/>
              <w:left w:val="nil"/>
              <w:bottom w:val="single" w:sz="4" w:space="0" w:color="auto"/>
              <w:right w:val="single" w:sz="4" w:space="0" w:color="auto"/>
            </w:tcBorders>
            <w:shd w:val="clear" w:color="auto" w:fill="auto"/>
            <w:noWrap/>
            <w:vAlign w:val="center"/>
            <w:hideMark/>
          </w:tcPr>
          <w:p w14:paraId="30DFDF7D"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-23,5%</w:t>
            </w:r>
          </w:p>
        </w:tc>
      </w:tr>
      <w:tr w:rsidR="006369AA" w:rsidRPr="006369AA" w14:paraId="224F1E50" w14:textId="77777777" w:rsidTr="00C671A0">
        <w:trPr>
          <w:trHeight w:val="255"/>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2D7E47C7"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Microempresa</w:t>
            </w:r>
          </w:p>
        </w:tc>
        <w:tc>
          <w:tcPr>
            <w:tcW w:w="1290" w:type="dxa"/>
            <w:tcBorders>
              <w:top w:val="nil"/>
              <w:left w:val="nil"/>
              <w:bottom w:val="single" w:sz="4" w:space="0" w:color="auto"/>
              <w:right w:val="single" w:sz="4" w:space="0" w:color="auto"/>
            </w:tcBorders>
            <w:shd w:val="clear" w:color="auto" w:fill="auto"/>
            <w:noWrap/>
            <w:vAlign w:val="center"/>
            <w:hideMark/>
          </w:tcPr>
          <w:p w14:paraId="60946AEB"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491</w:t>
            </w:r>
          </w:p>
        </w:tc>
        <w:tc>
          <w:tcPr>
            <w:tcW w:w="1290" w:type="dxa"/>
            <w:tcBorders>
              <w:top w:val="nil"/>
              <w:left w:val="nil"/>
              <w:bottom w:val="single" w:sz="4" w:space="0" w:color="auto"/>
              <w:right w:val="single" w:sz="4" w:space="0" w:color="auto"/>
            </w:tcBorders>
            <w:shd w:val="clear" w:color="auto" w:fill="auto"/>
            <w:noWrap/>
            <w:vAlign w:val="center"/>
            <w:hideMark/>
          </w:tcPr>
          <w:p w14:paraId="38D69A1B"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441</w:t>
            </w:r>
          </w:p>
        </w:tc>
        <w:tc>
          <w:tcPr>
            <w:tcW w:w="1296" w:type="dxa"/>
            <w:tcBorders>
              <w:top w:val="nil"/>
              <w:left w:val="nil"/>
              <w:bottom w:val="single" w:sz="4" w:space="0" w:color="auto"/>
              <w:right w:val="single" w:sz="4" w:space="0" w:color="auto"/>
            </w:tcBorders>
            <w:shd w:val="clear" w:color="auto" w:fill="auto"/>
            <w:noWrap/>
            <w:vAlign w:val="center"/>
            <w:hideMark/>
          </w:tcPr>
          <w:p w14:paraId="1BE2C465"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-50</w:t>
            </w:r>
          </w:p>
        </w:tc>
        <w:tc>
          <w:tcPr>
            <w:tcW w:w="931" w:type="dxa"/>
            <w:tcBorders>
              <w:top w:val="nil"/>
              <w:left w:val="nil"/>
              <w:bottom w:val="single" w:sz="4" w:space="0" w:color="auto"/>
              <w:right w:val="single" w:sz="4" w:space="0" w:color="auto"/>
            </w:tcBorders>
            <w:shd w:val="clear" w:color="auto" w:fill="auto"/>
            <w:noWrap/>
            <w:vAlign w:val="center"/>
            <w:hideMark/>
          </w:tcPr>
          <w:p w14:paraId="65950E36"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-10,3%</w:t>
            </w:r>
          </w:p>
        </w:tc>
      </w:tr>
      <w:tr w:rsidR="006369AA" w:rsidRPr="006369AA" w14:paraId="7B1BC1DA" w14:textId="77777777" w:rsidTr="00C671A0">
        <w:trPr>
          <w:trHeight w:val="255"/>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504A9DBB"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Mediana empresa</w:t>
            </w:r>
          </w:p>
        </w:tc>
        <w:tc>
          <w:tcPr>
            <w:tcW w:w="1290" w:type="dxa"/>
            <w:tcBorders>
              <w:top w:val="nil"/>
              <w:left w:val="nil"/>
              <w:bottom w:val="single" w:sz="4" w:space="0" w:color="auto"/>
              <w:right w:val="single" w:sz="4" w:space="0" w:color="auto"/>
            </w:tcBorders>
            <w:shd w:val="clear" w:color="auto" w:fill="auto"/>
            <w:noWrap/>
            <w:vAlign w:val="center"/>
            <w:hideMark/>
          </w:tcPr>
          <w:p w14:paraId="5991F163"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7.927</w:t>
            </w:r>
          </w:p>
        </w:tc>
        <w:tc>
          <w:tcPr>
            <w:tcW w:w="1290" w:type="dxa"/>
            <w:tcBorders>
              <w:top w:val="nil"/>
              <w:left w:val="nil"/>
              <w:bottom w:val="single" w:sz="4" w:space="0" w:color="auto"/>
              <w:right w:val="single" w:sz="4" w:space="0" w:color="auto"/>
            </w:tcBorders>
            <w:shd w:val="clear" w:color="auto" w:fill="auto"/>
            <w:noWrap/>
            <w:vAlign w:val="center"/>
            <w:hideMark/>
          </w:tcPr>
          <w:p w14:paraId="4EE656BA"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6.340</w:t>
            </w:r>
          </w:p>
        </w:tc>
        <w:tc>
          <w:tcPr>
            <w:tcW w:w="1296" w:type="dxa"/>
            <w:tcBorders>
              <w:top w:val="nil"/>
              <w:left w:val="nil"/>
              <w:bottom w:val="single" w:sz="4" w:space="0" w:color="auto"/>
              <w:right w:val="single" w:sz="4" w:space="0" w:color="auto"/>
            </w:tcBorders>
            <w:shd w:val="clear" w:color="auto" w:fill="auto"/>
            <w:noWrap/>
            <w:vAlign w:val="center"/>
            <w:hideMark/>
          </w:tcPr>
          <w:p w14:paraId="759A0FC2"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-1.587</w:t>
            </w:r>
          </w:p>
        </w:tc>
        <w:tc>
          <w:tcPr>
            <w:tcW w:w="931" w:type="dxa"/>
            <w:tcBorders>
              <w:top w:val="nil"/>
              <w:left w:val="nil"/>
              <w:bottom w:val="single" w:sz="4" w:space="0" w:color="auto"/>
              <w:right w:val="single" w:sz="4" w:space="0" w:color="auto"/>
            </w:tcBorders>
            <w:shd w:val="clear" w:color="auto" w:fill="auto"/>
            <w:noWrap/>
            <w:vAlign w:val="center"/>
            <w:hideMark/>
          </w:tcPr>
          <w:p w14:paraId="325B7EC9"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-20,0%</w:t>
            </w:r>
          </w:p>
        </w:tc>
      </w:tr>
      <w:tr w:rsidR="006369AA" w:rsidRPr="006369AA" w14:paraId="00B370DA" w14:textId="77777777" w:rsidTr="00C671A0">
        <w:trPr>
          <w:trHeight w:val="255"/>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2E8CA6B"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Pequeña empresa</w:t>
            </w:r>
          </w:p>
        </w:tc>
        <w:tc>
          <w:tcPr>
            <w:tcW w:w="1290" w:type="dxa"/>
            <w:tcBorders>
              <w:top w:val="nil"/>
              <w:left w:val="nil"/>
              <w:bottom w:val="single" w:sz="4" w:space="0" w:color="auto"/>
              <w:right w:val="single" w:sz="4" w:space="0" w:color="auto"/>
            </w:tcBorders>
            <w:shd w:val="clear" w:color="auto" w:fill="auto"/>
            <w:noWrap/>
            <w:vAlign w:val="center"/>
            <w:hideMark/>
          </w:tcPr>
          <w:p w14:paraId="67AA5F62"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5.413</w:t>
            </w:r>
          </w:p>
        </w:tc>
        <w:tc>
          <w:tcPr>
            <w:tcW w:w="1290" w:type="dxa"/>
            <w:tcBorders>
              <w:top w:val="nil"/>
              <w:left w:val="nil"/>
              <w:bottom w:val="single" w:sz="4" w:space="0" w:color="auto"/>
              <w:right w:val="single" w:sz="4" w:space="0" w:color="auto"/>
            </w:tcBorders>
            <w:shd w:val="clear" w:color="auto" w:fill="auto"/>
            <w:noWrap/>
            <w:vAlign w:val="center"/>
            <w:hideMark/>
          </w:tcPr>
          <w:p w14:paraId="0E1A1DD4"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4.265</w:t>
            </w:r>
          </w:p>
        </w:tc>
        <w:tc>
          <w:tcPr>
            <w:tcW w:w="1296" w:type="dxa"/>
            <w:tcBorders>
              <w:top w:val="nil"/>
              <w:left w:val="nil"/>
              <w:bottom w:val="single" w:sz="4" w:space="0" w:color="auto"/>
              <w:right w:val="single" w:sz="4" w:space="0" w:color="auto"/>
            </w:tcBorders>
            <w:shd w:val="clear" w:color="auto" w:fill="auto"/>
            <w:noWrap/>
            <w:vAlign w:val="center"/>
            <w:hideMark/>
          </w:tcPr>
          <w:p w14:paraId="1AF6FEB9"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-1.148</w:t>
            </w:r>
          </w:p>
        </w:tc>
        <w:tc>
          <w:tcPr>
            <w:tcW w:w="931" w:type="dxa"/>
            <w:tcBorders>
              <w:top w:val="nil"/>
              <w:left w:val="nil"/>
              <w:bottom w:val="single" w:sz="4" w:space="0" w:color="auto"/>
              <w:right w:val="single" w:sz="4" w:space="0" w:color="auto"/>
            </w:tcBorders>
            <w:shd w:val="clear" w:color="auto" w:fill="auto"/>
            <w:noWrap/>
            <w:vAlign w:val="center"/>
            <w:hideMark/>
          </w:tcPr>
          <w:p w14:paraId="1096B53C"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-21,2%</w:t>
            </w:r>
          </w:p>
        </w:tc>
      </w:tr>
      <w:tr w:rsidR="006369AA" w:rsidRPr="006369AA" w14:paraId="09EE0D60" w14:textId="77777777" w:rsidTr="00C671A0">
        <w:trPr>
          <w:trHeight w:val="255"/>
          <w:jc w:val="center"/>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14:paraId="7EFD1B8E"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Total</w:t>
            </w:r>
          </w:p>
        </w:tc>
        <w:tc>
          <w:tcPr>
            <w:tcW w:w="1290" w:type="dxa"/>
            <w:tcBorders>
              <w:top w:val="nil"/>
              <w:left w:val="nil"/>
              <w:bottom w:val="single" w:sz="4" w:space="0" w:color="auto"/>
              <w:right w:val="single" w:sz="4" w:space="0" w:color="auto"/>
            </w:tcBorders>
            <w:shd w:val="clear" w:color="auto" w:fill="auto"/>
            <w:noWrap/>
            <w:vAlign w:val="center"/>
            <w:hideMark/>
          </w:tcPr>
          <w:p w14:paraId="4F1717EA"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69.211</w:t>
            </w:r>
          </w:p>
        </w:tc>
        <w:tc>
          <w:tcPr>
            <w:tcW w:w="1290" w:type="dxa"/>
            <w:tcBorders>
              <w:top w:val="nil"/>
              <w:left w:val="nil"/>
              <w:bottom w:val="single" w:sz="4" w:space="0" w:color="auto"/>
              <w:right w:val="single" w:sz="4" w:space="0" w:color="auto"/>
            </w:tcBorders>
            <w:shd w:val="clear" w:color="auto" w:fill="auto"/>
            <w:noWrap/>
            <w:vAlign w:val="center"/>
            <w:hideMark/>
          </w:tcPr>
          <w:p w14:paraId="43FD3EA7"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53.388</w:t>
            </w:r>
          </w:p>
        </w:tc>
        <w:tc>
          <w:tcPr>
            <w:tcW w:w="1296" w:type="dxa"/>
            <w:tcBorders>
              <w:top w:val="nil"/>
              <w:left w:val="nil"/>
              <w:bottom w:val="single" w:sz="4" w:space="0" w:color="auto"/>
              <w:right w:val="single" w:sz="4" w:space="0" w:color="auto"/>
            </w:tcBorders>
            <w:shd w:val="clear" w:color="auto" w:fill="auto"/>
            <w:noWrap/>
            <w:vAlign w:val="center"/>
            <w:hideMark/>
          </w:tcPr>
          <w:p w14:paraId="655973EB"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-15.823</w:t>
            </w:r>
          </w:p>
        </w:tc>
        <w:tc>
          <w:tcPr>
            <w:tcW w:w="931" w:type="dxa"/>
            <w:tcBorders>
              <w:top w:val="nil"/>
              <w:left w:val="nil"/>
              <w:bottom w:val="single" w:sz="4" w:space="0" w:color="auto"/>
              <w:right w:val="single" w:sz="4" w:space="0" w:color="auto"/>
            </w:tcBorders>
            <w:shd w:val="clear" w:color="auto" w:fill="auto"/>
            <w:noWrap/>
            <w:vAlign w:val="center"/>
            <w:hideMark/>
          </w:tcPr>
          <w:p w14:paraId="33C0E3C0" w14:textId="77777777" w:rsidR="006369AA" w:rsidRPr="006369AA" w:rsidRDefault="006369AA" w:rsidP="00C671A0">
            <w:pPr>
              <w:jc w:val="center"/>
              <w:rPr>
                <w:rFonts w:ascii="Palatino Linotype" w:eastAsia="Times New Roman" w:hAnsi="Palatino Linotype" w:cstheme="minorHAnsi"/>
                <w:color w:val="000000"/>
                <w:lang w:eastAsia="es-EC"/>
              </w:rPr>
            </w:pPr>
            <w:r w:rsidRPr="006369AA">
              <w:rPr>
                <w:rFonts w:ascii="Palatino Linotype" w:eastAsia="Times New Roman" w:hAnsi="Palatino Linotype" w:cstheme="minorHAnsi"/>
                <w:color w:val="000000"/>
                <w:lang w:eastAsia="es-EC"/>
              </w:rPr>
              <w:t>-22,9%</w:t>
            </w:r>
          </w:p>
        </w:tc>
      </w:tr>
    </w:tbl>
    <w:p w14:paraId="0C83E070" w14:textId="77777777" w:rsidR="006369AA" w:rsidRPr="006369AA" w:rsidRDefault="006369AA" w:rsidP="006369AA">
      <w:pPr>
        <w:tabs>
          <w:tab w:val="right" w:pos="9026"/>
        </w:tabs>
        <w:jc w:val="both"/>
        <w:rPr>
          <w:rFonts w:ascii="Palatino Linotype" w:hAnsi="Palatino Linotype" w:cstheme="minorHAnsi"/>
        </w:rPr>
      </w:pPr>
      <w:r w:rsidRPr="006369AA">
        <w:rPr>
          <w:rFonts w:ascii="Palatino Linotype" w:hAnsi="Palatino Linotype" w:cstheme="minorHAnsi"/>
        </w:rPr>
        <w:t>Fuente: INEC 2022</w:t>
      </w:r>
    </w:p>
    <w:p w14:paraId="3A45E3E2" w14:textId="77777777" w:rsidR="006369AA" w:rsidRPr="006369AA" w:rsidRDefault="006369AA" w:rsidP="006369AA">
      <w:pPr>
        <w:tabs>
          <w:tab w:val="right" w:pos="9026"/>
        </w:tabs>
        <w:jc w:val="both"/>
        <w:rPr>
          <w:rFonts w:ascii="Palatino Linotype" w:hAnsi="Palatino Linotype" w:cstheme="minorHAnsi"/>
        </w:rPr>
      </w:pPr>
    </w:p>
    <w:p w14:paraId="26441B9C" w14:textId="77777777" w:rsidR="006369AA" w:rsidRPr="006369AA" w:rsidRDefault="006369AA" w:rsidP="006369AA">
      <w:pPr>
        <w:tabs>
          <w:tab w:val="right" w:pos="9026"/>
        </w:tabs>
        <w:jc w:val="both"/>
        <w:rPr>
          <w:rFonts w:ascii="Palatino Linotype" w:hAnsi="Palatino Linotype" w:cstheme="minorHAnsi"/>
        </w:rPr>
      </w:pPr>
      <w:r w:rsidRPr="006369AA">
        <w:rPr>
          <w:rFonts w:ascii="Palatino Linotype" w:hAnsi="Palatino Linotype" w:cstheme="minorHAnsi"/>
        </w:rPr>
        <w:t>Según el Instituto Nacional de Estadísticas y Censos (INEC, 2023) la variación anual del Índice de Precios al Consumidor al mes de diciembre 2021 respecto a diciembre de 2022 bordea 2,04% para la ciudad de Quito y el IPC acumulado al primer semestre 2021 ha sido del 3,82%. Se puede explicar que, si bien ha existido cierta mejora, se avizora una reducción de la demanda de los hogares residentes en el área urbana en el DMQ misma que obliga la reducción de precios para mantener las ventas, con una leve tendencia a recuperarse, sin embargo, no se alcanzan los niveles registrados en años anteriores.</w:t>
      </w:r>
    </w:p>
    <w:p w14:paraId="1DE40697" w14:textId="77777777" w:rsidR="006369AA" w:rsidRPr="006369AA" w:rsidRDefault="006369AA" w:rsidP="006369AA">
      <w:pPr>
        <w:tabs>
          <w:tab w:val="right" w:pos="9026"/>
        </w:tabs>
        <w:jc w:val="both"/>
        <w:rPr>
          <w:rFonts w:ascii="Palatino Linotype" w:hAnsi="Palatino Linotype" w:cstheme="minorHAnsi"/>
        </w:rPr>
      </w:pPr>
    </w:p>
    <w:p w14:paraId="4FDD9D4E" w14:textId="77777777" w:rsidR="006369AA" w:rsidRPr="006369AA" w:rsidRDefault="006369AA" w:rsidP="006369AA">
      <w:pPr>
        <w:tabs>
          <w:tab w:val="right" w:pos="9026"/>
        </w:tabs>
        <w:jc w:val="center"/>
        <w:rPr>
          <w:rFonts w:ascii="Palatino Linotype" w:hAnsi="Palatino Linotype" w:cstheme="minorHAnsi"/>
          <w:b/>
          <w:bCs/>
        </w:rPr>
      </w:pPr>
      <w:r w:rsidRPr="006369AA">
        <w:rPr>
          <w:rFonts w:ascii="Palatino Linotype" w:hAnsi="Palatino Linotype" w:cstheme="minorHAnsi"/>
          <w:b/>
          <w:bCs/>
        </w:rPr>
        <w:t>Índice de Precios al Consumidor (IPC)</w:t>
      </w:r>
    </w:p>
    <w:p w14:paraId="03E899FF" w14:textId="77777777" w:rsidR="006369AA" w:rsidRPr="006369AA" w:rsidRDefault="006369AA" w:rsidP="006369AA">
      <w:pPr>
        <w:rPr>
          <w:rFonts w:ascii="Palatino Linotype" w:hAnsi="Palatino Linotype" w:cstheme="minorHAnsi"/>
          <w:b/>
          <w:bCs/>
        </w:rPr>
      </w:pPr>
      <w:r w:rsidRPr="006369AA">
        <w:rPr>
          <w:rFonts w:ascii="Palatino Linotype" w:hAnsi="Palatino Linotype" w:cstheme="minorHAnsi"/>
          <w:noProof/>
          <w:lang w:val="en-US"/>
        </w:rPr>
        <w:drawing>
          <wp:anchor distT="0" distB="0" distL="114300" distR="114300" simplePos="0" relativeHeight="251659264" behindDoc="0" locked="0" layoutInCell="1" allowOverlap="1" wp14:anchorId="13BD032D" wp14:editId="552F9B2E">
            <wp:simplePos x="0" y="0"/>
            <wp:positionH relativeFrom="margin">
              <wp:align>center</wp:align>
            </wp:positionH>
            <wp:positionV relativeFrom="paragraph">
              <wp:posOffset>106680</wp:posOffset>
            </wp:positionV>
            <wp:extent cx="6953250" cy="2286000"/>
            <wp:effectExtent l="0" t="0" r="0" b="0"/>
            <wp:wrapNone/>
            <wp:docPr id="6" name="Gráfico 6">
              <a:extLst xmlns:a="http://schemas.openxmlformats.org/drawingml/2006/main">
                <a:ext uri="{FF2B5EF4-FFF2-40B4-BE49-F238E27FC236}">
                  <a16:creationId xmlns:a16="http://schemas.microsoft.com/office/drawing/2014/main" id="{E6E3ACC3-691B-42FD-BBA8-7E4A063506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0D688B41" w14:textId="77777777" w:rsidR="006369AA" w:rsidRPr="006369AA" w:rsidRDefault="006369AA" w:rsidP="006369AA">
      <w:pPr>
        <w:rPr>
          <w:rFonts w:ascii="Palatino Linotype" w:hAnsi="Palatino Linotype" w:cstheme="minorHAnsi"/>
          <w:b/>
          <w:bCs/>
        </w:rPr>
      </w:pPr>
    </w:p>
    <w:p w14:paraId="7EB2F841" w14:textId="77777777" w:rsidR="006369AA" w:rsidRPr="006369AA" w:rsidRDefault="006369AA" w:rsidP="006369AA">
      <w:pPr>
        <w:rPr>
          <w:rFonts w:ascii="Palatino Linotype" w:hAnsi="Palatino Linotype" w:cstheme="minorHAnsi"/>
          <w:b/>
          <w:bCs/>
        </w:rPr>
      </w:pPr>
    </w:p>
    <w:p w14:paraId="32EAC5EF" w14:textId="77777777" w:rsidR="006369AA" w:rsidRPr="006369AA" w:rsidRDefault="006369AA" w:rsidP="006369AA">
      <w:pPr>
        <w:rPr>
          <w:rFonts w:ascii="Palatino Linotype" w:hAnsi="Palatino Linotype" w:cstheme="minorHAnsi"/>
          <w:b/>
          <w:bCs/>
        </w:rPr>
      </w:pPr>
    </w:p>
    <w:p w14:paraId="73B82016" w14:textId="77777777" w:rsidR="006369AA" w:rsidRPr="006369AA" w:rsidRDefault="006369AA" w:rsidP="006369AA">
      <w:pPr>
        <w:rPr>
          <w:rFonts w:ascii="Palatino Linotype" w:hAnsi="Palatino Linotype" w:cstheme="minorHAnsi"/>
          <w:b/>
          <w:bCs/>
        </w:rPr>
      </w:pPr>
    </w:p>
    <w:p w14:paraId="79B3EA05" w14:textId="77777777" w:rsidR="006369AA" w:rsidRPr="006369AA" w:rsidRDefault="006369AA" w:rsidP="006369AA">
      <w:pPr>
        <w:rPr>
          <w:rFonts w:ascii="Palatino Linotype" w:hAnsi="Palatino Linotype" w:cstheme="minorHAnsi"/>
          <w:b/>
          <w:bCs/>
        </w:rPr>
      </w:pPr>
    </w:p>
    <w:p w14:paraId="0625AFBD" w14:textId="77777777" w:rsidR="006369AA" w:rsidRPr="006369AA" w:rsidRDefault="006369AA" w:rsidP="006369AA">
      <w:pPr>
        <w:rPr>
          <w:rFonts w:ascii="Palatino Linotype" w:hAnsi="Palatino Linotype" w:cstheme="minorHAnsi"/>
          <w:b/>
          <w:bCs/>
        </w:rPr>
      </w:pPr>
    </w:p>
    <w:p w14:paraId="6ED3AB1E" w14:textId="77777777" w:rsidR="006369AA" w:rsidRPr="006369AA" w:rsidRDefault="006369AA" w:rsidP="006369AA">
      <w:pPr>
        <w:rPr>
          <w:rFonts w:ascii="Palatino Linotype" w:hAnsi="Palatino Linotype" w:cstheme="minorHAnsi"/>
          <w:b/>
          <w:bCs/>
        </w:rPr>
      </w:pPr>
    </w:p>
    <w:p w14:paraId="49588659" w14:textId="77777777" w:rsidR="006369AA" w:rsidRPr="006369AA" w:rsidRDefault="006369AA" w:rsidP="006369AA">
      <w:pPr>
        <w:rPr>
          <w:rFonts w:ascii="Palatino Linotype" w:hAnsi="Palatino Linotype" w:cstheme="minorHAnsi"/>
          <w:b/>
          <w:bCs/>
        </w:rPr>
      </w:pPr>
    </w:p>
    <w:p w14:paraId="6426E643" w14:textId="77777777" w:rsidR="006369AA" w:rsidRPr="006369AA" w:rsidRDefault="006369AA" w:rsidP="006369AA">
      <w:pPr>
        <w:tabs>
          <w:tab w:val="right" w:pos="9026"/>
        </w:tabs>
        <w:jc w:val="both"/>
        <w:rPr>
          <w:rFonts w:ascii="Palatino Linotype" w:hAnsi="Palatino Linotype" w:cstheme="minorHAnsi"/>
        </w:rPr>
      </w:pPr>
      <w:r w:rsidRPr="006369AA">
        <w:rPr>
          <w:rFonts w:ascii="Palatino Linotype" w:hAnsi="Palatino Linotype" w:cstheme="minorHAnsi"/>
        </w:rPr>
        <w:t>Fuente: INEC 2023</w:t>
      </w:r>
    </w:p>
    <w:p w14:paraId="435C81B0" w14:textId="77777777" w:rsidR="006369AA" w:rsidRPr="006369AA" w:rsidRDefault="006369AA" w:rsidP="006369AA">
      <w:pPr>
        <w:tabs>
          <w:tab w:val="right" w:pos="9026"/>
        </w:tabs>
        <w:jc w:val="both"/>
        <w:rPr>
          <w:rFonts w:ascii="Palatino Linotype" w:hAnsi="Palatino Linotype" w:cstheme="minorHAnsi"/>
        </w:rPr>
      </w:pPr>
      <w:r w:rsidRPr="006369AA">
        <w:rPr>
          <w:rFonts w:ascii="Palatino Linotype" w:hAnsi="Palatino Linotype" w:cstheme="minorHAnsi"/>
        </w:rPr>
        <w:lastRenderedPageBreak/>
        <w:t>Para el año 2019 (prepandemia), Quito representaba el 25% del Valor Agregado Bruto (VAB)</w:t>
      </w:r>
      <w:r w:rsidRPr="006369AA">
        <w:rPr>
          <w:rStyle w:val="Refdenotaalpie"/>
          <w:rFonts w:ascii="Palatino Linotype" w:hAnsi="Palatino Linotype" w:cstheme="minorHAnsi"/>
        </w:rPr>
        <w:footnoteReference w:id="2"/>
      </w:r>
      <w:r w:rsidRPr="006369AA">
        <w:rPr>
          <w:rFonts w:ascii="Palatino Linotype" w:hAnsi="Palatino Linotype" w:cstheme="minorHAnsi"/>
        </w:rPr>
        <w:t xml:space="preserve"> a nivel nacional. Para el año 2020, la ciudad registra un 26% del VAB (Banco Central del Ecuador, 2023). Si bien el año 2020 fue atípico, no es posible asegurar un incremento especifico (sin versión final disponible en el BCE).</w:t>
      </w:r>
    </w:p>
    <w:p w14:paraId="4EE8259D" w14:textId="77777777" w:rsidR="006369AA" w:rsidRPr="006369AA" w:rsidRDefault="006369AA" w:rsidP="006369AA">
      <w:pPr>
        <w:tabs>
          <w:tab w:val="right" w:pos="9026"/>
        </w:tabs>
        <w:jc w:val="both"/>
        <w:rPr>
          <w:rFonts w:ascii="Palatino Linotype" w:hAnsi="Palatino Linotype" w:cstheme="minorHAnsi"/>
        </w:rPr>
      </w:pPr>
    </w:p>
    <w:p w14:paraId="3AF7C85C" w14:textId="77777777" w:rsidR="006369AA" w:rsidRPr="006369AA" w:rsidRDefault="006369AA" w:rsidP="006369AA">
      <w:pPr>
        <w:jc w:val="both"/>
        <w:rPr>
          <w:rFonts w:ascii="Palatino Linotype" w:hAnsi="Palatino Linotype" w:cstheme="minorHAnsi"/>
          <w:b/>
          <w:bCs/>
        </w:rPr>
      </w:pPr>
    </w:p>
    <w:p w14:paraId="4ECE4078" w14:textId="77777777" w:rsidR="006369AA" w:rsidRPr="006369AA" w:rsidRDefault="006369AA" w:rsidP="006369AA">
      <w:pPr>
        <w:tabs>
          <w:tab w:val="right" w:pos="9026"/>
        </w:tabs>
        <w:jc w:val="center"/>
        <w:rPr>
          <w:rFonts w:ascii="Palatino Linotype" w:hAnsi="Palatino Linotype" w:cstheme="minorHAnsi"/>
          <w:b/>
          <w:bCs/>
        </w:rPr>
      </w:pPr>
      <w:r w:rsidRPr="006369AA">
        <w:rPr>
          <w:rFonts w:ascii="Palatino Linotype" w:hAnsi="Palatino Linotype" w:cstheme="minorHAnsi"/>
          <w:b/>
          <w:bCs/>
        </w:rPr>
        <w:t>Composición del VAB de Quito (2019-2020)</w:t>
      </w:r>
    </w:p>
    <w:p w14:paraId="598C2DA2" w14:textId="77777777" w:rsidR="006369AA" w:rsidRPr="006369AA" w:rsidRDefault="006369AA" w:rsidP="006369AA">
      <w:pPr>
        <w:jc w:val="both"/>
        <w:rPr>
          <w:rFonts w:ascii="Palatino Linotype" w:hAnsi="Palatino Linotype" w:cstheme="minorHAnsi"/>
          <w:b/>
          <w:bCs/>
        </w:rPr>
      </w:pPr>
    </w:p>
    <w:p w14:paraId="71BF8B39" w14:textId="77777777" w:rsidR="006369AA" w:rsidRPr="006369AA" w:rsidRDefault="006369AA" w:rsidP="006369AA">
      <w:pPr>
        <w:jc w:val="both"/>
        <w:rPr>
          <w:rFonts w:ascii="Palatino Linotype" w:hAnsi="Palatino Linotype" w:cstheme="minorHAnsi"/>
          <w:b/>
          <w:bCs/>
        </w:rPr>
      </w:pPr>
      <w:r w:rsidRPr="006369AA">
        <w:rPr>
          <w:rFonts w:ascii="Palatino Linotype" w:hAnsi="Palatino Linotype" w:cstheme="minorHAnsi"/>
          <w:noProof/>
          <w:lang w:val="en-US"/>
        </w:rPr>
        <w:drawing>
          <wp:anchor distT="0" distB="0" distL="114300" distR="114300" simplePos="0" relativeHeight="251660288" behindDoc="0" locked="0" layoutInCell="1" allowOverlap="1" wp14:anchorId="1E6118A4" wp14:editId="0DFB18C2">
            <wp:simplePos x="0" y="0"/>
            <wp:positionH relativeFrom="column">
              <wp:posOffset>828675</wp:posOffset>
            </wp:positionH>
            <wp:positionV relativeFrom="paragraph">
              <wp:posOffset>47625</wp:posOffset>
            </wp:positionV>
            <wp:extent cx="4572000" cy="2743200"/>
            <wp:effectExtent l="0" t="0" r="0" b="0"/>
            <wp:wrapNone/>
            <wp:docPr id="7" name="Gráfico 7">
              <a:extLst xmlns:a="http://schemas.openxmlformats.org/drawingml/2006/main">
                <a:ext uri="{FF2B5EF4-FFF2-40B4-BE49-F238E27FC236}">
                  <a16:creationId xmlns:a16="http://schemas.microsoft.com/office/drawing/2014/main" id="{A9B7316C-B854-4E3F-B873-F40091B9F4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5C4CEEB5" w14:textId="77777777" w:rsidR="006369AA" w:rsidRPr="006369AA" w:rsidRDefault="006369AA" w:rsidP="006369AA">
      <w:pPr>
        <w:jc w:val="both"/>
        <w:rPr>
          <w:rFonts w:ascii="Palatino Linotype" w:hAnsi="Palatino Linotype" w:cstheme="minorHAnsi"/>
          <w:b/>
          <w:bCs/>
        </w:rPr>
      </w:pPr>
    </w:p>
    <w:p w14:paraId="0E6E9044" w14:textId="77777777" w:rsidR="006369AA" w:rsidRPr="006369AA" w:rsidRDefault="006369AA" w:rsidP="006369AA">
      <w:pPr>
        <w:jc w:val="both"/>
        <w:rPr>
          <w:rFonts w:ascii="Palatino Linotype" w:hAnsi="Palatino Linotype" w:cstheme="minorHAnsi"/>
          <w:b/>
          <w:bCs/>
        </w:rPr>
      </w:pPr>
    </w:p>
    <w:p w14:paraId="42A13381" w14:textId="77777777" w:rsidR="006369AA" w:rsidRPr="006369AA" w:rsidRDefault="006369AA" w:rsidP="006369AA">
      <w:pPr>
        <w:jc w:val="both"/>
        <w:rPr>
          <w:rFonts w:ascii="Palatino Linotype" w:hAnsi="Palatino Linotype" w:cstheme="minorHAnsi"/>
          <w:b/>
          <w:bCs/>
        </w:rPr>
      </w:pPr>
    </w:p>
    <w:p w14:paraId="3D41BB8C" w14:textId="77777777" w:rsidR="006369AA" w:rsidRPr="006369AA" w:rsidRDefault="006369AA" w:rsidP="006369AA">
      <w:pPr>
        <w:jc w:val="both"/>
        <w:rPr>
          <w:rFonts w:ascii="Palatino Linotype" w:hAnsi="Palatino Linotype" w:cstheme="minorHAnsi"/>
          <w:b/>
          <w:bCs/>
        </w:rPr>
      </w:pPr>
    </w:p>
    <w:p w14:paraId="1DC4C1FA" w14:textId="77777777" w:rsidR="006369AA" w:rsidRPr="006369AA" w:rsidRDefault="006369AA" w:rsidP="006369AA">
      <w:pPr>
        <w:jc w:val="both"/>
        <w:rPr>
          <w:rFonts w:ascii="Palatino Linotype" w:hAnsi="Palatino Linotype" w:cstheme="minorHAnsi"/>
          <w:b/>
          <w:bCs/>
        </w:rPr>
      </w:pPr>
    </w:p>
    <w:p w14:paraId="20525EAD" w14:textId="77777777" w:rsidR="006369AA" w:rsidRPr="006369AA" w:rsidRDefault="006369AA" w:rsidP="006369AA">
      <w:pPr>
        <w:jc w:val="both"/>
        <w:rPr>
          <w:rFonts w:ascii="Palatino Linotype" w:hAnsi="Palatino Linotype" w:cstheme="minorHAnsi"/>
          <w:b/>
          <w:bCs/>
        </w:rPr>
      </w:pPr>
    </w:p>
    <w:p w14:paraId="1306D7EF" w14:textId="77777777" w:rsidR="006369AA" w:rsidRPr="006369AA" w:rsidRDefault="006369AA" w:rsidP="006369AA">
      <w:pPr>
        <w:jc w:val="both"/>
        <w:rPr>
          <w:rFonts w:ascii="Palatino Linotype" w:hAnsi="Palatino Linotype" w:cstheme="minorHAnsi"/>
          <w:b/>
          <w:bCs/>
        </w:rPr>
      </w:pPr>
    </w:p>
    <w:p w14:paraId="0896B170" w14:textId="77777777" w:rsidR="006369AA" w:rsidRPr="006369AA" w:rsidRDefault="006369AA" w:rsidP="006369AA">
      <w:pPr>
        <w:jc w:val="both"/>
        <w:rPr>
          <w:rFonts w:ascii="Palatino Linotype" w:hAnsi="Palatino Linotype" w:cstheme="minorHAnsi"/>
          <w:b/>
          <w:bCs/>
        </w:rPr>
      </w:pPr>
    </w:p>
    <w:p w14:paraId="1821BF5A" w14:textId="77777777" w:rsidR="006369AA" w:rsidRPr="006369AA" w:rsidRDefault="006369AA" w:rsidP="006369AA">
      <w:pPr>
        <w:jc w:val="both"/>
        <w:rPr>
          <w:rFonts w:ascii="Palatino Linotype" w:hAnsi="Palatino Linotype" w:cstheme="minorHAnsi"/>
          <w:b/>
          <w:bCs/>
        </w:rPr>
      </w:pPr>
    </w:p>
    <w:p w14:paraId="61B692DF" w14:textId="77777777" w:rsidR="006369AA" w:rsidRPr="006369AA" w:rsidRDefault="006369AA" w:rsidP="006369AA">
      <w:pPr>
        <w:tabs>
          <w:tab w:val="right" w:pos="9026"/>
        </w:tabs>
        <w:jc w:val="both"/>
        <w:rPr>
          <w:rFonts w:ascii="Palatino Linotype" w:hAnsi="Palatino Linotype" w:cstheme="minorHAnsi"/>
        </w:rPr>
      </w:pPr>
      <w:r w:rsidRPr="006369AA">
        <w:rPr>
          <w:rFonts w:ascii="Palatino Linotype" w:hAnsi="Palatino Linotype" w:cstheme="minorHAnsi"/>
        </w:rPr>
        <w:t>Fuente: BCE 2022</w:t>
      </w:r>
    </w:p>
    <w:p w14:paraId="342D512D" w14:textId="77777777" w:rsidR="006369AA" w:rsidRPr="006369AA" w:rsidRDefault="006369AA" w:rsidP="006369AA">
      <w:pPr>
        <w:tabs>
          <w:tab w:val="right" w:pos="9026"/>
        </w:tabs>
        <w:jc w:val="both"/>
        <w:rPr>
          <w:rFonts w:ascii="Palatino Linotype" w:hAnsi="Palatino Linotype" w:cstheme="minorHAnsi"/>
        </w:rPr>
      </w:pPr>
    </w:p>
    <w:p w14:paraId="498FEEDC" w14:textId="77777777" w:rsidR="006369AA" w:rsidRPr="006369AA" w:rsidRDefault="006369AA" w:rsidP="006369AA">
      <w:pPr>
        <w:spacing w:after="200" w:line="276" w:lineRule="auto"/>
        <w:jc w:val="both"/>
        <w:rPr>
          <w:rFonts w:ascii="Palatino Linotype" w:hAnsi="Palatino Linotype" w:cstheme="minorHAnsi"/>
          <w:b/>
          <w:bCs/>
        </w:rPr>
      </w:pPr>
      <w:r w:rsidRPr="006369AA">
        <w:rPr>
          <w:rFonts w:ascii="Palatino Linotype" w:hAnsi="Palatino Linotype" w:cstheme="minorHAnsi"/>
          <w:b/>
          <w:bCs/>
        </w:rPr>
        <w:t>Turismo en la ciudad</w:t>
      </w:r>
    </w:p>
    <w:p w14:paraId="31CB3AA6" w14:textId="77777777" w:rsidR="006369AA" w:rsidRPr="006369AA" w:rsidRDefault="006369AA" w:rsidP="006369AA">
      <w:pPr>
        <w:tabs>
          <w:tab w:val="right" w:pos="9026"/>
        </w:tabs>
        <w:jc w:val="both"/>
        <w:rPr>
          <w:rFonts w:ascii="Palatino Linotype" w:hAnsi="Palatino Linotype" w:cstheme="minorHAnsi"/>
          <w:i/>
          <w:iCs/>
        </w:rPr>
      </w:pPr>
      <w:r w:rsidRPr="006369AA">
        <w:rPr>
          <w:rFonts w:ascii="Palatino Linotype" w:hAnsi="Palatino Linotype" w:cstheme="minorHAnsi"/>
        </w:rPr>
        <w:t xml:space="preserve">Según el Código Municipal, en su </w:t>
      </w:r>
      <w:r w:rsidRPr="006369AA">
        <w:rPr>
          <w:rFonts w:ascii="Palatino Linotype" w:hAnsi="Palatino Linotype" w:cstheme="minorHAnsi"/>
          <w:i/>
          <w:iCs/>
        </w:rPr>
        <w:t>TITULO II DEL TURISMO EN EL DISTRITO METROPOLITANO DE QUITO, CAPÍTULO I DISPOSICIONES GENERALES, SECCIÓN I ÁMBITO, PRINCIPIOS Y OBJETIVOS, Artículo 1337.- Ámbito. - El presente Título determina las normas que integran el ordenamiento jurídico metropolitano con las que se regula: ¸</w:t>
      </w:r>
      <w:r w:rsidRPr="006369AA">
        <w:rPr>
          <w:rFonts w:ascii="Palatino Linotype" w:hAnsi="Palatino Linotype" w:cstheme="minorHAnsi"/>
        </w:rPr>
        <w:t xml:space="preserve"> en su literal </w:t>
      </w:r>
      <w:r w:rsidRPr="006369AA">
        <w:rPr>
          <w:rFonts w:ascii="Palatino Linotype" w:hAnsi="Palatino Linotype" w:cstheme="minorHAnsi"/>
          <w:i/>
          <w:iCs/>
        </w:rPr>
        <w:t xml:space="preserve">d. Los mecanismos de promoción y desarrollo de las actividades turísticas, </w:t>
      </w:r>
      <w:r w:rsidRPr="006369AA">
        <w:rPr>
          <w:rFonts w:ascii="Palatino Linotype" w:hAnsi="Palatino Linotype" w:cstheme="minorHAnsi"/>
        </w:rPr>
        <w:t xml:space="preserve">menciona </w:t>
      </w:r>
      <w:r w:rsidRPr="006369AA">
        <w:rPr>
          <w:rFonts w:ascii="Palatino Linotype" w:hAnsi="Palatino Linotype" w:cstheme="minorHAnsi"/>
          <w:i/>
          <w:iCs/>
        </w:rPr>
        <w:t xml:space="preserve">“(…) Las actividades turísticas, sus modalidades, tipos y subtipos, sus características principales, requisitos y sus regímenes especiales son aquellos determinados en la Ley de Turismo y sus reglamentos de aplicación. Para todos los propósitos previstos en este Título, sin perjuicio de aquellas previstas en la legislación nacional, se consideran actividades turísticas las siguientes: Alojamiento; Servicio de alimentos y bebidas; Transportación, cuando se dedica principalmente </w:t>
      </w:r>
      <w:r w:rsidRPr="006369AA">
        <w:rPr>
          <w:rFonts w:ascii="Palatino Linotype" w:hAnsi="Palatino Linotype" w:cstheme="minorHAnsi"/>
          <w:i/>
          <w:iCs/>
        </w:rPr>
        <w:lastRenderedPageBreak/>
        <w:t xml:space="preserve">al turismo; Operación; Intermediación, agencia de servicios turísticos y organizadoras de eventos, congresos y convenciones; y, Hipódromos y parques de atracciones estables. </w:t>
      </w:r>
    </w:p>
    <w:p w14:paraId="5C95CC24" w14:textId="77777777" w:rsidR="006369AA" w:rsidRPr="006369AA" w:rsidRDefault="006369AA" w:rsidP="006369AA">
      <w:pPr>
        <w:tabs>
          <w:tab w:val="right" w:pos="9026"/>
        </w:tabs>
        <w:jc w:val="both"/>
        <w:rPr>
          <w:rFonts w:ascii="Palatino Linotype" w:hAnsi="Palatino Linotype" w:cstheme="minorHAnsi"/>
          <w:i/>
          <w:iCs/>
        </w:rPr>
      </w:pPr>
      <w:r w:rsidRPr="006369AA">
        <w:rPr>
          <w:rFonts w:ascii="Palatino Linotype" w:hAnsi="Palatino Linotype" w:cstheme="minorHAnsi"/>
          <w:i/>
          <w:iCs/>
        </w:rPr>
        <w:t>Son también actividades turísticas para todos los efectos, y principalmente con ocasión de la aplicación del régimen de autorizaciones administrativas y el ejercicio de la potestad administrativa sancionadora, aquellas referidas a los servicios de alojamiento o alimentos y bebidas que se realicen en una Zona Especial Turística. Los Prestadores de Servicios Turísticos son las personas, naturales o jurídicas, que proporcionen, intermedien o contraten con el turista, cualquier servicio relacionado con las actividades calificadas como turísticas, de conformidad con el ordenamiento jurídico nacional y metropolitano”</w:t>
      </w:r>
    </w:p>
    <w:p w14:paraId="79C5791C" w14:textId="77777777" w:rsidR="006369AA" w:rsidRPr="006369AA" w:rsidRDefault="006369AA" w:rsidP="006369AA">
      <w:pPr>
        <w:tabs>
          <w:tab w:val="right" w:pos="9026"/>
        </w:tabs>
        <w:jc w:val="both"/>
        <w:rPr>
          <w:rFonts w:ascii="Palatino Linotype" w:hAnsi="Palatino Linotype" w:cstheme="minorHAnsi"/>
        </w:rPr>
      </w:pPr>
      <w:r w:rsidRPr="006369AA">
        <w:rPr>
          <w:rFonts w:ascii="Palatino Linotype" w:hAnsi="Palatino Linotype" w:cstheme="minorHAnsi"/>
        </w:rPr>
        <w:t xml:space="preserve">Con esto, se define claramente cuales se consideran actividades turísticas dentro del Distrito Metropolitano de Quito. </w:t>
      </w:r>
    </w:p>
    <w:p w14:paraId="27C426ED" w14:textId="77777777" w:rsidR="006369AA" w:rsidRPr="006369AA" w:rsidRDefault="006369AA" w:rsidP="006369AA">
      <w:pPr>
        <w:tabs>
          <w:tab w:val="right" w:pos="9026"/>
        </w:tabs>
        <w:jc w:val="both"/>
        <w:rPr>
          <w:rFonts w:ascii="Palatino Linotype" w:hAnsi="Palatino Linotype" w:cstheme="minorHAnsi"/>
        </w:rPr>
      </w:pPr>
    </w:p>
    <w:p w14:paraId="2B162066" w14:textId="77777777" w:rsidR="006369AA" w:rsidRPr="006369AA" w:rsidRDefault="006369AA" w:rsidP="006369AA">
      <w:pPr>
        <w:tabs>
          <w:tab w:val="right" w:pos="9026"/>
        </w:tabs>
        <w:jc w:val="both"/>
        <w:rPr>
          <w:rFonts w:ascii="Palatino Linotype" w:hAnsi="Palatino Linotype" w:cstheme="minorHAnsi"/>
        </w:rPr>
      </w:pPr>
      <w:r w:rsidRPr="006369AA">
        <w:rPr>
          <w:rFonts w:ascii="Palatino Linotype" w:hAnsi="Palatino Linotype" w:cstheme="minorHAnsi"/>
        </w:rPr>
        <w:t>La Agenda de Competitividad 2019, prioriza el sector “turismo” donde se menciona que cuenta con varios indicadores que lo vuelven un sector altamente competitivo. Para el año 2020, el sector turístico registra una caída de 54,9% en sus ventas totales en la capital (Instituto Nacional de Estadísticas y Censos, 2020).</w:t>
      </w:r>
    </w:p>
    <w:p w14:paraId="0AE5BBC7" w14:textId="77777777" w:rsidR="006369AA" w:rsidRPr="006369AA" w:rsidRDefault="006369AA" w:rsidP="006369AA">
      <w:pPr>
        <w:tabs>
          <w:tab w:val="right" w:pos="9026"/>
        </w:tabs>
        <w:jc w:val="both"/>
        <w:rPr>
          <w:rFonts w:ascii="Palatino Linotype" w:hAnsi="Palatino Linotype" w:cstheme="minorHAnsi"/>
        </w:rPr>
      </w:pPr>
    </w:p>
    <w:p w14:paraId="2A618927" w14:textId="77777777" w:rsidR="006369AA" w:rsidRPr="006369AA" w:rsidRDefault="006369AA" w:rsidP="006369AA">
      <w:pPr>
        <w:tabs>
          <w:tab w:val="right" w:pos="9026"/>
        </w:tabs>
        <w:jc w:val="center"/>
        <w:rPr>
          <w:rFonts w:ascii="Palatino Linotype" w:hAnsi="Palatino Linotype" w:cstheme="minorHAnsi"/>
          <w:b/>
          <w:bCs/>
        </w:rPr>
      </w:pPr>
      <w:r w:rsidRPr="006369AA">
        <w:rPr>
          <w:rFonts w:ascii="Palatino Linotype" w:hAnsi="Palatino Linotype" w:cstheme="minorHAnsi"/>
          <w:b/>
          <w:bCs/>
        </w:rPr>
        <w:t>Variación de ventas entre 2019 y 2020</w:t>
      </w:r>
    </w:p>
    <w:p w14:paraId="7AD7580F" w14:textId="77777777" w:rsidR="006369AA" w:rsidRPr="006369AA" w:rsidRDefault="006369AA" w:rsidP="006369AA">
      <w:pPr>
        <w:tabs>
          <w:tab w:val="right" w:pos="9026"/>
        </w:tabs>
        <w:jc w:val="center"/>
        <w:rPr>
          <w:rFonts w:ascii="Palatino Linotype" w:hAnsi="Palatino Linotype" w:cstheme="minorHAnsi"/>
          <w:b/>
          <w:bCs/>
        </w:rPr>
      </w:pPr>
    </w:p>
    <w:p w14:paraId="325A2ED0" w14:textId="77777777" w:rsidR="006369AA" w:rsidRPr="006369AA" w:rsidRDefault="006369AA" w:rsidP="006369AA">
      <w:pPr>
        <w:tabs>
          <w:tab w:val="right" w:pos="9026"/>
        </w:tabs>
        <w:jc w:val="center"/>
        <w:rPr>
          <w:rFonts w:ascii="Palatino Linotype" w:hAnsi="Palatino Linotype" w:cstheme="minorHAnsi"/>
          <w:b/>
          <w:bCs/>
        </w:rPr>
      </w:pPr>
      <w:r w:rsidRPr="006369AA">
        <w:rPr>
          <w:rFonts w:ascii="Palatino Linotype" w:hAnsi="Palatino Linotype" w:cstheme="minorHAnsi"/>
          <w:noProof/>
          <w:lang w:val="en-US"/>
        </w:rPr>
        <w:drawing>
          <wp:anchor distT="0" distB="0" distL="114300" distR="114300" simplePos="0" relativeHeight="251661312" behindDoc="0" locked="0" layoutInCell="1" allowOverlap="1" wp14:anchorId="74F18165" wp14:editId="6FFE055C">
            <wp:simplePos x="0" y="0"/>
            <wp:positionH relativeFrom="margin">
              <wp:align>center</wp:align>
            </wp:positionH>
            <wp:positionV relativeFrom="paragraph">
              <wp:posOffset>5213</wp:posOffset>
            </wp:positionV>
            <wp:extent cx="4572000" cy="2852738"/>
            <wp:effectExtent l="0" t="0" r="0" b="5080"/>
            <wp:wrapThrough wrapText="bothSides">
              <wp:wrapPolygon edited="0">
                <wp:start x="0" y="0"/>
                <wp:lineTo x="0" y="21494"/>
                <wp:lineTo x="21510" y="21494"/>
                <wp:lineTo x="21510" y="0"/>
                <wp:lineTo x="0" y="0"/>
              </wp:wrapPolygon>
            </wp:wrapThrough>
            <wp:docPr id="4" name="Gráfico 4">
              <a:extLst xmlns:a="http://schemas.openxmlformats.org/drawingml/2006/main">
                <a:ext uri="{FF2B5EF4-FFF2-40B4-BE49-F238E27FC236}">
                  <a16:creationId xmlns:a16="http://schemas.microsoft.com/office/drawing/2014/main" id="{320C0FB8-847D-473C-8877-BC6768CD0B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48C2A2AD" w14:textId="77777777" w:rsidR="006369AA" w:rsidRPr="006369AA" w:rsidRDefault="006369AA" w:rsidP="006369AA">
      <w:pPr>
        <w:tabs>
          <w:tab w:val="right" w:pos="9026"/>
        </w:tabs>
        <w:jc w:val="center"/>
        <w:rPr>
          <w:rFonts w:ascii="Palatino Linotype" w:hAnsi="Palatino Linotype" w:cstheme="minorHAnsi"/>
          <w:b/>
          <w:bCs/>
        </w:rPr>
      </w:pPr>
    </w:p>
    <w:p w14:paraId="6DE79AC4" w14:textId="77777777" w:rsidR="006369AA" w:rsidRPr="006369AA" w:rsidRDefault="006369AA" w:rsidP="006369AA">
      <w:pPr>
        <w:tabs>
          <w:tab w:val="right" w:pos="9026"/>
        </w:tabs>
        <w:jc w:val="center"/>
        <w:rPr>
          <w:rFonts w:ascii="Palatino Linotype" w:hAnsi="Palatino Linotype" w:cstheme="minorHAnsi"/>
          <w:b/>
          <w:bCs/>
        </w:rPr>
      </w:pPr>
    </w:p>
    <w:p w14:paraId="69293BD3" w14:textId="77777777" w:rsidR="006369AA" w:rsidRPr="006369AA" w:rsidRDefault="006369AA" w:rsidP="006369AA">
      <w:pPr>
        <w:tabs>
          <w:tab w:val="right" w:pos="9026"/>
        </w:tabs>
        <w:jc w:val="center"/>
        <w:rPr>
          <w:rFonts w:ascii="Palatino Linotype" w:hAnsi="Palatino Linotype" w:cstheme="minorHAnsi"/>
          <w:b/>
          <w:bCs/>
        </w:rPr>
      </w:pPr>
    </w:p>
    <w:p w14:paraId="6DE8F9C5" w14:textId="77777777" w:rsidR="006369AA" w:rsidRPr="006369AA" w:rsidRDefault="006369AA" w:rsidP="006369AA">
      <w:pPr>
        <w:tabs>
          <w:tab w:val="right" w:pos="9026"/>
        </w:tabs>
        <w:jc w:val="center"/>
        <w:rPr>
          <w:rFonts w:ascii="Palatino Linotype" w:hAnsi="Palatino Linotype" w:cstheme="minorHAnsi"/>
          <w:b/>
          <w:bCs/>
        </w:rPr>
      </w:pPr>
    </w:p>
    <w:p w14:paraId="1DC2FEE4" w14:textId="77777777" w:rsidR="006369AA" w:rsidRPr="006369AA" w:rsidRDefault="006369AA" w:rsidP="006369AA">
      <w:pPr>
        <w:tabs>
          <w:tab w:val="right" w:pos="9026"/>
        </w:tabs>
        <w:jc w:val="center"/>
        <w:rPr>
          <w:rFonts w:ascii="Palatino Linotype" w:hAnsi="Palatino Linotype" w:cstheme="minorHAnsi"/>
          <w:b/>
          <w:bCs/>
        </w:rPr>
      </w:pPr>
    </w:p>
    <w:p w14:paraId="5CB94246" w14:textId="77777777" w:rsidR="006369AA" w:rsidRPr="006369AA" w:rsidRDefault="006369AA" w:rsidP="006369AA">
      <w:pPr>
        <w:tabs>
          <w:tab w:val="right" w:pos="9026"/>
        </w:tabs>
        <w:jc w:val="center"/>
        <w:rPr>
          <w:rFonts w:ascii="Palatino Linotype" w:hAnsi="Palatino Linotype" w:cstheme="minorHAnsi"/>
          <w:b/>
          <w:bCs/>
        </w:rPr>
      </w:pPr>
    </w:p>
    <w:p w14:paraId="4A306247" w14:textId="77777777" w:rsidR="006369AA" w:rsidRPr="006369AA" w:rsidRDefault="006369AA" w:rsidP="006369AA">
      <w:pPr>
        <w:tabs>
          <w:tab w:val="right" w:pos="9026"/>
        </w:tabs>
        <w:jc w:val="center"/>
        <w:rPr>
          <w:rFonts w:ascii="Palatino Linotype" w:hAnsi="Palatino Linotype" w:cstheme="minorHAnsi"/>
          <w:b/>
          <w:bCs/>
        </w:rPr>
      </w:pPr>
    </w:p>
    <w:p w14:paraId="3D371862" w14:textId="77777777" w:rsidR="006369AA" w:rsidRPr="006369AA" w:rsidRDefault="006369AA" w:rsidP="006369AA">
      <w:pPr>
        <w:tabs>
          <w:tab w:val="right" w:pos="9026"/>
        </w:tabs>
        <w:jc w:val="center"/>
        <w:rPr>
          <w:rFonts w:ascii="Palatino Linotype" w:hAnsi="Palatino Linotype" w:cstheme="minorHAnsi"/>
          <w:b/>
          <w:bCs/>
        </w:rPr>
      </w:pPr>
    </w:p>
    <w:p w14:paraId="05AF323C" w14:textId="77777777" w:rsidR="006369AA" w:rsidRPr="006369AA" w:rsidRDefault="006369AA" w:rsidP="006369AA">
      <w:pPr>
        <w:tabs>
          <w:tab w:val="right" w:pos="9026"/>
        </w:tabs>
        <w:jc w:val="center"/>
        <w:rPr>
          <w:rFonts w:ascii="Palatino Linotype" w:hAnsi="Palatino Linotype" w:cstheme="minorHAnsi"/>
          <w:b/>
          <w:bCs/>
        </w:rPr>
      </w:pPr>
    </w:p>
    <w:p w14:paraId="2D26D7FA" w14:textId="689DF593" w:rsidR="006369AA" w:rsidRPr="006369AA" w:rsidRDefault="006369AA" w:rsidP="006369AA">
      <w:pPr>
        <w:tabs>
          <w:tab w:val="right" w:pos="9026"/>
        </w:tabs>
        <w:rPr>
          <w:rFonts w:ascii="Palatino Linotype" w:hAnsi="Palatino Linotype" w:cstheme="minorHAnsi"/>
        </w:rPr>
      </w:pPr>
      <w:r w:rsidRPr="006369AA">
        <w:rPr>
          <w:rFonts w:ascii="Palatino Linotype" w:hAnsi="Palatino Linotype" w:cstheme="minorHAnsi"/>
        </w:rPr>
        <w:br/>
        <w:t>Fuente: INEC 2022</w:t>
      </w:r>
    </w:p>
    <w:p w14:paraId="463863CB" w14:textId="77777777" w:rsidR="006369AA" w:rsidRPr="006369AA" w:rsidRDefault="006369AA" w:rsidP="006369AA">
      <w:pPr>
        <w:tabs>
          <w:tab w:val="right" w:pos="9026"/>
        </w:tabs>
        <w:jc w:val="both"/>
        <w:rPr>
          <w:rFonts w:ascii="Palatino Linotype" w:hAnsi="Palatino Linotype" w:cstheme="minorHAnsi"/>
        </w:rPr>
      </w:pPr>
    </w:p>
    <w:p w14:paraId="7C5931A4" w14:textId="77777777" w:rsidR="006369AA" w:rsidRPr="006369AA" w:rsidRDefault="006369AA" w:rsidP="006369AA">
      <w:pPr>
        <w:tabs>
          <w:tab w:val="right" w:pos="9026"/>
        </w:tabs>
        <w:jc w:val="both"/>
        <w:rPr>
          <w:rFonts w:ascii="Palatino Linotype" w:hAnsi="Palatino Linotype" w:cstheme="minorHAnsi"/>
        </w:rPr>
      </w:pPr>
      <w:r w:rsidRPr="006369AA">
        <w:rPr>
          <w:rFonts w:ascii="Palatino Linotype" w:hAnsi="Palatino Linotype" w:cstheme="minorHAnsi"/>
        </w:rPr>
        <w:lastRenderedPageBreak/>
        <w:t xml:space="preserve">La Agenda de Competitividad 2022 (actualización), dentro de los 12 sectores priorizados, incluye al sector Turismo como prioritario con potencialidades en los pilares de Competitividad. En su análisis de Competitividad de Quito, la Agenda 2022 calcula el Índice Herﬁndahl-Hirschman (IHH) que mide el grado de concentración en un mercado. A nivel general considerando a todas las empresas de la ciudad, el índice alcanzó un valor de 137 en 2020, lo que reﬂejaría un mercado con alta competencia. Al analizar por actividad, las siguientes son las que presentan índices más bajos: servicios empresariales, salud, construcción, educación, industria textil, turismo, ﬂoricultura (Instituto Nacional de Estadísticas y Censos, 2020). Mientras más alto el índice, menos competencia-rivalidad existiría, pero en todas esas actividades el índice no supera los 500 puntos, siendo considerados mercados muy competitivos ya que están lejos del umbral de 1.000 puntos, donde los mercados pasan a ser moderadamente competitivos. </w:t>
      </w:r>
    </w:p>
    <w:p w14:paraId="04D26B0D" w14:textId="77777777" w:rsidR="006369AA" w:rsidRPr="006369AA" w:rsidRDefault="006369AA" w:rsidP="006369AA">
      <w:pPr>
        <w:jc w:val="both"/>
        <w:rPr>
          <w:rFonts w:ascii="Palatino Linotype" w:hAnsi="Palatino Linotype" w:cstheme="minorHAnsi"/>
          <w:b/>
          <w:bCs/>
        </w:rPr>
      </w:pPr>
    </w:p>
    <w:p w14:paraId="1903D104" w14:textId="77777777" w:rsidR="006369AA" w:rsidRPr="006369AA" w:rsidRDefault="006369AA" w:rsidP="006369AA">
      <w:pPr>
        <w:tabs>
          <w:tab w:val="right" w:pos="9026"/>
        </w:tabs>
        <w:jc w:val="center"/>
        <w:rPr>
          <w:rFonts w:ascii="Palatino Linotype" w:hAnsi="Palatino Linotype" w:cstheme="minorHAnsi"/>
          <w:b/>
          <w:bCs/>
        </w:rPr>
      </w:pPr>
      <w:r w:rsidRPr="006369AA">
        <w:rPr>
          <w:rFonts w:ascii="Palatino Linotype" w:hAnsi="Palatino Linotype" w:cstheme="minorHAnsi"/>
          <w:b/>
          <w:bCs/>
        </w:rPr>
        <w:t>Índice Herﬁndahl Hirschman a 2020</w:t>
      </w:r>
    </w:p>
    <w:p w14:paraId="42764026" w14:textId="77777777" w:rsidR="006369AA" w:rsidRPr="006369AA" w:rsidRDefault="006369AA" w:rsidP="006369AA">
      <w:pPr>
        <w:jc w:val="both"/>
        <w:rPr>
          <w:rFonts w:ascii="Palatino Linotype" w:hAnsi="Palatino Linotype" w:cstheme="minorHAnsi"/>
          <w:b/>
          <w:bCs/>
        </w:rPr>
      </w:pPr>
    </w:p>
    <w:p w14:paraId="4D87C666" w14:textId="77777777" w:rsidR="006369AA" w:rsidRPr="006369AA" w:rsidRDefault="006369AA" w:rsidP="006369AA">
      <w:pPr>
        <w:jc w:val="both"/>
        <w:rPr>
          <w:rFonts w:ascii="Palatino Linotype" w:hAnsi="Palatino Linotype" w:cstheme="minorHAnsi"/>
          <w:b/>
          <w:bCs/>
        </w:rPr>
      </w:pPr>
      <w:r w:rsidRPr="006369AA">
        <w:rPr>
          <w:rFonts w:ascii="Palatino Linotype" w:hAnsi="Palatino Linotype" w:cstheme="minorHAnsi"/>
          <w:noProof/>
          <w:lang w:val="en-US"/>
        </w:rPr>
        <w:drawing>
          <wp:anchor distT="0" distB="0" distL="114300" distR="114300" simplePos="0" relativeHeight="251662336" behindDoc="0" locked="0" layoutInCell="1" allowOverlap="1" wp14:anchorId="7F209C6B" wp14:editId="211DBAC5">
            <wp:simplePos x="0" y="0"/>
            <wp:positionH relativeFrom="margin">
              <wp:align>center</wp:align>
            </wp:positionH>
            <wp:positionV relativeFrom="paragraph">
              <wp:posOffset>2540</wp:posOffset>
            </wp:positionV>
            <wp:extent cx="3935896" cy="2194560"/>
            <wp:effectExtent l="0" t="0" r="7620" b="0"/>
            <wp:wrapThrough wrapText="bothSides">
              <wp:wrapPolygon edited="0">
                <wp:start x="0" y="0"/>
                <wp:lineTo x="0" y="21375"/>
                <wp:lineTo x="21537" y="21375"/>
                <wp:lineTo x="21537" y="0"/>
                <wp:lineTo x="0" y="0"/>
              </wp:wrapPolygon>
            </wp:wrapThrough>
            <wp:docPr id="5" name="Gráfico 5">
              <a:extLst xmlns:a="http://schemas.openxmlformats.org/drawingml/2006/main">
                <a:ext uri="{FF2B5EF4-FFF2-40B4-BE49-F238E27FC236}">
                  <a16:creationId xmlns:a16="http://schemas.microsoft.com/office/drawing/2014/main" id="{518ABADC-A06D-453A-BCE3-149F959A4C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6CD313AA" w14:textId="77777777" w:rsidR="006369AA" w:rsidRPr="006369AA" w:rsidRDefault="006369AA" w:rsidP="006369AA">
      <w:pPr>
        <w:jc w:val="both"/>
        <w:rPr>
          <w:rFonts w:ascii="Palatino Linotype" w:hAnsi="Palatino Linotype" w:cstheme="minorHAnsi"/>
          <w:b/>
          <w:bCs/>
        </w:rPr>
      </w:pPr>
    </w:p>
    <w:p w14:paraId="78A64E13" w14:textId="77777777" w:rsidR="006369AA" w:rsidRPr="006369AA" w:rsidRDefault="006369AA" w:rsidP="006369AA">
      <w:pPr>
        <w:jc w:val="both"/>
        <w:rPr>
          <w:rFonts w:ascii="Palatino Linotype" w:hAnsi="Palatino Linotype" w:cstheme="minorHAnsi"/>
          <w:b/>
          <w:bCs/>
        </w:rPr>
      </w:pPr>
    </w:p>
    <w:p w14:paraId="1F0E2FB5" w14:textId="77777777" w:rsidR="006369AA" w:rsidRPr="006369AA" w:rsidRDefault="006369AA" w:rsidP="006369AA">
      <w:pPr>
        <w:jc w:val="both"/>
        <w:rPr>
          <w:rFonts w:ascii="Palatino Linotype" w:hAnsi="Palatino Linotype" w:cstheme="minorHAnsi"/>
          <w:b/>
          <w:bCs/>
        </w:rPr>
      </w:pPr>
    </w:p>
    <w:p w14:paraId="7E48EF84" w14:textId="77777777" w:rsidR="006369AA" w:rsidRPr="006369AA" w:rsidRDefault="006369AA" w:rsidP="006369AA">
      <w:pPr>
        <w:jc w:val="both"/>
        <w:rPr>
          <w:rFonts w:ascii="Palatino Linotype" w:hAnsi="Palatino Linotype" w:cstheme="minorHAnsi"/>
          <w:b/>
          <w:bCs/>
        </w:rPr>
      </w:pPr>
    </w:p>
    <w:p w14:paraId="4F19A712" w14:textId="77777777" w:rsidR="006369AA" w:rsidRPr="006369AA" w:rsidRDefault="006369AA" w:rsidP="006369AA">
      <w:pPr>
        <w:jc w:val="both"/>
        <w:rPr>
          <w:rFonts w:ascii="Palatino Linotype" w:hAnsi="Palatino Linotype" w:cstheme="minorHAnsi"/>
          <w:b/>
          <w:bCs/>
        </w:rPr>
      </w:pPr>
    </w:p>
    <w:p w14:paraId="262B2ACB" w14:textId="77777777" w:rsidR="006369AA" w:rsidRPr="006369AA" w:rsidRDefault="006369AA" w:rsidP="006369AA">
      <w:pPr>
        <w:jc w:val="both"/>
        <w:rPr>
          <w:rFonts w:ascii="Palatino Linotype" w:hAnsi="Palatino Linotype" w:cstheme="minorHAnsi"/>
          <w:b/>
          <w:bCs/>
        </w:rPr>
      </w:pPr>
    </w:p>
    <w:p w14:paraId="0DCF2768" w14:textId="77777777" w:rsidR="006369AA" w:rsidRPr="006369AA" w:rsidRDefault="006369AA" w:rsidP="006369AA">
      <w:pPr>
        <w:jc w:val="both"/>
        <w:rPr>
          <w:rFonts w:ascii="Palatino Linotype" w:hAnsi="Palatino Linotype" w:cstheme="minorHAnsi"/>
          <w:b/>
          <w:bCs/>
        </w:rPr>
      </w:pPr>
    </w:p>
    <w:p w14:paraId="5F27766E" w14:textId="77777777" w:rsidR="006369AA" w:rsidRPr="006369AA" w:rsidRDefault="006369AA" w:rsidP="006369AA">
      <w:pPr>
        <w:tabs>
          <w:tab w:val="right" w:pos="9026"/>
        </w:tabs>
        <w:jc w:val="both"/>
        <w:rPr>
          <w:rFonts w:ascii="Palatino Linotype" w:hAnsi="Palatino Linotype" w:cstheme="minorHAnsi"/>
        </w:rPr>
      </w:pPr>
      <w:r w:rsidRPr="006369AA">
        <w:rPr>
          <w:rFonts w:ascii="Palatino Linotype" w:hAnsi="Palatino Linotype" w:cstheme="minorHAnsi"/>
        </w:rPr>
        <w:t>Fuente: INEC 2021</w:t>
      </w:r>
    </w:p>
    <w:p w14:paraId="07F735E7" w14:textId="77777777" w:rsidR="006369AA" w:rsidRPr="006369AA" w:rsidRDefault="006369AA" w:rsidP="006369AA">
      <w:pPr>
        <w:tabs>
          <w:tab w:val="right" w:pos="9026"/>
        </w:tabs>
        <w:jc w:val="both"/>
        <w:rPr>
          <w:rFonts w:ascii="Palatino Linotype" w:hAnsi="Palatino Linotype" w:cstheme="minorHAnsi"/>
        </w:rPr>
      </w:pPr>
      <w:r w:rsidRPr="006369AA">
        <w:rPr>
          <w:rFonts w:ascii="Palatino Linotype" w:hAnsi="Palatino Linotype" w:cstheme="minorHAnsi"/>
        </w:rPr>
        <w:t>Esto muestra, que el sector Turismo cuenta con gran capacidad competitiva en la ciudad. Adicional a esto, es importante mencionar que, existen 13.000 empresas que emplean a más de 50.000 trabajadores en el sector (Instituto Nacional de Estadísticas y Censos, 2020).</w:t>
      </w:r>
    </w:p>
    <w:p w14:paraId="31DB8D86" w14:textId="77777777" w:rsidR="006369AA" w:rsidRPr="006369AA" w:rsidRDefault="006369AA" w:rsidP="006369AA">
      <w:pPr>
        <w:tabs>
          <w:tab w:val="right" w:pos="9026"/>
        </w:tabs>
        <w:jc w:val="both"/>
        <w:rPr>
          <w:rFonts w:ascii="Palatino Linotype" w:hAnsi="Palatino Linotype" w:cstheme="minorHAnsi"/>
        </w:rPr>
      </w:pPr>
      <w:r w:rsidRPr="006369AA">
        <w:rPr>
          <w:rFonts w:ascii="Palatino Linotype" w:hAnsi="Palatino Linotype" w:cstheme="minorHAnsi"/>
        </w:rPr>
        <w:t xml:space="preserve">Del análisis realizado, se puede denotar que el sector Turismo ha sufrido pérdidas importantes que se vienen acarreando desde años anteriores. Si bien, a nivel de ciudad han existido importante recuperación en todas las actividades económicas, Turismo como sector específico ha contado con mayores complejidades y porcentajes mayores de pérdidas. En términos de dinámica económica, al abarcar seis actividades económicas: Alojamiento; Servicio de alimentos y bebidas; Transportación, cuando se dedica principalmente al turismo; Operación; Intermediación, agencia de servicios turísticos y organizadoras de eventos, congresos y convenciones; e, Hipódromos y parques de </w:t>
      </w:r>
      <w:r w:rsidRPr="006369AA">
        <w:rPr>
          <w:rFonts w:ascii="Palatino Linotype" w:hAnsi="Palatino Linotype" w:cstheme="minorHAnsi"/>
        </w:rPr>
        <w:lastRenderedPageBreak/>
        <w:t xml:space="preserve">atracciones estables, </w:t>
      </w:r>
      <w:bookmarkStart w:id="0" w:name="_Hlk128140582"/>
      <w:r w:rsidRPr="006369AA">
        <w:rPr>
          <w:rFonts w:ascii="Palatino Linotype" w:hAnsi="Palatino Linotype" w:cstheme="minorHAnsi"/>
        </w:rPr>
        <w:t>conllevan mayores encadenamientos productivo-valor involucrando mayor producción y comercialización de productos y servicios.</w:t>
      </w:r>
      <w:bookmarkEnd w:id="0"/>
    </w:p>
    <w:p w14:paraId="4ED126C5" w14:textId="77777777" w:rsidR="006369AA" w:rsidRPr="006369AA" w:rsidRDefault="006369AA" w:rsidP="006369AA">
      <w:pPr>
        <w:tabs>
          <w:tab w:val="right" w:pos="9026"/>
        </w:tabs>
        <w:jc w:val="both"/>
        <w:rPr>
          <w:rFonts w:ascii="Palatino Linotype" w:hAnsi="Palatino Linotype" w:cstheme="minorHAnsi"/>
        </w:rPr>
      </w:pPr>
      <w:r w:rsidRPr="006369AA">
        <w:rPr>
          <w:rFonts w:ascii="Palatino Linotype" w:hAnsi="Palatino Linotype" w:cstheme="minorHAnsi"/>
        </w:rPr>
        <w:t>En términos de competitividad, el sector Turismo, cuenta con potencialidades, especialmente en el Índice Herﬁndahl-Hirschman (IHH), esto quiere decir, un número importante de empresas que intervienen en la producción o venta de un bien dentro del sector.</w:t>
      </w:r>
    </w:p>
    <w:p w14:paraId="48C92C48" w14:textId="77777777" w:rsidR="006369AA" w:rsidRPr="006369AA" w:rsidRDefault="006369AA" w:rsidP="006369AA">
      <w:pPr>
        <w:jc w:val="both"/>
        <w:rPr>
          <w:rFonts w:ascii="Palatino Linotype" w:hAnsi="Palatino Linotype" w:cstheme="minorHAnsi"/>
          <w:b/>
          <w:bCs/>
        </w:rPr>
      </w:pPr>
    </w:p>
    <w:p w14:paraId="68B4A264" w14:textId="77777777" w:rsidR="006369AA" w:rsidRPr="006369AA" w:rsidRDefault="006369AA" w:rsidP="006369AA">
      <w:pPr>
        <w:spacing w:after="200" w:line="276" w:lineRule="auto"/>
        <w:jc w:val="both"/>
        <w:rPr>
          <w:rFonts w:ascii="Palatino Linotype" w:hAnsi="Palatino Linotype" w:cstheme="minorHAnsi"/>
          <w:b/>
          <w:bCs/>
        </w:rPr>
      </w:pPr>
      <w:r w:rsidRPr="006369AA">
        <w:rPr>
          <w:rFonts w:ascii="Palatino Linotype" w:hAnsi="Palatino Linotype" w:cstheme="minorHAnsi"/>
          <w:b/>
          <w:bCs/>
        </w:rPr>
        <w:t>Zonas Especiales Turísticas</w:t>
      </w:r>
    </w:p>
    <w:p w14:paraId="74C6C72B" w14:textId="77777777" w:rsidR="006369AA" w:rsidRPr="006369AA" w:rsidRDefault="006369AA" w:rsidP="006369AA">
      <w:pPr>
        <w:spacing w:after="200" w:line="276" w:lineRule="auto"/>
        <w:jc w:val="both"/>
        <w:rPr>
          <w:rFonts w:ascii="Palatino Linotype" w:hAnsi="Palatino Linotype" w:cstheme="minorHAnsi"/>
          <w:b/>
          <w:bCs/>
        </w:rPr>
      </w:pPr>
      <w:r w:rsidRPr="006369AA">
        <w:rPr>
          <w:rFonts w:ascii="Palatino Linotype" w:hAnsi="Palatino Linotype" w:cstheme="minorHAnsi"/>
        </w:rPr>
        <w:t>Las Zonas Especiales Turísticas, según el Artículo 1352 del Código Municipal para el Distrito Metropolitano de Quito, está definida como “</w:t>
      </w:r>
      <w:r w:rsidRPr="006369AA">
        <w:rPr>
          <w:rFonts w:ascii="Palatino Linotype" w:hAnsi="Palatino Linotype" w:cstheme="minorHAnsi"/>
          <w:i/>
          <w:iCs/>
        </w:rPr>
        <w:t>…el territorio dentro del Distrito Metropolitano de Quito que, al tiempo de reunir características y condiciones para la ejecución de una política turística común, ha sido declarado como tal…”.</w:t>
      </w:r>
    </w:p>
    <w:p w14:paraId="08D3AB98" w14:textId="3D220FDC" w:rsidR="006369AA" w:rsidRPr="006369AA" w:rsidRDefault="006369AA" w:rsidP="006369AA">
      <w:pPr>
        <w:tabs>
          <w:tab w:val="right" w:pos="9026"/>
        </w:tabs>
        <w:jc w:val="both"/>
        <w:rPr>
          <w:rFonts w:ascii="Palatino Linotype" w:hAnsi="Palatino Linotype" w:cstheme="minorHAnsi"/>
        </w:rPr>
      </w:pPr>
      <w:r w:rsidRPr="006369AA">
        <w:rPr>
          <w:rFonts w:ascii="Palatino Linotype" w:hAnsi="Palatino Linotype" w:cstheme="minorHAnsi"/>
          <w:b/>
          <w:bCs/>
        </w:rPr>
        <w:t xml:space="preserve">Zona Especial Turística “La Mariscal” </w:t>
      </w:r>
    </w:p>
    <w:p w14:paraId="3B6A9A25" w14:textId="77777777" w:rsidR="006369AA" w:rsidRPr="006369AA" w:rsidRDefault="006369AA" w:rsidP="006369AA">
      <w:pPr>
        <w:tabs>
          <w:tab w:val="right" w:pos="9026"/>
        </w:tabs>
        <w:jc w:val="both"/>
        <w:rPr>
          <w:rFonts w:ascii="Palatino Linotype" w:hAnsi="Palatino Linotype" w:cstheme="minorHAnsi"/>
        </w:rPr>
      </w:pPr>
      <w:r w:rsidRPr="006369AA">
        <w:rPr>
          <w:rFonts w:ascii="Palatino Linotype" w:hAnsi="Palatino Linotype" w:cstheme="minorHAnsi"/>
        </w:rPr>
        <w:t xml:space="preserve">El sector La Mariscal, se encuentra declarada Zona Especial Turística, para efectos de fomento, desarrollo y promoción de la actividad turística según lo menciona el Artículo 1354 del Código, con las siguiente delimitación: Por el Norte: Avenida Orellana; por el Sur: Avenida Patria; por el Occidente: Avenida 10 de Agosto; y, por el Oriente: Calles Isabel La Católica y Alfredo Mena Caamaño y Avenida 12 de Octubre, adicionalmente se incluyen dentro de la zona delimitada, los predios ubicados en ambos frentes de las calles o avenidas limitantes. </w:t>
      </w:r>
    </w:p>
    <w:p w14:paraId="03A85290" w14:textId="77777777" w:rsidR="006369AA" w:rsidRPr="006369AA" w:rsidRDefault="006369AA" w:rsidP="006369AA">
      <w:pPr>
        <w:autoSpaceDE w:val="0"/>
        <w:autoSpaceDN w:val="0"/>
        <w:adjustRightInd w:val="0"/>
        <w:spacing w:after="0" w:line="240" w:lineRule="auto"/>
        <w:jc w:val="both"/>
        <w:rPr>
          <w:rFonts w:ascii="Palatino Linotype" w:hAnsi="Palatino Linotype" w:cstheme="minorHAnsi"/>
        </w:rPr>
      </w:pPr>
      <w:r w:rsidRPr="006369AA">
        <w:rPr>
          <w:rFonts w:ascii="Palatino Linotype" w:hAnsi="Palatino Linotype" w:cstheme="minorHAnsi"/>
        </w:rPr>
        <w:t>La zona de La Mariscal desde su génesis se estableció como Zona Especial Turística porque concentraba una gran cantidad de establecimientos dedicados a la diversión, recreación y esparcimiento, por lo que se constituía en el mayor centro de diversión de la ciudad de Quito, en el cual convergen varios de los visitantes nacionales y extranjeros, la misma ha venido presentado una involución en la trama urbana, marcada por la proliferación marcada de establecimientos para el ocio y la recreación urbana, produciendo la adaptación de su estructura urbano-arquitectónica hacia estos nuevos usos y a una ocupación caótica y desordenada del territorio.</w:t>
      </w:r>
    </w:p>
    <w:p w14:paraId="6B741EF9" w14:textId="77777777" w:rsidR="006369AA" w:rsidRPr="006369AA" w:rsidRDefault="006369AA" w:rsidP="006369AA">
      <w:pPr>
        <w:autoSpaceDE w:val="0"/>
        <w:autoSpaceDN w:val="0"/>
        <w:adjustRightInd w:val="0"/>
        <w:spacing w:after="0" w:line="240" w:lineRule="auto"/>
        <w:jc w:val="both"/>
        <w:rPr>
          <w:rFonts w:ascii="Palatino Linotype" w:hAnsi="Palatino Linotype" w:cstheme="minorHAnsi"/>
        </w:rPr>
      </w:pPr>
    </w:p>
    <w:p w14:paraId="6D377361" w14:textId="77777777" w:rsidR="006369AA" w:rsidRPr="006369AA" w:rsidRDefault="006369AA" w:rsidP="006369AA">
      <w:pPr>
        <w:autoSpaceDE w:val="0"/>
        <w:autoSpaceDN w:val="0"/>
        <w:adjustRightInd w:val="0"/>
        <w:spacing w:after="0" w:line="240" w:lineRule="auto"/>
        <w:jc w:val="both"/>
        <w:rPr>
          <w:rFonts w:ascii="Palatino Linotype" w:hAnsi="Palatino Linotype" w:cstheme="minorHAnsi"/>
        </w:rPr>
      </w:pPr>
      <w:r w:rsidRPr="006369AA">
        <w:rPr>
          <w:rFonts w:ascii="Palatino Linotype" w:hAnsi="Palatino Linotype" w:cstheme="minorHAnsi"/>
        </w:rPr>
        <w:t>Desde los años setenta el eje de la calle Amazonas cumplió la función de sitio de convocatoria ciudadana de la ciudad y lugar de encuentro, al momento esta arteria se ha convertido en el límite de las actividades de recreación y ocio, siendo La Zona de La Mariscal la Plaza del Quinde (Plaza Foch) y su perímetro circundante el único centro reconocido de encuentro e interacción para las actividades de ocio.</w:t>
      </w:r>
    </w:p>
    <w:p w14:paraId="035247FA" w14:textId="77777777" w:rsidR="006369AA" w:rsidRPr="006369AA" w:rsidRDefault="006369AA" w:rsidP="006369AA">
      <w:pPr>
        <w:autoSpaceDE w:val="0"/>
        <w:autoSpaceDN w:val="0"/>
        <w:adjustRightInd w:val="0"/>
        <w:spacing w:after="0" w:line="240" w:lineRule="auto"/>
        <w:jc w:val="both"/>
        <w:rPr>
          <w:rFonts w:ascii="Palatino Linotype" w:hAnsi="Palatino Linotype" w:cstheme="minorHAnsi"/>
        </w:rPr>
      </w:pPr>
    </w:p>
    <w:p w14:paraId="069FFF7D" w14:textId="77777777" w:rsidR="006369AA" w:rsidRPr="006369AA" w:rsidRDefault="006369AA" w:rsidP="006369AA">
      <w:pPr>
        <w:autoSpaceDE w:val="0"/>
        <w:autoSpaceDN w:val="0"/>
        <w:adjustRightInd w:val="0"/>
        <w:spacing w:after="0" w:line="240" w:lineRule="auto"/>
        <w:jc w:val="both"/>
        <w:rPr>
          <w:rFonts w:ascii="Palatino Linotype" w:hAnsi="Palatino Linotype" w:cstheme="minorHAnsi"/>
        </w:rPr>
      </w:pPr>
      <w:r w:rsidRPr="006369AA">
        <w:rPr>
          <w:rFonts w:ascii="Palatino Linotype" w:hAnsi="Palatino Linotype" w:cstheme="minorHAnsi"/>
        </w:rPr>
        <w:t>Sin embargo, para entender la situación actual en cuanto a la ocupación y usos de suelo que se han venido dando en la Zona Especial Turística La Mariscal y la relación con el desarrollo de actividades económicas sean estas reguladas o no, enfocadas en el análisis de los centros de diversión de tipología CZ1A o CZ1B, para lo cual el análisis se enmarca así:</w:t>
      </w:r>
    </w:p>
    <w:p w14:paraId="431924B2" w14:textId="77777777" w:rsidR="006369AA" w:rsidRPr="006369AA" w:rsidRDefault="006369AA" w:rsidP="006369AA">
      <w:pPr>
        <w:autoSpaceDE w:val="0"/>
        <w:autoSpaceDN w:val="0"/>
        <w:adjustRightInd w:val="0"/>
        <w:spacing w:after="0" w:line="240" w:lineRule="auto"/>
        <w:jc w:val="both"/>
        <w:rPr>
          <w:rFonts w:ascii="Palatino Linotype" w:hAnsi="Palatino Linotype" w:cstheme="minorHAnsi"/>
        </w:rPr>
      </w:pPr>
    </w:p>
    <w:p w14:paraId="36A199AC" w14:textId="77777777" w:rsidR="006369AA" w:rsidRPr="006369AA" w:rsidRDefault="006369AA" w:rsidP="006369AA">
      <w:pPr>
        <w:autoSpaceDE w:val="0"/>
        <w:autoSpaceDN w:val="0"/>
        <w:adjustRightInd w:val="0"/>
        <w:spacing w:after="0" w:line="240" w:lineRule="auto"/>
        <w:jc w:val="both"/>
        <w:rPr>
          <w:rFonts w:ascii="Palatino Linotype" w:hAnsi="Palatino Linotype" w:cstheme="minorHAnsi"/>
          <w:b/>
          <w:bCs/>
        </w:rPr>
      </w:pPr>
      <w:r w:rsidRPr="006369AA">
        <w:rPr>
          <w:rFonts w:ascii="Palatino Linotype" w:hAnsi="Palatino Linotype" w:cstheme="minorHAnsi"/>
          <w:b/>
          <w:bCs/>
        </w:rPr>
        <w:lastRenderedPageBreak/>
        <w:t>Análisis de la normativa desde el año 2009 al año 2023.</w:t>
      </w:r>
    </w:p>
    <w:p w14:paraId="70911DF1" w14:textId="77777777" w:rsidR="006369AA" w:rsidRPr="006369AA" w:rsidRDefault="006369AA" w:rsidP="006369AA">
      <w:pPr>
        <w:autoSpaceDE w:val="0"/>
        <w:autoSpaceDN w:val="0"/>
        <w:adjustRightInd w:val="0"/>
        <w:spacing w:after="0" w:line="240" w:lineRule="auto"/>
        <w:jc w:val="both"/>
        <w:rPr>
          <w:rFonts w:ascii="Palatino Linotype" w:hAnsi="Palatino Linotype" w:cstheme="minorHAnsi"/>
        </w:rPr>
      </w:pPr>
    </w:p>
    <w:p w14:paraId="0A36AB2D" w14:textId="77777777" w:rsidR="006369AA" w:rsidRPr="006369AA" w:rsidRDefault="006369AA" w:rsidP="006369AA">
      <w:pPr>
        <w:autoSpaceDE w:val="0"/>
        <w:autoSpaceDN w:val="0"/>
        <w:adjustRightInd w:val="0"/>
        <w:spacing w:after="0" w:line="240" w:lineRule="auto"/>
        <w:jc w:val="both"/>
        <w:rPr>
          <w:rFonts w:ascii="Palatino Linotype" w:hAnsi="Palatino Linotype" w:cstheme="minorHAnsi"/>
        </w:rPr>
      </w:pPr>
      <w:r w:rsidRPr="006369AA">
        <w:rPr>
          <w:rFonts w:ascii="Palatino Linotype" w:hAnsi="Palatino Linotype" w:cstheme="minorHAnsi"/>
          <w:noProof/>
          <w:lang w:val="en-US"/>
        </w:rPr>
        <w:drawing>
          <wp:inline distT="0" distB="0" distL="0" distR="0" wp14:anchorId="0C92E1D3" wp14:editId="79EE0F5A">
            <wp:extent cx="5208105" cy="251819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1541" t="30995" r="18650" b="17570"/>
                    <a:stretch/>
                  </pic:blipFill>
                  <pic:spPr bwMode="auto">
                    <a:xfrm>
                      <a:off x="0" y="0"/>
                      <a:ext cx="5241235" cy="2534211"/>
                    </a:xfrm>
                    <a:prstGeom prst="rect">
                      <a:avLst/>
                    </a:prstGeom>
                    <a:ln>
                      <a:noFill/>
                    </a:ln>
                    <a:extLst>
                      <a:ext uri="{53640926-AAD7-44D8-BBD7-CCE9431645EC}">
                        <a14:shadowObscured xmlns:a14="http://schemas.microsoft.com/office/drawing/2010/main"/>
                      </a:ext>
                    </a:extLst>
                  </pic:spPr>
                </pic:pic>
              </a:graphicData>
            </a:graphic>
          </wp:inline>
        </w:drawing>
      </w:r>
    </w:p>
    <w:p w14:paraId="6E51A44D" w14:textId="77777777" w:rsidR="006369AA" w:rsidRPr="006369AA" w:rsidRDefault="006369AA" w:rsidP="006369AA">
      <w:pPr>
        <w:autoSpaceDE w:val="0"/>
        <w:autoSpaceDN w:val="0"/>
        <w:adjustRightInd w:val="0"/>
        <w:spacing w:after="0" w:line="240" w:lineRule="auto"/>
        <w:jc w:val="both"/>
        <w:rPr>
          <w:rFonts w:ascii="Palatino Linotype" w:hAnsi="Palatino Linotype" w:cstheme="minorHAnsi"/>
        </w:rPr>
      </w:pPr>
      <w:r w:rsidRPr="006369AA">
        <w:rPr>
          <w:rFonts w:ascii="Palatino Linotype" w:hAnsi="Palatino Linotype" w:cstheme="minorHAnsi"/>
          <w:noProof/>
          <w:lang w:val="en-US"/>
        </w:rPr>
        <w:drawing>
          <wp:inline distT="0" distB="0" distL="0" distR="0" wp14:anchorId="3CCFD646" wp14:editId="0C5C0889">
            <wp:extent cx="5295569" cy="3544751"/>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3382" t="26208" r="20925" b="7486"/>
                    <a:stretch/>
                  </pic:blipFill>
                  <pic:spPr bwMode="auto">
                    <a:xfrm>
                      <a:off x="0" y="0"/>
                      <a:ext cx="5334567" cy="3570856"/>
                    </a:xfrm>
                    <a:prstGeom prst="rect">
                      <a:avLst/>
                    </a:prstGeom>
                    <a:ln>
                      <a:noFill/>
                    </a:ln>
                    <a:extLst>
                      <a:ext uri="{53640926-AAD7-44D8-BBD7-CCE9431645EC}">
                        <a14:shadowObscured xmlns:a14="http://schemas.microsoft.com/office/drawing/2010/main"/>
                      </a:ext>
                    </a:extLst>
                  </pic:spPr>
                </pic:pic>
              </a:graphicData>
            </a:graphic>
          </wp:inline>
        </w:drawing>
      </w:r>
    </w:p>
    <w:p w14:paraId="4D191EB3" w14:textId="77777777" w:rsidR="006369AA" w:rsidRPr="006369AA" w:rsidRDefault="006369AA" w:rsidP="006369AA">
      <w:pPr>
        <w:autoSpaceDE w:val="0"/>
        <w:autoSpaceDN w:val="0"/>
        <w:adjustRightInd w:val="0"/>
        <w:spacing w:after="0" w:line="240" w:lineRule="auto"/>
        <w:jc w:val="both"/>
        <w:rPr>
          <w:rFonts w:ascii="Palatino Linotype" w:hAnsi="Palatino Linotype" w:cstheme="minorHAnsi"/>
        </w:rPr>
      </w:pPr>
      <w:r w:rsidRPr="006369AA">
        <w:rPr>
          <w:rFonts w:ascii="Palatino Linotype" w:hAnsi="Palatino Linotype" w:cstheme="minorHAnsi"/>
          <w:noProof/>
          <w:lang w:val="en-US"/>
        </w:rPr>
        <w:lastRenderedPageBreak/>
        <w:drawing>
          <wp:inline distT="0" distB="0" distL="0" distR="0" wp14:anchorId="41C01FB9" wp14:editId="028DDFA4">
            <wp:extent cx="5295265" cy="3005328"/>
            <wp:effectExtent l="0" t="0" r="635"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3384" t="29484" r="20916" b="14289"/>
                    <a:stretch/>
                  </pic:blipFill>
                  <pic:spPr bwMode="auto">
                    <a:xfrm>
                      <a:off x="0" y="0"/>
                      <a:ext cx="5325274" cy="3022360"/>
                    </a:xfrm>
                    <a:prstGeom prst="rect">
                      <a:avLst/>
                    </a:prstGeom>
                    <a:ln>
                      <a:noFill/>
                    </a:ln>
                    <a:extLst>
                      <a:ext uri="{53640926-AAD7-44D8-BBD7-CCE9431645EC}">
                        <a14:shadowObscured xmlns:a14="http://schemas.microsoft.com/office/drawing/2010/main"/>
                      </a:ext>
                    </a:extLst>
                  </pic:spPr>
                </pic:pic>
              </a:graphicData>
            </a:graphic>
          </wp:inline>
        </w:drawing>
      </w:r>
    </w:p>
    <w:p w14:paraId="57BB9543" w14:textId="77777777" w:rsidR="006369AA" w:rsidRPr="006369AA" w:rsidRDefault="006369AA" w:rsidP="006369AA">
      <w:pPr>
        <w:autoSpaceDE w:val="0"/>
        <w:autoSpaceDN w:val="0"/>
        <w:adjustRightInd w:val="0"/>
        <w:spacing w:after="0" w:line="240" w:lineRule="auto"/>
        <w:jc w:val="both"/>
        <w:rPr>
          <w:rFonts w:ascii="Palatino Linotype" w:hAnsi="Palatino Linotype" w:cstheme="minorHAnsi"/>
        </w:rPr>
      </w:pPr>
    </w:p>
    <w:p w14:paraId="65F7FFAE" w14:textId="77777777" w:rsidR="006369AA" w:rsidRPr="006369AA" w:rsidRDefault="006369AA" w:rsidP="006369AA">
      <w:pPr>
        <w:autoSpaceDE w:val="0"/>
        <w:autoSpaceDN w:val="0"/>
        <w:adjustRightInd w:val="0"/>
        <w:spacing w:after="0" w:line="240" w:lineRule="auto"/>
        <w:jc w:val="both"/>
        <w:rPr>
          <w:rFonts w:ascii="Palatino Linotype" w:hAnsi="Palatino Linotype" w:cstheme="minorHAnsi"/>
        </w:rPr>
      </w:pPr>
      <w:r w:rsidRPr="006369AA">
        <w:rPr>
          <w:rFonts w:ascii="Palatino Linotype" w:hAnsi="Palatino Linotype" w:cstheme="minorHAnsi"/>
        </w:rPr>
        <w:t>En la revisión de la normativa se evidencia que las condiciones de implantación para el periodo 2009, se autoriza en la tipología R3, la implantación de tipologías CZ1A y CZ1B.</w:t>
      </w:r>
    </w:p>
    <w:p w14:paraId="7618906C" w14:textId="77777777" w:rsidR="006369AA" w:rsidRPr="006369AA" w:rsidRDefault="006369AA" w:rsidP="006369AA">
      <w:pPr>
        <w:autoSpaceDE w:val="0"/>
        <w:autoSpaceDN w:val="0"/>
        <w:adjustRightInd w:val="0"/>
        <w:spacing w:after="0" w:line="240" w:lineRule="auto"/>
        <w:jc w:val="both"/>
        <w:rPr>
          <w:rFonts w:ascii="Palatino Linotype" w:hAnsi="Palatino Linotype" w:cstheme="minorHAnsi"/>
        </w:rPr>
      </w:pPr>
    </w:p>
    <w:p w14:paraId="276973C0" w14:textId="77777777" w:rsidR="006369AA" w:rsidRPr="006369AA" w:rsidRDefault="006369AA" w:rsidP="006369AA">
      <w:pPr>
        <w:autoSpaceDE w:val="0"/>
        <w:autoSpaceDN w:val="0"/>
        <w:adjustRightInd w:val="0"/>
        <w:spacing w:after="0" w:line="240" w:lineRule="auto"/>
        <w:jc w:val="both"/>
        <w:rPr>
          <w:rFonts w:ascii="Palatino Linotype" w:hAnsi="Palatino Linotype" w:cstheme="minorHAnsi"/>
        </w:rPr>
      </w:pPr>
      <w:r w:rsidRPr="006369AA">
        <w:rPr>
          <w:rFonts w:ascii="Palatino Linotype" w:hAnsi="Palatino Linotype" w:cstheme="minorHAnsi"/>
        </w:rPr>
        <w:t>En el año 2011 se establece que los establecimientos que hayan obtenido Informe de Compatibilidad de Uso de Suelo favorable o permiso de funcionamiento desde el año 2003, hasta la fecha que entró en vigencia la ordenanza No. 135, podrán seguir funcionando a distancias menores a las establecidas en las condiciones específicas de implantación del uso comercial y de servicios previstas en el PUOS siempre y cuando cumplan con las condiciones de implantación de la actividad.</w:t>
      </w:r>
    </w:p>
    <w:p w14:paraId="138A519D" w14:textId="77777777" w:rsidR="006369AA" w:rsidRPr="006369AA" w:rsidRDefault="006369AA" w:rsidP="006369AA">
      <w:pPr>
        <w:autoSpaceDE w:val="0"/>
        <w:autoSpaceDN w:val="0"/>
        <w:adjustRightInd w:val="0"/>
        <w:spacing w:after="0" w:line="240" w:lineRule="auto"/>
        <w:jc w:val="both"/>
        <w:rPr>
          <w:rFonts w:ascii="Palatino Linotype" w:hAnsi="Palatino Linotype" w:cstheme="minorHAnsi"/>
        </w:rPr>
      </w:pPr>
    </w:p>
    <w:p w14:paraId="3C69A4BD" w14:textId="77777777" w:rsidR="006369AA" w:rsidRPr="006369AA" w:rsidRDefault="006369AA" w:rsidP="006369AA">
      <w:pPr>
        <w:autoSpaceDE w:val="0"/>
        <w:autoSpaceDN w:val="0"/>
        <w:adjustRightInd w:val="0"/>
        <w:spacing w:after="0" w:line="240" w:lineRule="auto"/>
        <w:jc w:val="both"/>
        <w:rPr>
          <w:rFonts w:ascii="Palatino Linotype" w:hAnsi="Palatino Linotype" w:cstheme="minorHAnsi"/>
        </w:rPr>
      </w:pPr>
      <w:r w:rsidRPr="006369AA">
        <w:rPr>
          <w:rFonts w:ascii="Palatino Linotype" w:hAnsi="Palatino Linotype" w:cstheme="minorHAnsi"/>
        </w:rPr>
        <w:t>En la ordenanza del año 2018 se establecen las actividades preexistentes en uso de suelo prohibido, que de acuerdo al uso de suelo vigente sean incompatibles y/o no cumplan condiciones de implantación, de conformidad con lo previsto en el PUOS.</w:t>
      </w:r>
    </w:p>
    <w:p w14:paraId="3BE1C30C" w14:textId="77777777" w:rsidR="006369AA" w:rsidRPr="006369AA" w:rsidRDefault="006369AA" w:rsidP="006369AA">
      <w:pPr>
        <w:autoSpaceDE w:val="0"/>
        <w:autoSpaceDN w:val="0"/>
        <w:adjustRightInd w:val="0"/>
        <w:spacing w:after="0" w:line="240" w:lineRule="auto"/>
        <w:jc w:val="both"/>
        <w:rPr>
          <w:rFonts w:ascii="Palatino Linotype" w:hAnsi="Palatino Linotype" w:cstheme="minorHAnsi"/>
        </w:rPr>
      </w:pPr>
    </w:p>
    <w:p w14:paraId="5F047BC6" w14:textId="77777777" w:rsidR="006369AA" w:rsidRPr="006369AA" w:rsidRDefault="006369AA" w:rsidP="006369AA">
      <w:pPr>
        <w:autoSpaceDE w:val="0"/>
        <w:autoSpaceDN w:val="0"/>
        <w:adjustRightInd w:val="0"/>
        <w:spacing w:after="0" w:line="240" w:lineRule="auto"/>
        <w:jc w:val="both"/>
        <w:rPr>
          <w:rFonts w:ascii="Palatino Linotype" w:hAnsi="Palatino Linotype" w:cstheme="minorHAnsi"/>
        </w:rPr>
      </w:pPr>
      <w:r w:rsidRPr="006369AA">
        <w:rPr>
          <w:rFonts w:ascii="Palatino Linotype" w:hAnsi="Palatino Linotype" w:cstheme="minorHAnsi"/>
        </w:rPr>
        <w:t>Así también, desde el 2011 al 2022 se han generado condiciones de uso e implantación de suelo en los planes vigentes para todo el DMQ, sin embargo y del análisis expuesto, la Zona Especial Turística La Mariscal no ha logrado cumplir con el propósito de tener una zona rosa con un crecimiento sostenido, controlado, seguro, con estándares de calidad que permitan hacer uso y disfrute de la oferta instalada, sino que, han provocado que la zona presente un deterioro en su imagen y calidad urbana, así como la degradación en la calidad y oferta de las actividades con tipología ZC11 y Z1B, y con ello el vaciamiento y detrimento de la zona en general, hasta llegar a tener niveles de desocupación altos en la zona.</w:t>
      </w:r>
    </w:p>
    <w:p w14:paraId="4A0D41A8" w14:textId="77777777" w:rsidR="006369AA" w:rsidRPr="006369AA" w:rsidRDefault="006369AA" w:rsidP="006369AA">
      <w:pPr>
        <w:autoSpaceDE w:val="0"/>
        <w:autoSpaceDN w:val="0"/>
        <w:adjustRightInd w:val="0"/>
        <w:spacing w:after="0" w:line="240" w:lineRule="auto"/>
        <w:jc w:val="both"/>
        <w:rPr>
          <w:rFonts w:ascii="Palatino Linotype" w:hAnsi="Palatino Linotype" w:cstheme="minorHAnsi"/>
        </w:rPr>
      </w:pPr>
    </w:p>
    <w:p w14:paraId="799CA4FE" w14:textId="77777777" w:rsidR="006369AA" w:rsidRPr="006369AA" w:rsidRDefault="006369AA" w:rsidP="006369AA">
      <w:pPr>
        <w:autoSpaceDE w:val="0"/>
        <w:autoSpaceDN w:val="0"/>
        <w:adjustRightInd w:val="0"/>
        <w:spacing w:after="0" w:line="240" w:lineRule="auto"/>
        <w:jc w:val="both"/>
        <w:rPr>
          <w:rFonts w:ascii="Palatino Linotype" w:hAnsi="Palatino Linotype" w:cstheme="minorHAnsi"/>
        </w:rPr>
      </w:pPr>
      <w:r w:rsidRPr="006369AA">
        <w:rPr>
          <w:rFonts w:ascii="Palatino Linotype" w:hAnsi="Palatino Linotype" w:cstheme="minorHAnsi"/>
        </w:rPr>
        <w:t>Respecto a los temas específicos de otorgamiento de licencias para tipologías CZ1A y CZ1B se destaca lo siguiente:</w:t>
      </w:r>
    </w:p>
    <w:p w14:paraId="097291BF" w14:textId="77777777" w:rsidR="006369AA" w:rsidRPr="006369AA" w:rsidRDefault="006369AA" w:rsidP="006369AA">
      <w:pPr>
        <w:autoSpaceDE w:val="0"/>
        <w:autoSpaceDN w:val="0"/>
        <w:adjustRightInd w:val="0"/>
        <w:spacing w:after="0" w:line="240" w:lineRule="auto"/>
        <w:jc w:val="both"/>
        <w:rPr>
          <w:rFonts w:ascii="Palatino Linotype" w:hAnsi="Palatino Linotype" w:cstheme="minorHAnsi"/>
        </w:rPr>
      </w:pPr>
    </w:p>
    <w:p w14:paraId="0B4E0E67" w14:textId="77777777" w:rsidR="006369AA" w:rsidRPr="006369AA" w:rsidRDefault="006369AA" w:rsidP="006369AA">
      <w:pPr>
        <w:pStyle w:val="Prrafodelista"/>
        <w:numPr>
          <w:ilvl w:val="0"/>
          <w:numId w:val="21"/>
        </w:numPr>
        <w:autoSpaceDE w:val="0"/>
        <w:autoSpaceDN w:val="0"/>
        <w:adjustRightInd w:val="0"/>
        <w:spacing w:after="0" w:line="240" w:lineRule="auto"/>
        <w:jc w:val="both"/>
        <w:rPr>
          <w:rFonts w:ascii="Palatino Linotype" w:hAnsi="Palatino Linotype" w:cstheme="minorHAnsi"/>
        </w:rPr>
      </w:pPr>
      <w:r w:rsidRPr="006369AA">
        <w:rPr>
          <w:rFonts w:ascii="Palatino Linotype" w:hAnsi="Palatino Linotype" w:cstheme="minorHAnsi"/>
        </w:rPr>
        <w:t xml:space="preserve">Para el período del 2011 al 2016 en el cual estuvo vigente la Ordenanza Metropolitana Nro. 0172, se contabilizan picos para los pedidos 2014, 2015 y 2016, de los cuales el promedio de emisión de LUAE, es de 99 por año, </w:t>
      </w:r>
      <w:r w:rsidRPr="006369AA">
        <w:rPr>
          <w:rFonts w:ascii="Palatino Linotype" w:hAnsi="Palatino Linotype" w:cstheme="minorHAnsi"/>
        </w:rPr>
        <w:lastRenderedPageBreak/>
        <w:t>teniendo para el 2015, el pico de 111 LUAE emitidas para las actividades de tipología ZC1A y CZ1B, siendo este el que representaría un desarrollo pleno de las actividades en la zona.</w:t>
      </w:r>
    </w:p>
    <w:p w14:paraId="4C8B39DE" w14:textId="77777777" w:rsidR="006369AA" w:rsidRPr="006369AA" w:rsidRDefault="006369AA" w:rsidP="006369AA">
      <w:pPr>
        <w:pStyle w:val="Prrafodelista"/>
        <w:numPr>
          <w:ilvl w:val="0"/>
          <w:numId w:val="21"/>
        </w:numPr>
        <w:autoSpaceDE w:val="0"/>
        <w:autoSpaceDN w:val="0"/>
        <w:adjustRightInd w:val="0"/>
        <w:spacing w:after="0" w:line="240" w:lineRule="auto"/>
        <w:jc w:val="both"/>
        <w:rPr>
          <w:rFonts w:ascii="Palatino Linotype" w:hAnsi="Palatino Linotype" w:cstheme="minorHAnsi"/>
        </w:rPr>
      </w:pPr>
      <w:r w:rsidRPr="006369AA">
        <w:rPr>
          <w:rFonts w:ascii="Palatino Linotype" w:hAnsi="Palatino Linotype" w:cstheme="minorHAnsi"/>
        </w:rPr>
        <w:t>En el período del 2017, debido a la aplicación de las varias reformas a la ordenanza 0172, se evidencia que solo 13 trámites terminaron el proceso para obtención de la LUAE, lo que no significa que la zona estuvo sin actividad, por el contrario, se desarrollaron las actividades sin que estas hayan obtenido su licencia.</w:t>
      </w:r>
    </w:p>
    <w:p w14:paraId="1437D92F" w14:textId="77777777" w:rsidR="006369AA" w:rsidRPr="006369AA" w:rsidRDefault="006369AA" w:rsidP="006369AA">
      <w:pPr>
        <w:pStyle w:val="Prrafodelista"/>
        <w:numPr>
          <w:ilvl w:val="0"/>
          <w:numId w:val="21"/>
        </w:numPr>
        <w:autoSpaceDE w:val="0"/>
        <w:autoSpaceDN w:val="0"/>
        <w:adjustRightInd w:val="0"/>
        <w:spacing w:after="0" w:line="240" w:lineRule="auto"/>
        <w:jc w:val="both"/>
        <w:rPr>
          <w:rFonts w:ascii="Palatino Linotype" w:hAnsi="Palatino Linotype" w:cstheme="minorHAnsi"/>
        </w:rPr>
      </w:pPr>
      <w:r w:rsidRPr="006369AA">
        <w:rPr>
          <w:rFonts w:ascii="Palatino Linotype" w:hAnsi="Palatino Linotype" w:cstheme="minorHAnsi"/>
        </w:rPr>
        <w:t>Para el período 2018 se contabiliza la emisión de 55 LUAE, de las cuales 35 están implantadas en sitios prohibidos, sin embargo, su autorización son soportadas conforme lo establece la normativa de preexistencia que permite que los establecimientos puedan seguir funcionando a distancias menores a las establecidas en las condiciones específicas de implantación del uso comercial y de servicios, cantidad que representa el 63 % con respecto a las LUAE emitidas en sitios que sí cumplen con los parámetros normativos.</w:t>
      </w:r>
    </w:p>
    <w:p w14:paraId="3D93AA41" w14:textId="77777777" w:rsidR="006369AA" w:rsidRPr="006369AA" w:rsidRDefault="006369AA" w:rsidP="006369AA">
      <w:pPr>
        <w:pStyle w:val="Prrafodelista"/>
        <w:numPr>
          <w:ilvl w:val="0"/>
          <w:numId w:val="21"/>
        </w:numPr>
        <w:autoSpaceDE w:val="0"/>
        <w:autoSpaceDN w:val="0"/>
        <w:adjustRightInd w:val="0"/>
        <w:spacing w:after="0" w:line="240" w:lineRule="auto"/>
        <w:jc w:val="both"/>
        <w:rPr>
          <w:rFonts w:ascii="Palatino Linotype" w:hAnsi="Palatino Linotype" w:cstheme="minorHAnsi"/>
        </w:rPr>
      </w:pPr>
      <w:r w:rsidRPr="006369AA">
        <w:rPr>
          <w:rFonts w:ascii="Palatino Linotype" w:hAnsi="Palatino Linotype" w:cstheme="minorHAnsi"/>
        </w:rPr>
        <w:t>Para el período del 2019 al 2022, en la que se toman en cuenta las preexistencias, se contabiliza para el 2019 la emisión de 86 LUAE, de las cuales 32 cumplen el requisito de preexistencia, lo que representa el 59% respecto con respecto a las LUAE emitidas en sitios que cumplen con los parámetros normativos.</w:t>
      </w:r>
    </w:p>
    <w:p w14:paraId="64F752B5" w14:textId="77777777" w:rsidR="006369AA" w:rsidRPr="006369AA" w:rsidRDefault="006369AA" w:rsidP="006369AA">
      <w:pPr>
        <w:pStyle w:val="Prrafodelista"/>
        <w:numPr>
          <w:ilvl w:val="0"/>
          <w:numId w:val="21"/>
        </w:numPr>
        <w:autoSpaceDE w:val="0"/>
        <w:autoSpaceDN w:val="0"/>
        <w:adjustRightInd w:val="0"/>
        <w:spacing w:after="0" w:line="240" w:lineRule="auto"/>
        <w:jc w:val="both"/>
        <w:rPr>
          <w:rFonts w:ascii="Palatino Linotype" w:hAnsi="Palatino Linotype" w:cstheme="minorHAnsi"/>
        </w:rPr>
      </w:pPr>
      <w:r w:rsidRPr="006369AA">
        <w:rPr>
          <w:rFonts w:ascii="Palatino Linotype" w:hAnsi="Palatino Linotype" w:cstheme="minorHAnsi"/>
        </w:rPr>
        <w:t>Para el período 2020, al ser un año atípico por la pandemia mundial del coronavirus, el análisis muestra que se emitieron 38 LUAE, sin embargo, de estas 21 fueron aparadas bajo la preexistencia es decir el 123% con respecto a las 17 LUAE que se emitieron en sitios permitidos y sin necesidad de tener una preexistencia.</w:t>
      </w:r>
    </w:p>
    <w:p w14:paraId="7F2CD473" w14:textId="77777777" w:rsidR="006369AA" w:rsidRPr="006369AA" w:rsidRDefault="006369AA" w:rsidP="006369AA">
      <w:pPr>
        <w:pStyle w:val="Prrafodelista"/>
        <w:numPr>
          <w:ilvl w:val="0"/>
          <w:numId w:val="21"/>
        </w:numPr>
        <w:autoSpaceDE w:val="0"/>
        <w:autoSpaceDN w:val="0"/>
        <w:adjustRightInd w:val="0"/>
        <w:spacing w:after="0" w:line="240" w:lineRule="auto"/>
        <w:jc w:val="both"/>
        <w:rPr>
          <w:rFonts w:ascii="Palatino Linotype" w:hAnsi="Palatino Linotype" w:cstheme="minorHAnsi"/>
        </w:rPr>
      </w:pPr>
      <w:r w:rsidRPr="006369AA">
        <w:rPr>
          <w:rFonts w:ascii="Palatino Linotype" w:hAnsi="Palatino Linotype" w:cstheme="minorHAnsi"/>
        </w:rPr>
        <w:t>Para el período 2021 se emitieron un total de 87 LUAE de las cuales 47 tienen la condición de preexistencia; y para el 2022 se emitieron un total de 70 LUAE de las cuales 37 tienen la condición de preexistencia; evidencia que los permisos emitidos en un gran porcentaje corresponden a establecimientos con preexistencia.</w:t>
      </w:r>
    </w:p>
    <w:p w14:paraId="75DF32CA" w14:textId="77777777" w:rsidR="006369AA" w:rsidRPr="006369AA" w:rsidRDefault="006369AA" w:rsidP="006369AA">
      <w:pPr>
        <w:autoSpaceDE w:val="0"/>
        <w:autoSpaceDN w:val="0"/>
        <w:adjustRightInd w:val="0"/>
        <w:spacing w:after="0" w:line="240" w:lineRule="auto"/>
        <w:jc w:val="both"/>
        <w:rPr>
          <w:rFonts w:ascii="Palatino Linotype" w:hAnsi="Palatino Linotype" w:cstheme="minorHAnsi"/>
        </w:rPr>
      </w:pPr>
    </w:p>
    <w:p w14:paraId="0EAC68B2" w14:textId="77777777" w:rsidR="006369AA" w:rsidRPr="006369AA" w:rsidRDefault="006369AA" w:rsidP="006369AA">
      <w:pPr>
        <w:autoSpaceDE w:val="0"/>
        <w:autoSpaceDN w:val="0"/>
        <w:adjustRightInd w:val="0"/>
        <w:spacing w:after="0" w:line="240" w:lineRule="auto"/>
        <w:jc w:val="both"/>
        <w:rPr>
          <w:rFonts w:ascii="Palatino Linotype" w:hAnsi="Palatino Linotype" w:cstheme="minorHAnsi"/>
          <w:color w:val="000000" w:themeColor="text1"/>
          <w:lang w:val="es-ES_tradnl"/>
        </w:rPr>
      </w:pPr>
      <w:r w:rsidRPr="006369AA">
        <w:rPr>
          <w:rFonts w:ascii="Palatino Linotype" w:hAnsi="Palatino Linotype" w:cstheme="minorHAnsi"/>
          <w:color w:val="000000" w:themeColor="text1"/>
          <w:lang w:val="es-ES_tradnl"/>
        </w:rPr>
        <w:t>La Ley de Turismo en su artículo 4 prescribe que la política estatal en relación al sector turístico debe cumplir con: "</w:t>
      </w:r>
      <w:r w:rsidRPr="006369AA">
        <w:rPr>
          <w:rFonts w:ascii="Palatino Linotype" w:hAnsi="Palatino Linotype" w:cstheme="minorHAnsi"/>
          <w:i/>
          <w:color w:val="000000" w:themeColor="text1"/>
          <w:lang w:val="es-ES_tradnl"/>
        </w:rPr>
        <w:t>a) Reconocer que la actividad turística corresponde a la iniciativa privada y comunitaria o de autogestión, y al Estado en cuanto debe potencializar las actividades mediante el fomento y promoción de un producto turístico competitivo; b) Garantizar el uso racional de los recursos naturales, históricos, culturales y arqueológicos de la Nación; c) Proteger al turista y fomentar la conciencia turística; d) Propiciar la coordinación de los diferentes estamentos del Gobierno Nacional, y de los gobiernos locales para la consecución de los objetivos turísticos; e) Promover la capacitación técnica y profesional de quienes ejercen legalmente la actividad turística; f) Promover internacionalmente al país y sus atractivos en conjunto con otros organismos del sector público y con el sector privado; y, g) Fomentar e incentivar el turismo interno.</w:t>
      </w:r>
      <w:r w:rsidRPr="006369AA">
        <w:rPr>
          <w:rFonts w:ascii="Palatino Linotype" w:hAnsi="Palatino Linotype" w:cstheme="minorHAnsi"/>
          <w:color w:val="000000" w:themeColor="text1"/>
          <w:lang w:val="es-ES_tradnl"/>
        </w:rPr>
        <w:t>"</w:t>
      </w:r>
    </w:p>
    <w:p w14:paraId="07392B24" w14:textId="77777777" w:rsidR="006369AA" w:rsidRPr="006369AA" w:rsidRDefault="006369AA" w:rsidP="006369AA">
      <w:pPr>
        <w:autoSpaceDE w:val="0"/>
        <w:autoSpaceDN w:val="0"/>
        <w:adjustRightInd w:val="0"/>
        <w:spacing w:after="0" w:line="240" w:lineRule="auto"/>
        <w:jc w:val="both"/>
        <w:rPr>
          <w:rFonts w:ascii="Palatino Linotype" w:hAnsi="Palatino Linotype" w:cstheme="minorHAnsi"/>
          <w:color w:val="000000" w:themeColor="text1"/>
          <w:lang w:val="es-ES_tradnl"/>
        </w:rPr>
      </w:pPr>
    </w:p>
    <w:p w14:paraId="3738B994" w14:textId="77777777" w:rsidR="006369AA" w:rsidRPr="006369AA" w:rsidRDefault="006369AA" w:rsidP="006369AA">
      <w:pPr>
        <w:autoSpaceDE w:val="0"/>
        <w:autoSpaceDN w:val="0"/>
        <w:adjustRightInd w:val="0"/>
        <w:spacing w:after="0" w:line="240" w:lineRule="auto"/>
        <w:jc w:val="both"/>
        <w:rPr>
          <w:rFonts w:ascii="Palatino Linotype" w:hAnsi="Palatino Linotype" w:cstheme="minorHAnsi"/>
          <w:i/>
          <w:color w:val="000000" w:themeColor="text1"/>
          <w:lang w:val="es-ES_tradnl"/>
        </w:rPr>
      </w:pPr>
      <w:r w:rsidRPr="006369AA">
        <w:rPr>
          <w:rFonts w:ascii="Palatino Linotype" w:hAnsi="Palatino Linotype" w:cstheme="minorHAnsi"/>
          <w:color w:val="000000" w:themeColor="text1"/>
          <w:lang w:val="es-ES_tradnl"/>
        </w:rPr>
        <w:t xml:space="preserve">El Código Municipal para el Distrito Metropolitano de Quito en su artículo </w:t>
      </w:r>
      <w:r w:rsidRPr="006369AA">
        <w:rPr>
          <w:rFonts w:ascii="Palatino Linotype" w:eastAsia="Palatino Linotype" w:hAnsi="Palatino Linotype" w:cstheme="minorHAnsi"/>
          <w:color w:val="000000" w:themeColor="text1"/>
          <w:lang w:val="es-ES_tradnl"/>
        </w:rPr>
        <w:t xml:space="preserve">1362 establece lo siguiente: </w:t>
      </w:r>
      <w:r w:rsidRPr="006369AA">
        <w:rPr>
          <w:rFonts w:ascii="Palatino Linotype" w:hAnsi="Palatino Linotype" w:cstheme="minorHAnsi"/>
          <w:i/>
          <w:color w:val="000000" w:themeColor="text1"/>
          <w:lang w:val="es-ES_tradnl"/>
        </w:rPr>
        <w:t>“</w:t>
      </w:r>
      <w:r w:rsidRPr="006369AA">
        <w:rPr>
          <w:rFonts w:ascii="Palatino Linotype" w:hAnsi="Palatino Linotype" w:cstheme="minorHAnsi"/>
          <w:i/>
        </w:rPr>
        <w:t xml:space="preserve">Cuando de conformidad con el ordenamiento jurídico metropolitano un establecimiento que se hubiera implantado en una Zona Especial Turística cumpliere con todos los requisitos para el ejercicio de la actividad turística en dicho territorio, aquellos previstos como </w:t>
      </w:r>
      <w:r w:rsidRPr="006369AA">
        <w:rPr>
          <w:rFonts w:ascii="Palatino Linotype" w:hAnsi="Palatino Linotype" w:cstheme="minorHAnsi"/>
          <w:i/>
        </w:rPr>
        <w:lastRenderedPageBreak/>
        <w:t xml:space="preserve">requisitos, limitaciones y condiciones particulares o generales de implantación del régimen general no le serán aplicables, siempre que la Autoridad Administrativa Competente al otorgar la Licencia Metropolitana Única para el Ejercicio de Actividades Económicas lo autorice dentro del trámite especial. </w:t>
      </w:r>
    </w:p>
    <w:p w14:paraId="163430C5" w14:textId="77777777" w:rsidR="006369AA" w:rsidRPr="006369AA" w:rsidRDefault="006369AA" w:rsidP="006369AA">
      <w:pPr>
        <w:pStyle w:val="Default"/>
        <w:jc w:val="both"/>
        <w:rPr>
          <w:rFonts w:ascii="Palatino Linotype" w:hAnsi="Palatino Linotype" w:cstheme="minorHAnsi"/>
          <w:i/>
          <w:sz w:val="22"/>
          <w:szCs w:val="22"/>
        </w:rPr>
      </w:pPr>
      <w:r w:rsidRPr="006369AA">
        <w:rPr>
          <w:rFonts w:ascii="Palatino Linotype" w:hAnsi="Palatino Linotype" w:cstheme="minorHAnsi"/>
          <w:i/>
          <w:sz w:val="22"/>
          <w:szCs w:val="22"/>
        </w:rPr>
        <w:t xml:space="preserve">La Autoridad Administrativa Competente podrá otorgar la autorización a la que se refiere en numeral precedente, siempre que constatare que no existen afectaciones a las personas, los bienes o el ambiente, o que tales afectaciones pueden ser mitigadas con determinadas medidas o condiciones que deberán formar parte de la Licencia Metropolitana Única para el Ejercicio de Actividades Económicas que llegare a otorgar. </w:t>
      </w:r>
    </w:p>
    <w:p w14:paraId="6B3FAC69" w14:textId="77777777" w:rsidR="006369AA" w:rsidRPr="006369AA" w:rsidRDefault="006369AA" w:rsidP="006369AA">
      <w:pPr>
        <w:autoSpaceDE w:val="0"/>
        <w:autoSpaceDN w:val="0"/>
        <w:adjustRightInd w:val="0"/>
        <w:spacing w:after="0" w:line="240" w:lineRule="auto"/>
        <w:jc w:val="both"/>
        <w:rPr>
          <w:rFonts w:ascii="Palatino Linotype" w:hAnsi="Palatino Linotype" w:cstheme="minorHAnsi"/>
          <w:i/>
          <w:color w:val="000000" w:themeColor="text1"/>
          <w:lang w:val="es-ES_tradnl"/>
        </w:rPr>
      </w:pPr>
      <w:r w:rsidRPr="006369AA">
        <w:rPr>
          <w:rFonts w:ascii="Palatino Linotype" w:hAnsi="Palatino Linotype" w:cstheme="minorHAnsi"/>
          <w:i/>
        </w:rPr>
        <w:t>En Zonas Especiales Turísticas no podrán implantarse actividades restringidas en el correspondiente Plan de Gestión”.</w:t>
      </w:r>
    </w:p>
    <w:p w14:paraId="04C636DA" w14:textId="77777777" w:rsidR="006369AA" w:rsidRPr="006369AA" w:rsidRDefault="006369AA" w:rsidP="006369AA">
      <w:pPr>
        <w:autoSpaceDE w:val="0"/>
        <w:autoSpaceDN w:val="0"/>
        <w:adjustRightInd w:val="0"/>
        <w:spacing w:after="0" w:line="240" w:lineRule="auto"/>
        <w:jc w:val="both"/>
        <w:rPr>
          <w:rFonts w:ascii="Palatino Linotype" w:hAnsi="Palatino Linotype" w:cstheme="minorHAnsi"/>
          <w:i/>
        </w:rPr>
      </w:pPr>
    </w:p>
    <w:p w14:paraId="433302AA" w14:textId="77777777" w:rsidR="006369AA" w:rsidRPr="006369AA" w:rsidRDefault="006369AA" w:rsidP="006369AA">
      <w:pPr>
        <w:autoSpaceDE w:val="0"/>
        <w:autoSpaceDN w:val="0"/>
        <w:adjustRightInd w:val="0"/>
        <w:spacing w:after="0" w:line="240" w:lineRule="auto"/>
        <w:jc w:val="both"/>
        <w:rPr>
          <w:rFonts w:ascii="Palatino Linotype" w:hAnsi="Palatino Linotype" w:cstheme="minorHAnsi"/>
        </w:rPr>
      </w:pPr>
      <w:r w:rsidRPr="006369AA">
        <w:rPr>
          <w:rFonts w:ascii="Palatino Linotype" w:hAnsi="Palatino Linotype" w:cstheme="minorHAnsi"/>
        </w:rPr>
        <w:t xml:space="preserve">Considerando la situación actual descrita en la motivación de reforma normativa, específicamente lo que sucede en la zona de recreación de la Plaza Quinde (Plaza Foch), se hace necesario generar una reforma al artículo 1362 del Código Municipal para ampliar las posibilidades normativas que se otorgan a estos casos, también a los </w:t>
      </w:r>
      <w:r w:rsidRPr="006369AA">
        <w:rPr>
          <w:rFonts w:ascii="Palatino Linotype" w:eastAsia="Palatino Linotype" w:hAnsi="Palatino Linotype" w:cstheme="minorHAnsi"/>
          <w:bCs/>
          <w:color w:val="000000" w:themeColor="text1"/>
          <w:lang w:val="es-ES_tradnl"/>
        </w:rPr>
        <w:t>establecimientos que busquen implantarse dentro en una Zona Especial Turística como es La Mariscal.</w:t>
      </w:r>
    </w:p>
    <w:p w14:paraId="16FA19D0" w14:textId="77777777" w:rsidR="006369AA" w:rsidRPr="006369AA" w:rsidRDefault="006369AA" w:rsidP="006369AA">
      <w:pPr>
        <w:autoSpaceDE w:val="0"/>
        <w:autoSpaceDN w:val="0"/>
        <w:adjustRightInd w:val="0"/>
        <w:spacing w:after="0" w:line="240" w:lineRule="auto"/>
        <w:jc w:val="both"/>
        <w:rPr>
          <w:rFonts w:ascii="Palatino Linotype" w:hAnsi="Palatino Linotype" w:cstheme="minorHAnsi"/>
        </w:rPr>
      </w:pPr>
    </w:p>
    <w:p w14:paraId="430C3790" w14:textId="7C2F307E" w:rsidR="004F2FCF" w:rsidRDefault="004F2FCF" w:rsidP="006369AA">
      <w:pPr>
        <w:spacing w:after="120" w:line="276" w:lineRule="auto"/>
        <w:outlineLvl w:val="0"/>
        <w:rPr>
          <w:rFonts w:ascii="Palatino Linotype" w:hAnsi="Palatino Linotype"/>
          <w:b/>
          <w:color w:val="000000" w:themeColor="text1"/>
          <w:lang w:val="es-ES_tradnl"/>
        </w:rPr>
      </w:pPr>
    </w:p>
    <w:p w14:paraId="39645C51" w14:textId="703290D4" w:rsidR="006369AA" w:rsidRDefault="006369AA" w:rsidP="006369AA">
      <w:pPr>
        <w:spacing w:after="120" w:line="276" w:lineRule="auto"/>
        <w:outlineLvl w:val="0"/>
        <w:rPr>
          <w:rFonts w:ascii="Palatino Linotype" w:hAnsi="Palatino Linotype"/>
          <w:b/>
          <w:color w:val="000000" w:themeColor="text1"/>
          <w:lang w:val="es-ES_tradnl"/>
        </w:rPr>
      </w:pPr>
    </w:p>
    <w:p w14:paraId="5EEB0D0D" w14:textId="1AE7BFB8" w:rsidR="006369AA" w:rsidRDefault="006369AA" w:rsidP="006369AA">
      <w:pPr>
        <w:spacing w:after="120" w:line="276" w:lineRule="auto"/>
        <w:outlineLvl w:val="0"/>
        <w:rPr>
          <w:rFonts w:ascii="Palatino Linotype" w:hAnsi="Palatino Linotype"/>
          <w:b/>
          <w:color w:val="000000" w:themeColor="text1"/>
          <w:lang w:val="es-ES_tradnl"/>
        </w:rPr>
      </w:pPr>
    </w:p>
    <w:p w14:paraId="47B2AFEA" w14:textId="05892354" w:rsidR="006369AA" w:rsidRDefault="006369AA" w:rsidP="006369AA">
      <w:pPr>
        <w:spacing w:after="120" w:line="276" w:lineRule="auto"/>
        <w:outlineLvl w:val="0"/>
        <w:rPr>
          <w:rFonts w:ascii="Palatino Linotype" w:hAnsi="Palatino Linotype"/>
          <w:b/>
          <w:color w:val="000000" w:themeColor="text1"/>
          <w:lang w:val="es-ES_tradnl"/>
        </w:rPr>
      </w:pPr>
    </w:p>
    <w:p w14:paraId="791CF60C" w14:textId="2A423FD0" w:rsidR="006369AA" w:rsidRDefault="006369AA" w:rsidP="006369AA">
      <w:pPr>
        <w:spacing w:after="120" w:line="276" w:lineRule="auto"/>
        <w:outlineLvl w:val="0"/>
        <w:rPr>
          <w:rFonts w:ascii="Palatino Linotype" w:hAnsi="Palatino Linotype"/>
          <w:b/>
          <w:color w:val="000000" w:themeColor="text1"/>
          <w:lang w:val="es-ES_tradnl"/>
        </w:rPr>
      </w:pPr>
    </w:p>
    <w:p w14:paraId="4A96EA80" w14:textId="570AF801" w:rsidR="006369AA" w:rsidRDefault="006369AA" w:rsidP="006369AA">
      <w:pPr>
        <w:spacing w:after="120" w:line="276" w:lineRule="auto"/>
        <w:outlineLvl w:val="0"/>
        <w:rPr>
          <w:rFonts w:ascii="Palatino Linotype" w:hAnsi="Palatino Linotype"/>
          <w:b/>
          <w:color w:val="000000" w:themeColor="text1"/>
          <w:lang w:val="es-ES_tradnl"/>
        </w:rPr>
      </w:pPr>
    </w:p>
    <w:p w14:paraId="5AD93559" w14:textId="10D937C1" w:rsidR="006369AA" w:rsidRDefault="006369AA" w:rsidP="006369AA">
      <w:pPr>
        <w:spacing w:after="120" w:line="276" w:lineRule="auto"/>
        <w:outlineLvl w:val="0"/>
        <w:rPr>
          <w:rFonts w:ascii="Palatino Linotype" w:hAnsi="Palatino Linotype"/>
          <w:b/>
          <w:color w:val="000000" w:themeColor="text1"/>
          <w:lang w:val="es-ES_tradnl"/>
        </w:rPr>
      </w:pPr>
    </w:p>
    <w:p w14:paraId="783CA168" w14:textId="58460F7C" w:rsidR="006369AA" w:rsidRDefault="006369AA" w:rsidP="006369AA">
      <w:pPr>
        <w:spacing w:after="120" w:line="276" w:lineRule="auto"/>
        <w:outlineLvl w:val="0"/>
        <w:rPr>
          <w:rFonts w:ascii="Palatino Linotype" w:hAnsi="Palatino Linotype"/>
          <w:b/>
          <w:color w:val="000000" w:themeColor="text1"/>
          <w:lang w:val="es-ES_tradnl"/>
        </w:rPr>
      </w:pPr>
    </w:p>
    <w:p w14:paraId="12CCF66B" w14:textId="1D358D6C" w:rsidR="006369AA" w:rsidRDefault="006369AA" w:rsidP="006369AA">
      <w:pPr>
        <w:spacing w:after="120" w:line="276" w:lineRule="auto"/>
        <w:outlineLvl w:val="0"/>
        <w:rPr>
          <w:rFonts w:ascii="Palatino Linotype" w:hAnsi="Palatino Linotype"/>
          <w:b/>
          <w:color w:val="000000" w:themeColor="text1"/>
          <w:lang w:val="es-ES_tradnl"/>
        </w:rPr>
      </w:pPr>
    </w:p>
    <w:p w14:paraId="2A7F259A" w14:textId="676B2414" w:rsidR="006369AA" w:rsidRDefault="006369AA" w:rsidP="006369AA">
      <w:pPr>
        <w:spacing w:after="120" w:line="276" w:lineRule="auto"/>
        <w:outlineLvl w:val="0"/>
        <w:rPr>
          <w:rFonts w:ascii="Palatino Linotype" w:hAnsi="Palatino Linotype"/>
          <w:b/>
          <w:color w:val="000000" w:themeColor="text1"/>
          <w:lang w:val="es-ES_tradnl"/>
        </w:rPr>
      </w:pPr>
    </w:p>
    <w:p w14:paraId="14540349" w14:textId="698EA4ED" w:rsidR="006369AA" w:rsidRDefault="006369AA" w:rsidP="006369AA">
      <w:pPr>
        <w:spacing w:after="120" w:line="276" w:lineRule="auto"/>
        <w:outlineLvl w:val="0"/>
        <w:rPr>
          <w:rFonts w:ascii="Palatino Linotype" w:hAnsi="Palatino Linotype"/>
          <w:b/>
          <w:color w:val="000000" w:themeColor="text1"/>
          <w:lang w:val="es-ES_tradnl"/>
        </w:rPr>
      </w:pPr>
    </w:p>
    <w:p w14:paraId="205A0904" w14:textId="5A75C661" w:rsidR="006369AA" w:rsidRDefault="006369AA" w:rsidP="006369AA">
      <w:pPr>
        <w:spacing w:after="120" w:line="276" w:lineRule="auto"/>
        <w:outlineLvl w:val="0"/>
        <w:rPr>
          <w:rFonts w:ascii="Palatino Linotype" w:hAnsi="Palatino Linotype"/>
          <w:b/>
          <w:color w:val="000000" w:themeColor="text1"/>
          <w:lang w:val="es-ES_tradnl"/>
        </w:rPr>
      </w:pPr>
    </w:p>
    <w:p w14:paraId="7348508D" w14:textId="0743779D" w:rsidR="006369AA" w:rsidRDefault="006369AA" w:rsidP="006369AA">
      <w:pPr>
        <w:spacing w:after="120" w:line="276" w:lineRule="auto"/>
        <w:outlineLvl w:val="0"/>
        <w:rPr>
          <w:rFonts w:ascii="Palatino Linotype" w:hAnsi="Palatino Linotype"/>
          <w:b/>
          <w:color w:val="000000" w:themeColor="text1"/>
          <w:lang w:val="es-ES_tradnl"/>
        </w:rPr>
      </w:pPr>
    </w:p>
    <w:p w14:paraId="42507284" w14:textId="2A347F1A" w:rsidR="006369AA" w:rsidRDefault="006369AA" w:rsidP="006369AA">
      <w:pPr>
        <w:spacing w:after="120" w:line="276" w:lineRule="auto"/>
        <w:outlineLvl w:val="0"/>
        <w:rPr>
          <w:rFonts w:ascii="Palatino Linotype" w:hAnsi="Palatino Linotype"/>
          <w:b/>
          <w:color w:val="000000" w:themeColor="text1"/>
          <w:lang w:val="es-ES_tradnl"/>
        </w:rPr>
      </w:pPr>
    </w:p>
    <w:p w14:paraId="3AFCCBBB" w14:textId="533531AF" w:rsidR="006369AA" w:rsidRDefault="006369AA" w:rsidP="006369AA">
      <w:pPr>
        <w:spacing w:after="120" w:line="276" w:lineRule="auto"/>
        <w:outlineLvl w:val="0"/>
        <w:rPr>
          <w:rFonts w:ascii="Palatino Linotype" w:hAnsi="Palatino Linotype"/>
          <w:b/>
          <w:color w:val="000000" w:themeColor="text1"/>
          <w:lang w:val="es-ES_tradnl"/>
        </w:rPr>
      </w:pPr>
    </w:p>
    <w:p w14:paraId="3ABFE2BD" w14:textId="0CCDB8F7" w:rsidR="006369AA" w:rsidRDefault="006369AA" w:rsidP="006369AA">
      <w:pPr>
        <w:spacing w:after="120" w:line="276" w:lineRule="auto"/>
        <w:outlineLvl w:val="0"/>
        <w:rPr>
          <w:rFonts w:ascii="Palatino Linotype" w:hAnsi="Palatino Linotype"/>
          <w:b/>
          <w:color w:val="000000" w:themeColor="text1"/>
          <w:lang w:val="es-ES_tradnl"/>
        </w:rPr>
      </w:pPr>
    </w:p>
    <w:p w14:paraId="4B3D9B6B" w14:textId="1DC4DF69" w:rsidR="006369AA" w:rsidRDefault="006369AA" w:rsidP="006369AA">
      <w:pPr>
        <w:spacing w:after="120" w:line="276" w:lineRule="auto"/>
        <w:outlineLvl w:val="0"/>
        <w:rPr>
          <w:rFonts w:ascii="Palatino Linotype" w:hAnsi="Palatino Linotype"/>
          <w:b/>
          <w:color w:val="000000" w:themeColor="text1"/>
          <w:lang w:val="es-ES_tradnl"/>
        </w:rPr>
      </w:pPr>
    </w:p>
    <w:p w14:paraId="24BB8E6C" w14:textId="77777777" w:rsidR="006369AA" w:rsidRPr="006369AA" w:rsidRDefault="006369AA" w:rsidP="006369AA">
      <w:pPr>
        <w:spacing w:after="120" w:line="276" w:lineRule="auto"/>
        <w:outlineLvl w:val="0"/>
        <w:rPr>
          <w:rFonts w:ascii="Palatino Linotype" w:hAnsi="Palatino Linotype"/>
          <w:b/>
          <w:color w:val="000000" w:themeColor="text1"/>
          <w:lang w:val="es-ES_tradnl"/>
        </w:rPr>
      </w:pPr>
    </w:p>
    <w:p w14:paraId="13581C81" w14:textId="11A613C8" w:rsidR="00536FA3" w:rsidRPr="006369AA" w:rsidRDefault="005A1FBD" w:rsidP="00415CF3">
      <w:pPr>
        <w:spacing w:after="120" w:line="276" w:lineRule="auto"/>
        <w:jc w:val="center"/>
        <w:outlineLvl w:val="0"/>
        <w:rPr>
          <w:rFonts w:ascii="Palatino Linotype" w:hAnsi="Palatino Linotype"/>
          <w:b/>
          <w:color w:val="000000" w:themeColor="text1"/>
          <w:lang w:val="es-ES_tradnl"/>
        </w:rPr>
      </w:pPr>
      <w:r w:rsidRPr="006369AA">
        <w:rPr>
          <w:rFonts w:ascii="Palatino Linotype" w:hAnsi="Palatino Linotype"/>
          <w:b/>
          <w:color w:val="000000" w:themeColor="text1"/>
          <w:lang w:val="es-ES_tradnl"/>
        </w:rPr>
        <w:lastRenderedPageBreak/>
        <w:t>EL CONCEJO METROPOLITANO DE QUITO</w:t>
      </w:r>
    </w:p>
    <w:p w14:paraId="13581C82" w14:textId="69AFD646" w:rsidR="00C613C5" w:rsidRPr="006369AA" w:rsidRDefault="00C613C5" w:rsidP="00C613C5">
      <w:pPr>
        <w:spacing w:after="120" w:line="276" w:lineRule="auto"/>
        <w:jc w:val="both"/>
        <w:outlineLvl w:val="0"/>
        <w:rPr>
          <w:rFonts w:ascii="Palatino Linotype" w:hAnsi="Palatino Linotype"/>
          <w:color w:val="000000" w:themeColor="text1"/>
          <w:lang w:val="es-ES_tradnl"/>
        </w:rPr>
      </w:pPr>
      <w:r w:rsidRPr="006369AA">
        <w:rPr>
          <w:rFonts w:ascii="Palatino Linotype" w:hAnsi="Palatino Linotype"/>
          <w:color w:val="000000" w:themeColor="text1"/>
          <w:lang w:val="es-ES_tradnl"/>
        </w:rPr>
        <w:t>Vistos los informes Nos</w:t>
      </w:r>
      <w:r w:rsidR="00DC3DB9" w:rsidRPr="006369AA">
        <w:rPr>
          <w:rFonts w:ascii="Palatino Linotype" w:hAnsi="Palatino Linotype"/>
          <w:color w:val="000000" w:themeColor="text1"/>
          <w:lang w:val="es-ES_tradnl"/>
        </w:rPr>
        <w:t>.</w:t>
      </w:r>
      <w:r w:rsidRPr="006369AA">
        <w:rPr>
          <w:rFonts w:ascii="Palatino Linotype" w:hAnsi="Palatino Linotype"/>
          <w:color w:val="000000" w:themeColor="text1"/>
          <w:lang w:val="es-ES_tradnl"/>
        </w:rPr>
        <w:t xml:space="preserve"> </w:t>
      </w:r>
      <w:r w:rsidR="00DC3DB9" w:rsidRPr="006369AA">
        <w:rPr>
          <w:rFonts w:ascii="Palatino Linotype" w:hAnsi="Palatino Linotype"/>
          <w:color w:val="000000" w:themeColor="text1"/>
          <w:lang w:val="es-ES_tradnl"/>
        </w:rPr>
        <w:t>……..</w:t>
      </w:r>
      <w:r w:rsidRPr="006369AA">
        <w:rPr>
          <w:rFonts w:ascii="Palatino Linotype" w:hAnsi="Palatino Linotype"/>
          <w:color w:val="000000" w:themeColor="text1"/>
          <w:lang w:val="es-ES_tradnl"/>
        </w:rPr>
        <w:t xml:space="preserve">, de </w:t>
      </w:r>
      <w:r w:rsidR="00DC3DB9" w:rsidRPr="006369AA">
        <w:rPr>
          <w:rFonts w:ascii="Palatino Linotype" w:hAnsi="Palatino Linotype"/>
          <w:color w:val="000000" w:themeColor="text1"/>
          <w:lang w:val="es-ES_tradnl"/>
        </w:rPr>
        <w:t>…..</w:t>
      </w:r>
      <w:r w:rsidRPr="006369AA">
        <w:rPr>
          <w:rFonts w:ascii="Palatino Linotype" w:hAnsi="Palatino Linotype"/>
          <w:color w:val="000000" w:themeColor="text1"/>
          <w:lang w:val="es-ES_tradnl"/>
        </w:rPr>
        <w:t xml:space="preserve"> de</w:t>
      </w:r>
      <w:r w:rsidR="00DC3DB9" w:rsidRPr="006369AA">
        <w:rPr>
          <w:rFonts w:ascii="Palatino Linotype" w:hAnsi="Palatino Linotype"/>
          <w:color w:val="000000" w:themeColor="text1"/>
          <w:lang w:val="es-ES_tradnl"/>
        </w:rPr>
        <w:t>…..</w:t>
      </w:r>
      <w:r w:rsidRPr="006369AA">
        <w:rPr>
          <w:rFonts w:ascii="Palatino Linotype" w:hAnsi="Palatino Linotype"/>
          <w:color w:val="000000" w:themeColor="text1"/>
          <w:lang w:val="es-ES_tradnl"/>
        </w:rPr>
        <w:t xml:space="preserve"> y</w:t>
      </w:r>
      <w:r w:rsidR="00DC3DB9" w:rsidRPr="006369AA">
        <w:rPr>
          <w:rFonts w:ascii="Palatino Linotype" w:hAnsi="Palatino Linotype"/>
          <w:color w:val="000000" w:themeColor="text1"/>
          <w:lang w:val="es-ES_tradnl"/>
        </w:rPr>
        <w:t>…..</w:t>
      </w:r>
      <w:r w:rsidRPr="006369AA">
        <w:rPr>
          <w:rFonts w:ascii="Palatino Linotype" w:hAnsi="Palatino Linotype"/>
          <w:color w:val="000000" w:themeColor="text1"/>
          <w:lang w:val="es-ES_tradnl"/>
        </w:rPr>
        <w:t xml:space="preserve"> de </w:t>
      </w:r>
      <w:r w:rsidR="00DC3DB9" w:rsidRPr="006369AA">
        <w:rPr>
          <w:rFonts w:ascii="Palatino Linotype" w:hAnsi="Palatino Linotype"/>
          <w:color w:val="000000" w:themeColor="text1"/>
          <w:lang w:val="es-ES_tradnl"/>
        </w:rPr>
        <w:t>…..</w:t>
      </w:r>
      <w:r w:rsidRPr="006369AA">
        <w:rPr>
          <w:rFonts w:ascii="Palatino Linotype" w:hAnsi="Palatino Linotype"/>
          <w:color w:val="000000" w:themeColor="text1"/>
          <w:lang w:val="es-ES_tradnl"/>
        </w:rPr>
        <w:t xml:space="preserve">, respectivamente, emitidos por la Comisión de </w:t>
      </w:r>
      <w:r w:rsidR="00F159D3" w:rsidRPr="006369AA">
        <w:rPr>
          <w:rFonts w:ascii="Palatino Linotype" w:hAnsi="Palatino Linotype"/>
          <w:color w:val="000000" w:themeColor="text1"/>
          <w:lang w:val="es-ES_tradnl"/>
        </w:rPr>
        <w:t>Desarrollo Económico</w:t>
      </w:r>
      <w:r w:rsidRPr="006369AA">
        <w:rPr>
          <w:rFonts w:ascii="Palatino Linotype" w:hAnsi="Palatino Linotype"/>
          <w:color w:val="000000" w:themeColor="text1"/>
          <w:lang w:val="es-ES_tradnl"/>
        </w:rPr>
        <w:t>.</w:t>
      </w:r>
    </w:p>
    <w:p w14:paraId="13581C83" w14:textId="77777777" w:rsidR="00536FA3" w:rsidRPr="006038BC" w:rsidRDefault="005A1FBD" w:rsidP="005055BD">
      <w:pPr>
        <w:spacing w:after="120" w:line="276" w:lineRule="auto"/>
        <w:jc w:val="center"/>
        <w:rPr>
          <w:rFonts w:ascii="Palatino Linotype" w:hAnsi="Palatino Linotype"/>
          <w:b/>
          <w:lang w:val="es-ES_tradnl"/>
        </w:rPr>
      </w:pPr>
      <w:r w:rsidRPr="006038BC">
        <w:rPr>
          <w:rFonts w:ascii="Palatino Linotype" w:hAnsi="Palatino Linotype"/>
          <w:b/>
          <w:lang w:val="es-ES_tradnl"/>
        </w:rPr>
        <w:t>CONSIDERANDO:</w:t>
      </w:r>
    </w:p>
    <w:p w14:paraId="0696B55D" w14:textId="7E1E14B6" w:rsidR="004A2F67" w:rsidRPr="006038BC" w:rsidRDefault="004A2F67" w:rsidP="004A2F67">
      <w:pPr>
        <w:spacing w:after="120" w:line="276" w:lineRule="auto"/>
        <w:ind w:left="705" w:hanging="705"/>
        <w:jc w:val="both"/>
        <w:rPr>
          <w:rFonts w:ascii="Palatino Linotype" w:hAnsi="Palatino Linotype"/>
          <w:lang w:val="es-ES_tradnl"/>
        </w:rPr>
      </w:pPr>
      <w:r w:rsidRPr="006038BC">
        <w:rPr>
          <w:rFonts w:ascii="Palatino Linotype" w:hAnsi="Palatino Linotype"/>
          <w:b/>
          <w:lang w:val="es-ES_tradnl"/>
        </w:rPr>
        <w:t>Que,</w:t>
      </w:r>
      <w:r w:rsidRPr="006038BC">
        <w:rPr>
          <w:rFonts w:ascii="Palatino Linotype" w:hAnsi="Palatino Linotype"/>
          <w:lang w:val="es-ES_tradnl"/>
        </w:rPr>
        <w:t xml:space="preserve"> </w:t>
      </w:r>
      <w:r w:rsidRPr="006038BC">
        <w:rPr>
          <w:rFonts w:ascii="Palatino Linotype" w:hAnsi="Palatino Linotype"/>
          <w:lang w:val="es-ES_tradnl"/>
        </w:rPr>
        <w:tab/>
        <w:t>el numeral 4 del artículo 11 de la Constitución de la República establece que: “</w:t>
      </w:r>
      <w:r w:rsidRPr="006038BC">
        <w:rPr>
          <w:rFonts w:ascii="Palatino Linotype" w:hAnsi="Palatino Linotype"/>
          <w:i/>
          <w:lang w:val="es-ES_tradnl"/>
        </w:rPr>
        <w:t>Ninguna norma jurídica podrá restringir el contenido de los derechos ni de las garantías constitucionales</w:t>
      </w:r>
      <w:r w:rsidRPr="006038BC">
        <w:rPr>
          <w:rFonts w:ascii="Palatino Linotype" w:hAnsi="Palatino Linotype"/>
          <w:lang w:val="es-ES_tradnl"/>
        </w:rPr>
        <w:t>.”</w:t>
      </w:r>
    </w:p>
    <w:p w14:paraId="6F96C87F" w14:textId="4410D529" w:rsidR="004A2F67" w:rsidRPr="006038BC" w:rsidRDefault="004A2F67" w:rsidP="005055BD">
      <w:pPr>
        <w:spacing w:after="120" w:line="276" w:lineRule="auto"/>
        <w:ind w:left="705" w:hanging="705"/>
        <w:jc w:val="both"/>
        <w:rPr>
          <w:rFonts w:ascii="Palatino Linotype" w:hAnsi="Palatino Linotype"/>
          <w:b/>
          <w:lang w:val="es-ES_tradnl"/>
        </w:rPr>
      </w:pPr>
      <w:r w:rsidRPr="006038BC">
        <w:rPr>
          <w:rFonts w:ascii="Palatino Linotype" w:hAnsi="Palatino Linotype"/>
          <w:b/>
          <w:lang w:val="es-ES_tradnl"/>
        </w:rPr>
        <w:t>Que,</w:t>
      </w:r>
      <w:r w:rsidRPr="006038BC">
        <w:rPr>
          <w:rFonts w:ascii="Palatino Linotype" w:hAnsi="Palatino Linotype"/>
          <w:lang w:val="es-ES_tradnl"/>
        </w:rPr>
        <w:t xml:space="preserve"> </w:t>
      </w:r>
      <w:r w:rsidRPr="006038BC">
        <w:rPr>
          <w:rFonts w:ascii="Palatino Linotype" w:hAnsi="Palatino Linotype"/>
          <w:lang w:val="es-ES_tradnl"/>
        </w:rPr>
        <w:tab/>
        <w:t xml:space="preserve">el artículo 33 de la Constitución de la República establece que: </w:t>
      </w:r>
      <w:r w:rsidRPr="006038BC">
        <w:rPr>
          <w:rFonts w:ascii="Palatino Linotype" w:hAnsi="Palatino Linotype"/>
          <w:i/>
          <w:lang w:val="es-ES_tradnl"/>
        </w:rPr>
        <w:t>“El trabajo es un derecho y un deber social, y un derecho económico fuente de realización personal y base de la economía. El Estado garantizará a las personas trabajadoras el pleno respeto a su dignidad, una vida decorosa, remuneraciones y retribuciones justas y el desempeño de un trabajo saludable y libremente escogido o aceptado</w:t>
      </w:r>
      <w:r w:rsidRPr="006038BC">
        <w:rPr>
          <w:rFonts w:ascii="Palatino Linotype" w:hAnsi="Palatino Linotype"/>
          <w:lang w:val="es-ES_tradnl"/>
        </w:rPr>
        <w:t>.”</w:t>
      </w:r>
    </w:p>
    <w:p w14:paraId="79058DC9" w14:textId="6136FB3B" w:rsidR="004A665F" w:rsidRPr="006038BC" w:rsidRDefault="005A1FBD" w:rsidP="005055BD">
      <w:pPr>
        <w:spacing w:after="120" w:line="276" w:lineRule="auto"/>
        <w:ind w:left="705" w:hanging="705"/>
        <w:jc w:val="both"/>
        <w:rPr>
          <w:rFonts w:ascii="Palatino Linotype" w:hAnsi="Palatino Linotype"/>
          <w:lang w:val="es-ES_tradnl"/>
        </w:rPr>
      </w:pPr>
      <w:r w:rsidRPr="006038BC">
        <w:rPr>
          <w:rFonts w:ascii="Palatino Linotype" w:hAnsi="Palatino Linotype"/>
          <w:b/>
          <w:lang w:val="es-ES_tradnl"/>
        </w:rPr>
        <w:t>Que,</w:t>
      </w:r>
      <w:r w:rsidRPr="006038BC">
        <w:rPr>
          <w:rFonts w:ascii="Palatino Linotype" w:hAnsi="Palatino Linotype"/>
          <w:lang w:val="es-ES_tradnl"/>
        </w:rPr>
        <w:t xml:space="preserve"> </w:t>
      </w:r>
      <w:r w:rsidR="005055BD" w:rsidRPr="006038BC">
        <w:rPr>
          <w:rFonts w:ascii="Palatino Linotype" w:hAnsi="Palatino Linotype"/>
          <w:lang w:val="es-ES_tradnl"/>
        </w:rPr>
        <w:tab/>
      </w:r>
      <w:r w:rsidR="00DE0AF5" w:rsidRPr="006038BC">
        <w:rPr>
          <w:rFonts w:ascii="Palatino Linotype" w:hAnsi="Palatino Linotype"/>
          <w:lang w:val="es-ES_tradnl"/>
        </w:rPr>
        <w:t>el numeral 1</w:t>
      </w:r>
      <w:r w:rsidR="00245DEA" w:rsidRPr="006038BC">
        <w:rPr>
          <w:rFonts w:ascii="Palatino Linotype" w:hAnsi="Palatino Linotype"/>
          <w:lang w:val="es-ES_tradnl"/>
        </w:rPr>
        <w:t xml:space="preserve"> </w:t>
      </w:r>
      <w:r w:rsidR="00DE0AF5" w:rsidRPr="006038BC">
        <w:rPr>
          <w:rFonts w:ascii="Palatino Linotype" w:hAnsi="Palatino Linotype"/>
          <w:lang w:val="es-ES_tradnl"/>
        </w:rPr>
        <w:t>del artículo 264 de la Constitución de la República establece que los gobiernos municipales tienen, entre otras, la facultad de planificar desarrollo cantonal</w:t>
      </w:r>
      <w:r w:rsidR="004F2FCF" w:rsidRPr="006038BC">
        <w:rPr>
          <w:rFonts w:ascii="Palatino Linotype" w:hAnsi="Palatino Linotype"/>
          <w:lang w:val="es-ES_tradnl"/>
        </w:rPr>
        <w:t>;</w:t>
      </w:r>
    </w:p>
    <w:p w14:paraId="13581C89" w14:textId="6B0BB648" w:rsidR="005055BD" w:rsidRPr="006038BC" w:rsidRDefault="005A1FBD" w:rsidP="00EF5481">
      <w:pPr>
        <w:spacing w:after="120" w:line="276" w:lineRule="auto"/>
        <w:ind w:left="705" w:hanging="705"/>
        <w:jc w:val="both"/>
        <w:rPr>
          <w:rFonts w:ascii="Palatino Linotype" w:hAnsi="Palatino Linotype"/>
          <w:lang w:val="es-ES_tradnl"/>
        </w:rPr>
      </w:pPr>
      <w:r w:rsidRPr="006038BC">
        <w:rPr>
          <w:rFonts w:ascii="Palatino Linotype" w:hAnsi="Palatino Linotype"/>
          <w:b/>
          <w:lang w:val="es-ES_tradnl"/>
        </w:rPr>
        <w:t>Que,</w:t>
      </w:r>
      <w:r w:rsidRPr="006038BC">
        <w:rPr>
          <w:rFonts w:ascii="Palatino Linotype" w:hAnsi="Palatino Linotype"/>
          <w:lang w:val="es-ES_tradnl"/>
        </w:rPr>
        <w:t xml:space="preserve"> </w:t>
      </w:r>
      <w:r w:rsidR="005055BD" w:rsidRPr="006038BC">
        <w:rPr>
          <w:rFonts w:ascii="Palatino Linotype" w:hAnsi="Palatino Linotype"/>
          <w:lang w:val="es-ES_tradnl"/>
        </w:rPr>
        <w:tab/>
      </w:r>
      <w:r w:rsidR="00171C94" w:rsidRPr="006038BC">
        <w:rPr>
          <w:rFonts w:ascii="Palatino Linotype" w:hAnsi="Palatino Linotype"/>
          <w:lang w:val="es-ES_tradnl"/>
        </w:rPr>
        <w:t>de conformidad con el artículo 266 de la Constitución de la República, los gobiernos de los distritos metropolitanos autónomos ejercerán, entre otras, las mismas competencias que los gobiernos municipales;</w:t>
      </w:r>
    </w:p>
    <w:p w14:paraId="49F7BB2B" w14:textId="3656AB0C" w:rsidR="002F5E7C" w:rsidRPr="006038BC" w:rsidRDefault="002F5E7C" w:rsidP="0024755A">
      <w:pPr>
        <w:spacing w:after="120" w:line="276" w:lineRule="auto"/>
        <w:ind w:left="705" w:hanging="705"/>
        <w:jc w:val="both"/>
        <w:rPr>
          <w:rFonts w:ascii="Palatino Linotype" w:hAnsi="Palatino Linotype"/>
          <w:lang w:val="es-ES_tradnl"/>
        </w:rPr>
      </w:pPr>
      <w:r w:rsidRPr="006038BC">
        <w:rPr>
          <w:rFonts w:ascii="Palatino Linotype" w:hAnsi="Palatino Linotype"/>
          <w:b/>
          <w:lang w:val="es-ES_tradnl"/>
        </w:rPr>
        <w:t>Que</w:t>
      </w:r>
      <w:r w:rsidRPr="006038BC">
        <w:rPr>
          <w:rFonts w:ascii="Palatino Linotype" w:hAnsi="Palatino Linotype"/>
          <w:lang w:val="es-ES_tradnl"/>
        </w:rPr>
        <w:t xml:space="preserve">, </w:t>
      </w:r>
      <w:r w:rsidRPr="006038BC">
        <w:rPr>
          <w:rFonts w:ascii="Palatino Linotype" w:hAnsi="Palatino Linotype"/>
          <w:lang w:val="es-ES_tradnl"/>
        </w:rPr>
        <w:tab/>
      </w:r>
      <w:r w:rsidRPr="006038BC">
        <w:rPr>
          <w:rFonts w:ascii="Palatino Linotype" w:hAnsi="Palatino Linotype"/>
          <w:lang w:val="es-ES_tradnl"/>
        </w:rPr>
        <w:tab/>
      </w:r>
      <w:r w:rsidR="00EF5481" w:rsidRPr="006038BC">
        <w:rPr>
          <w:rFonts w:ascii="Palatino Linotype" w:hAnsi="Palatino Linotype"/>
          <w:lang w:val="es-ES_tradnl"/>
        </w:rPr>
        <w:t xml:space="preserve">el literal g) del artículo </w:t>
      </w:r>
      <w:r w:rsidR="00EF4709" w:rsidRPr="006038BC">
        <w:rPr>
          <w:rFonts w:ascii="Palatino Linotype" w:hAnsi="Palatino Linotype"/>
          <w:lang w:val="es-ES_tradnl"/>
        </w:rPr>
        <w:t>8</w:t>
      </w:r>
      <w:r w:rsidR="00EF5481" w:rsidRPr="006038BC">
        <w:rPr>
          <w:rFonts w:ascii="Palatino Linotype" w:hAnsi="Palatino Linotype"/>
          <w:lang w:val="es-ES_tradnl"/>
        </w:rPr>
        <w:t xml:space="preserve">4 del Código Orgánico de Organización Territorial Autonomía y Descentralización establece como función del gobierno del distrito autónomo metropolitano al de: </w:t>
      </w:r>
      <w:r w:rsidR="00EF5481" w:rsidRPr="006038BC">
        <w:rPr>
          <w:rFonts w:ascii="Palatino Linotype" w:hAnsi="Palatino Linotype"/>
          <w:i/>
          <w:lang w:val="es-ES_tradnl"/>
        </w:rPr>
        <w:t>"(...) g) Regular, controlar y promover el desarrollo de la actividad turística en el distrito metropolitano</w:t>
      </w:r>
      <w:r w:rsidR="00EF5481" w:rsidRPr="006038BC">
        <w:rPr>
          <w:rFonts w:ascii="Palatino Linotype" w:hAnsi="Palatino Linotype"/>
          <w:lang w:val="es-ES_tradnl"/>
        </w:rPr>
        <w:t>. (...)";</w:t>
      </w:r>
    </w:p>
    <w:p w14:paraId="3DA5250C" w14:textId="0445A35D" w:rsidR="00BD64DE" w:rsidRPr="006038BC" w:rsidRDefault="005A1FBD" w:rsidP="005055BD">
      <w:pPr>
        <w:spacing w:after="120" w:line="276" w:lineRule="auto"/>
        <w:ind w:left="705" w:hanging="705"/>
        <w:jc w:val="both"/>
        <w:rPr>
          <w:rFonts w:ascii="Palatino Linotype" w:hAnsi="Palatino Linotype"/>
          <w:lang w:val="es-ES_tradnl"/>
        </w:rPr>
      </w:pPr>
      <w:r w:rsidRPr="006038BC">
        <w:rPr>
          <w:rFonts w:ascii="Palatino Linotype" w:hAnsi="Palatino Linotype"/>
          <w:b/>
          <w:lang w:val="es-ES_tradnl"/>
        </w:rPr>
        <w:t>Que</w:t>
      </w:r>
      <w:r w:rsidRPr="006038BC">
        <w:rPr>
          <w:rFonts w:ascii="Palatino Linotype" w:hAnsi="Palatino Linotype"/>
          <w:lang w:val="es-ES_tradnl"/>
        </w:rPr>
        <w:t xml:space="preserve">, </w:t>
      </w:r>
      <w:r w:rsidR="005055BD" w:rsidRPr="006038BC">
        <w:rPr>
          <w:rFonts w:ascii="Palatino Linotype" w:hAnsi="Palatino Linotype"/>
          <w:lang w:val="es-ES_tradnl"/>
        </w:rPr>
        <w:tab/>
      </w:r>
      <w:r w:rsidR="0024755A" w:rsidRPr="006038BC">
        <w:rPr>
          <w:rFonts w:ascii="Palatino Linotype" w:hAnsi="Palatino Linotype"/>
          <w:lang w:val="es-ES_tradnl"/>
        </w:rPr>
        <w:t xml:space="preserve">el literal </w:t>
      </w:r>
      <w:r w:rsidR="009F05E3" w:rsidRPr="006038BC">
        <w:rPr>
          <w:rFonts w:ascii="Palatino Linotype" w:hAnsi="Palatino Linotype"/>
          <w:lang w:val="es-ES_tradnl"/>
        </w:rPr>
        <w:t>o</w:t>
      </w:r>
      <w:r w:rsidR="0024755A" w:rsidRPr="006038BC">
        <w:rPr>
          <w:rFonts w:ascii="Palatino Linotype" w:hAnsi="Palatino Linotype"/>
          <w:lang w:val="es-ES_tradnl"/>
        </w:rPr>
        <w:t xml:space="preserve">) del artículo </w:t>
      </w:r>
      <w:r w:rsidR="00631D55" w:rsidRPr="006038BC">
        <w:rPr>
          <w:rFonts w:ascii="Palatino Linotype" w:hAnsi="Palatino Linotype"/>
          <w:lang w:val="es-ES_tradnl"/>
        </w:rPr>
        <w:t>84 ibídem</w:t>
      </w:r>
      <w:r w:rsidR="0024755A" w:rsidRPr="006038BC">
        <w:rPr>
          <w:rFonts w:ascii="Palatino Linotype" w:hAnsi="Palatino Linotype"/>
          <w:lang w:val="es-ES_tradnl"/>
        </w:rPr>
        <w:t>, señala: “</w:t>
      </w:r>
      <w:r w:rsidR="007073CC" w:rsidRPr="006038BC">
        <w:rPr>
          <w:rFonts w:ascii="Palatino Linotype" w:hAnsi="Palatino Linotype"/>
          <w:i/>
          <w:lang w:val="es-ES_tradnl"/>
        </w:rPr>
        <w:t>Regular, fomentar, autorizar y controlar el ejercicio de actividades económicas, empresariales o profesionales, que se desarrollen en locales ubicados en la circunscripción territorial metropolitana con el objeto de precautelar el desarrollo ordenado de las mismas</w:t>
      </w:r>
      <w:r w:rsidR="007073CC" w:rsidRPr="006038BC">
        <w:rPr>
          <w:rFonts w:ascii="Palatino Linotype" w:hAnsi="Palatino Linotype"/>
          <w:lang w:val="es-ES_tradnl"/>
        </w:rPr>
        <w:t>;</w:t>
      </w:r>
      <w:r w:rsidR="0024755A" w:rsidRPr="006038BC">
        <w:rPr>
          <w:rFonts w:ascii="Palatino Linotype" w:hAnsi="Palatino Linotype"/>
          <w:lang w:val="es-ES_tradnl"/>
        </w:rPr>
        <w:t>”;</w:t>
      </w:r>
    </w:p>
    <w:p w14:paraId="67CBE629" w14:textId="54D46A99" w:rsidR="00511723" w:rsidRPr="006038BC" w:rsidRDefault="005A1FBD" w:rsidP="00550B87">
      <w:pPr>
        <w:spacing w:after="120" w:line="276" w:lineRule="auto"/>
        <w:ind w:left="705" w:hanging="705"/>
        <w:jc w:val="both"/>
        <w:rPr>
          <w:rFonts w:ascii="Palatino Linotype" w:hAnsi="Palatino Linotype"/>
          <w:lang w:val="es-ES_tradnl"/>
        </w:rPr>
      </w:pPr>
      <w:r w:rsidRPr="006038BC">
        <w:rPr>
          <w:rFonts w:ascii="Palatino Linotype" w:hAnsi="Palatino Linotype"/>
          <w:b/>
          <w:lang w:val="es-ES_tradnl"/>
        </w:rPr>
        <w:t xml:space="preserve">Que, </w:t>
      </w:r>
      <w:r w:rsidR="005055BD" w:rsidRPr="006038BC">
        <w:rPr>
          <w:rFonts w:ascii="Palatino Linotype" w:hAnsi="Palatino Linotype"/>
          <w:b/>
          <w:lang w:val="es-ES_tradnl"/>
        </w:rPr>
        <w:tab/>
      </w:r>
      <w:r w:rsidR="00316FAA" w:rsidRPr="006038BC">
        <w:rPr>
          <w:rFonts w:ascii="Palatino Linotype" w:hAnsi="Palatino Linotype"/>
          <w:lang w:val="es-ES_tradnl"/>
        </w:rPr>
        <w:t>el artículo 3 de la Ley de Turismo prescribe, entre otros principios de la actividad turística: "</w:t>
      </w:r>
      <w:r w:rsidR="00550B87" w:rsidRPr="006038BC">
        <w:rPr>
          <w:rFonts w:ascii="Palatino Linotype" w:hAnsi="Palatino Linotype"/>
          <w:i/>
          <w:lang w:val="es-ES_tradnl"/>
        </w:rPr>
        <w:t>a) La iniciativa privada como pilar fundamental del sector; con su contribución mediante la inversión directa, la generación de empleo y promoción nacional e internacional; b) La participación de los gobiernos provincial y cantonal para impulsar y apoyar el desarrollo turístico, dentro del marco de la descentralización; c) El fomento de la infraestructura nacional y el mejoramiento de los servicios públicos básicos para garantizar la adecuada satisfacción de los turistas; d) La conservación permanente de los recursos naturales y culturales del país; y, e) La iniciativa y participación comunitaria indígena, campesina, montubia o afro ecuatoriana, con su cultura y tradiciones preservando su identidad, protegiendo su ecosistema y participando en la prestación de servicios turísticos, en los términos previstos en esta Ley y sus reglamentos</w:t>
      </w:r>
      <w:r w:rsidR="00550B87" w:rsidRPr="006038BC">
        <w:rPr>
          <w:rFonts w:ascii="Palatino Linotype" w:hAnsi="Palatino Linotype"/>
          <w:lang w:val="es-ES_tradnl"/>
        </w:rPr>
        <w:t>.</w:t>
      </w:r>
      <w:r w:rsidR="00AF0DC3" w:rsidRPr="006038BC">
        <w:rPr>
          <w:rFonts w:ascii="Palatino Linotype" w:hAnsi="Palatino Linotype"/>
          <w:lang w:val="es-ES_tradnl"/>
        </w:rPr>
        <w:t>";</w:t>
      </w:r>
    </w:p>
    <w:p w14:paraId="0EC44836" w14:textId="0662617F" w:rsidR="00511723" w:rsidRPr="006038BC" w:rsidRDefault="00511723" w:rsidP="00B3704F">
      <w:pPr>
        <w:spacing w:after="120" w:line="276" w:lineRule="auto"/>
        <w:ind w:left="705" w:hanging="705"/>
        <w:jc w:val="both"/>
        <w:rPr>
          <w:rFonts w:ascii="Palatino Linotype" w:hAnsi="Palatino Linotype"/>
          <w:lang w:val="es-ES_tradnl"/>
        </w:rPr>
      </w:pPr>
      <w:r w:rsidRPr="006038BC">
        <w:rPr>
          <w:rFonts w:ascii="Palatino Linotype" w:hAnsi="Palatino Linotype"/>
          <w:b/>
          <w:lang w:val="es-ES_tradnl"/>
        </w:rPr>
        <w:lastRenderedPageBreak/>
        <w:t xml:space="preserve"> Que</w:t>
      </w:r>
      <w:r w:rsidRPr="006038BC">
        <w:rPr>
          <w:rFonts w:ascii="Palatino Linotype" w:hAnsi="Palatino Linotype"/>
          <w:lang w:val="es-ES_tradnl"/>
        </w:rPr>
        <w:t xml:space="preserve">, </w:t>
      </w:r>
      <w:r w:rsidRPr="006038BC">
        <w:rPr>
          <w:rFonts w:ascii="Palatino Linotype" w:hAnsi="Palatino Linotype"/>
          <w:lang w:val="es-ES_tradnl"/>
        </w:rPr>
        <w:tab/>
      </w:r>
      <w:r w:rsidR="0001371C" w:rsidRPr="006038BC">
        <w:rPr>
          <w:rFonts w:ascii="Palatino Linotype" w:hAnsi="Palatino Linotype"/>
          <w:lang w:val="es-ES_tradnl"/>
        </w:rPr>
        <w:t xml:space="preserve">el artículo 4 de la Ley de Turismo prescribe, </w:t>
      </w:r>
      <w:r w:rsidR="00D74433" w:rsidRPr="006038BC">
        <w:rPr>
          <w:rFonts w:ascii="Palatino Linotype" w:hAnsi="Palatino Linotype"/>
          <w:lang w:val="es-ES_tradnl"/>
        </w:rPr>
        <w:t>que la</w:t>
      </w:r>
      <w:r w:rsidR="00D30075" w:rsidRPr="006038BC">
        <w:rPr>
          <w:rFonts w:ascii="Palatino Linotype" w:hAnsi="Palatino Linotype"/>
          <w:lang w:val="es-ES_tradnl"/>
        </w:rPr>
        <w:t xml:space="preserve"> política</w:t>
      </w:r>
      <w:r w:rsidR="00607EFA" w:rsidRPr="006038BC">
        <w:rPr>
          <w:rFonts w:ascii="Palatino Linotype" w:hAnsi="Palatino Linotype"/>
          <w:lang w:val="es-ES_tradnl"/>
        </w:rPr>
        <w:t xml:space="preserve"> estatal en relación al sector turístico</w:t>
      </w:r>
      <w:r w:rsidR="00D74433" w:rsidRPr="006038BC">
        <w:rPr>
          <w:rFonts w:ascii="Palatino Linotype" w:hAnsi="Palatino Linotype"/>
          <w:lang w:val="es-ES_tradnl"/>
        </w:rPr>
        <w:t xml:space="preserve"> debe cumplir con</w:t>
      </w:r>
      <w:r w:rsidR="0001371C" w:rsidRPr="006038BC">
        <w:rPr>
          <w:rFonts w:ascii="Palatino Linotype" w:hAnsi="Palatino Linotype"/>
          <w:lang w:val="es-ES_tradnl"/>
        </w:rPr>
        <w:t>: "</w:t>
      </w:r>
      <w:r w:rsidR="00B3704F" w:rsidRPr="006038BC">
        <w:rPr>
          <w:rFonts w:ascii="Palatino Linotype" w:hAnsi="Palatino Linotype"/>
          <w:i/>
          <w:lang w:val="es-ES_tradnl"/>
        </w:rPr>
        <w:t>a) Reconocer que la actividad turística corresponde a la iniciativa privada y comunitaria o de autogestión, y al Estado en cuanto debe potencializar las actividades mediante el fomento y promoción de un producto turístico competitivo; b) Garantizar el uso racional de los recursos naturales, históricos, culturales y arqueológicos de la Nación; c) Proteger al turista y fomentar la conciencia turística; d) Propiciar la coordinación de los diferentes estamentos del Gobierno Nacional, y de los gobiernos locales para la consecución de los objetivos turísticos; e) Promover la capacitación técnica y profesional de quienes ejercen legalmente la actividad turística; f) Promover internacionalmente al país y sus atractivos en conjunto con otros organismos del sector público y con el sector privado; y, g) Fomentar e incentivar el turismo interno.</w:t>
      </w:r>
      <w:r w:rsidR="0001371C" w:rsidRPr="006038BC">
        <w:rPr>
          <w:rFonts w:ascii="Palatino Linotype" w:hAnsi="Palatino Linotype"/>
          <w:lang w:val="es-ES_tradnl"/>
        </w:rPr>
        <w:t>"</w:t>
      </w:r>
      <w:r w:rsidRPr="006038BC">
        <w:rPr>
          <w:rFonts w:ascii="Palatino Linotype" w:hAnsi="Palatino Linotype"/>
          <w:lang w:val="es-ES_tradnl"/>
        </w:rPr>
        <w:t>;</w:t>
      </w:r>
    </w:p>
    <w:p w14:paraId="09A9DD02" w14:textId="69AFF4E1" w:rsidR="00C6688A" w:rsidRPr="006038BC" w:rsidRDefault="00C6688A" w:rsidP="00B3704F">
      <w:pPr>
        <w:spacing w:after="120" w:line="276" w:lineRule="auto"/>
        <w:ind w:left="705" w:hanging="705"/>
        <w:jc w:val="both"/>
        <w:rPr>
          <w:rFonts w:ascii="Palatino Linotype" w:hAnsi="Palatino Linotype"/>
          <w:lang w:val="es-ES_tradnl"/>
        </w:rPr>
      </w:pPr>
      <w:r w:rsidRPr="006038BC">
        <w:rPr>
          <w:rFonts w:ascii="Palatino Linotype" w:hAnsi="Palatino Linotype"/>
          <w:b/>
          <w:lang w:val="es-ES_tradnl"/>
        </w:rPr>
        <w:t>Que</w:t>
      </w:r>
      <w:r w:rsidRPr="006038BC">
        <w:rPr>
          <w:rFonts w:ascii="Palatino Linotype" w:hAnsi="Palatino Linotype"/>
          <w:lang w:val="es-ES_tradnl"/>
        </w:rPr>
        <w:t xml:space="preserve">, </w:t>
      </w:r>
      <w:r w:rsidRPr="006038BC">
        <w:rPr>
          <w:rFonts w:ascii="Palatino Linotype" w:hAnsi="Palatino Linotype"/>
          <w:lang w:val="es-ES_tradnl"/>
        </w:rPr>
        <w:tab/>
        <w:t xml:space="preserve">el </w:t>
      </w:r>
      <w:r w:rsidR="008B4C98" w:rsidRPr="006038BC">
        <w:rPr>
          <w:rFonts w:ascii="Palatino Linotype" w:hAnsi="Palatino Linotype"/>
          <w:lang w:val="es-ES_tradnl"/>
        </w:rPr>
        <w:t xml:space="preserve">literal b), del </w:t>
      </w:r>
      <w:r w:rsidRPr="006038BC">
        <w:rPr>
          <w:rFonts w:ascii="Palatino Linotype" w:hAnsi="Palatino Linotype"/>
          <w:lang w:val="es-ES_tradnl"/>
        </w:rPr>
        <w:t>artículo 5 ibídem</w:t>
      </w:r>
      <w:r w:rsidR="008B4C98" w:rsidRPr="006038BC">
        <w:rPr>
          <w:rFonts w:ascii="Palatino Linotype" w:hAnsi="Palatino Linotype"/>
          <w:lang w:val="es-ES_tradnl"/>
        </w:rPr>
        <w:t xml:space="preserve"> establece que l</w:t>
      </w:r>
      <w:r w:rsidR="00BC15D0" w:rsidRPr="006038BC">
        <w:rPr>
          <w:rFonts w:ascii="Palatino Linotype" w:hAnsi="Palatino Linotype"/>
          <w:lang w:val="es-ES_tradnl"/>
        </w:rPr>
        <w:t>os servicios de alimentos y bebidas son actividades turísticas.</w:t>
      </w:r>
    </w:p>
    <w:p w14:paraId="13581C8E" w14:textId="55654B6C" w:rsidR="005055BD" w:rsidRPr="006038BC" w:rsidRDefault="00511723" w:rsidP="00890362">
      <w:pPr>
        <w:spacing w:after="120" w:line="276" w:lineRule="auto"/>
        <w:ind w:left="705" w:hanging="705"/>
        <w:jc w:val="both"/>
        <w:rPr>
          <w:rFonts w:ascii="Palatino Linotype" w:hAnsi="Palatino Linotype"/>
          <w:lang w:val="es-ES_tradnl"/>
        </w:rPr>
      </w:pPr>
      <w:r w:rsidRPr="006038BC">
        <w:rPr>
          <w:rFonts w:ascii="Palatino Linotype" w:hAnsi="Palatino Linotype"/>
          <w:b/>
          <w:lang w:val="es-ES_tradnl"/>
        </w:rPr>
        <w:t>Que</w:t>
      </w:r>
      <w:r w:rsidRPr="006038BC">
        <w:rPr>
          <w:rFonts w:ascii="Palatino Linotype" w:hAnsi="Palatino Linotype"/>
          <w:lang w:val="es-ES_tradnl"/>
        </w:rPr>
        <w:t xml:space="preserve">, </w:t>
      </w:r>
      <w:r w:rsidRPr="006038BC">
        <w:rPr>
          <w:rFonts w:ascii="Palatino Linotype" w:hAnsi="Palatino Linotype"/>
          <w:lang w:val="es-ES_tradnl"/>
        </w:rPr>
        <w:tab/>
      </w:r>
      <w:r w:rsidR="00890362" w:rsidRPr="006038BC">
        <w:rPr>
          <w:rFonts w:ascii="Palatino Linotype" w:hAnsi="Palatino Linotype"/>
          <w:lang w:val="es-ES_tradnl"/>
        </w:rPr>
        <w:t>de conformidad con el régimen jurídico vigente en la época, mediante los convenios correspondientes suscritos el 31 de agosto de 2001 y el 9 de abril de 2008, el Gobierno de la República del Ecuador transfirió a favor del Municipio del Distrito Metropolitano de Quito al competencia de turismo, incluyendo el otorgamiento del registro de turismo, concesión y renovación de la licencia de funcionamiento, fortalecimiento y desarrollo del turismo, promoción turística, control y vigilancia de la calidad de</w:t>
      </w:r>
      <w:r w:rsidR="009B57DF" w:rsidRPr="006038BC">
        <w:rPr>
          <w:rFonts w:ascii="Palatino Linotype" w:hAnsi="Palatino Linotype"/>
          <w:lang w:val="es-ES_tradnl"/>
        </w:rPr>
        <w:t xml:space="preserve"> </w:t>
      </w:r>
      <w:r w:rsidR="00890362" w:rsidRPr="006038BC">
        <w:rPr>
          <w:rFonts w:ascii="Palatino Linotype" w:hAnsi="Palatino Linotype"/>
          <w:lang w:val="es-ES_tradnl"/>
        </w:rPr>
        <w:t>las actividades y establecimientos turísticos, en la circunscripción territorial que le corresponde</w:t>
      </w:r>
      <w:r w:rsidRPr="006038BC">
        <w:rPr>
          <w:rFonts w:ascii="Palatino Linotype" w:hAnsi="Palatino Linotype"/>
          <w:lang w:val="es-ES_tradnl"/>
        </w:rPr>
        <w:t>;</w:t>
      </w:r>
    </w:p>
    <w:p w14:paraId="13581C9E" w14:textId="03B81154" w:rsidR="006E1833" w:rsidRPr="006038BC" w:rsidRDefault="005A1FBD" w:rsidP="00F24E30">
      <w:pPr>
        <w:spacing w:after="120" w:line="276" w:lineRule="auto"/>
        <w:ind w:left="705" w:hanging="705"/>
        <w:jc w:val="both"/>
        <w:rPr>
          <w:rFonts w:ascii="Palatino Linotype" w:hAnsi="Palatino Linotype"/>
          <w:lang w:val="es-ES_tradnl"/>
        </w:rPr>
      </w:pPr>
      <w:r w:rsidRPr="006038BC">
        <w:rPr>
          <w:rFonts w:ascii="Palatino Linotype" w:hAnsi="Palatino Linotype"/>
          <w:b/>
          <w:lang w:val="es-ES_tradnl"/>
        </w:rPr>
        <w:t>Que,</w:t>
      </w:r>
      <w:r w:rsidRPr="006038BC">
        <w:rPr>
          <w:rFonts w:ascii="Palatino Linotype" w:hAnsi="Palatino Linotype"/>
          <w:lang w:val="es-ES_tradnl"/>
        </w:rPr>
        <w:t xml:space="preserve"> </w:t>
      </w:r>
      <w:r w:rsidR="006E1833" w:rsidRPr="006038BC">
        <w:rPr>
          <w:rFonts w:ascii="Palatino Linotype" w:hAnsi="Palatino Linotype"/>
          <w:lang w:val="es-ES_tradnl"/>
        </w:rPr>
        <w:tab/>
      </w:r>
      <w:r w:rsidR="000E4E90" w:rsidRPr="006038BC">
        <w:rPr>
          <w:rFonts w:ascii="Palatino Linotype" w:hAnsi="Palatino Linotype"/>
          <w:lang w:val="es-ES_tradnl"/>
        </w:rPr>
        <w:t>el Municipio del Distrito Metropolitano de Quito, tiene las atribuciones de planificar, controlar, capacitar, realizar estadísticas locales, fomentar, incentivar y facilitar la organización, funcionamiento y competitividad de la actividad turística en el Distrito Metropolitano de Quito, atribuciones que fueron trasladadas desde el Gobierno Nacional, a través del Ministerio de Turismo, mediante Convenio de transferencia de competencias, y para lo cual puede expedir ordenanzas y resoluciones de carácter local que contribuyan al fortalecimiento y desarrollo del turismo de conformidad con la ley;</w:t>
      </w:r>
      <w:r w:rsidR="00EE6D0D" w:rsidRPr="006038BC">
        <w:rPr>
          <w:rFonts w:ascii="Palatino Linotype" w:hAnsi="Palatino Linotype"/>
          <w:lang w:val="es-ES_tradnl"/>
        </w:rPr>
        <w:t xml:space="preserve"> y,</w:t>
      </w:r>
    </w:p>
    <w:p w14:paraId="2612AB98" w14:textId="0C7ECB06" w:rsidR="004F2FCF" w:rsidRPr="006038BC" w:rsidRDefault="004F2FCF" w:rsidP="00F24E30">
      <w:pPr>
        <w:spacing w:after="120" w:line="276" w:lineRule="auto"/>
        <w:ind w:left="705" w:hanging="705"/>
        <w:jc w:val="both"/>
        <w:rPr>
          <w:rFonts w:ascii="Palatino Linotype" w:hAnsi="Palatino Linotype"/>
          <w:bCs/>
          <w:lang w:val="es-ES_tradnl"/>
        </w:rPr>
      </w:pPr>
      <w:r w:rsidRPr="006038BC">
        <w:rPr>
          <w:rFonts w:ascii="Palatino Linotype" w:hAnsi="Palatino Linotype"/>
          <w:b/>
          <w:lang w:val="es-ES_tradnl"/>
        </w:rPr>
        <w:t>Que,</w:t>
      </w:r>
      <w:r w:rsidRPr="006038BC">
        <w:rPr>
          <w:rFonts w:ascii="Palatino Linotype" w:hAnsi="Palatino Linotype"/>
          <w:b/>
          <w:lang w:val="es-ES_tradnl"/>
        </w:rPr>
        <w:tab/>
      </w:r>
      <w:r w:rsidRPr="006038BC">
        <w:rPr>
          <w:rFonts w:ascii="Palatino Linotype" w:hAnsi="Palatino Linotype"/>
          <w:bCs/>
          <w:lang w:val="es-ES_tradnl"/>
        </w:rPr>
        <w:t xml:space="preserve">el </w:t>
      </w:r>
      <w:r w:rsidR="002E5545" w:rsidRPr="006038BC">
        <w:rPr>
          <w:rFonts w:ascii="Palatino Linotype" w:hAnsi="Palatino Linotype"/>
          <w:bCs/>
          <w:lang w:val="es-ES_tradnl"/>
        </w:rPr>
        <w:t xml:space="preserve">Capítulo III, Título II, del </w:t>
      </w:r>
      <w:r w:rsidRPr="006038BC">
        <w:rPr>
          <w:rFonts w:ascii="Palatino Linotype" w:hAnsi="Palatino Linotype"/>
          <w:bCs/>
          <w:lang w:val="es-ES_tradnl"/>
        </w:rPr>
        <w:t>Libro III.4</w:t>
      </w:r>
      <w:r w:rsidR="002E5545" w:rsidRPr="006038BC">
        <w:rPr>
          <w:rFonts w:ascii="Palatino Linotype" w:hAnsi="Palatino Linotype"/>
          <w:bCs/>
          <w:lang w:val="es-ES_tradnl"/>
        </w:rPr>
        <w:t xml:space="preserve"> del Código Municipal para el Distrito Metropolitano de Quito, regula la naturaleza de las zonas especiales turísticas, estableciéndose un régimen especial para los sectores del Distrito que se cataloguen como tales, incluyendo parámetros relacionados con la planificación territorial.</w:t>
      </w:r>
    </w:p>
    <w:p w14:paraId="13581CA0" w14:textId="65B2C2D8" w:rsidR="00536FA3" w:rsidRPr="006038BC" w:rsidRDefault="005A1FBD" w:rsidP="005055BD">
      <w:pPr>
        <w:spacing w:after="120" w:line="276" w:lineRule="auto"/>
        <w:jc w:val="both"/>
        <w:rPr>
          <w:rFonts w:ascii="Palatino Linotype" w:hAnsi="Palatino Linotype"/>
          <w:b/>
          <w:lang w:val="es-ES_tradnl"/>
        </w:rPr>
      </w:pPr>
      <w:r w:rsidRPr="006038BC">
        <w:rPr>
          <w:rFonts w:ascii="Palatino Linotype" w:hAnsi="Palatino Linotype"/>
          <w:b/>
          <w:lang w:val="es-ES_tradnl"/>
        </w:rPr>
        <w:t xml:space="preserve">En ejercicio de las atribuciones que le confieren </w:t>
      </w:r>
      <w:r w:rsidR="00110AE6" w:rsidRPr="006038BC">
        <w:rPr>
          <w:rFonts w:ascii="Palatino Linotype" w:hAnsi="Palatino Linotype"/>
          <w:b/>
          <w:lang w:val="es-ES_tradnl"/>
        </w:rPr>
        <w:t>el</w:t>
      </w:r>
      <w:r w:rsidRPr="006038BC">
        <w:rPr>
          <w:rFonts w:ascii="Palatino Linotype" w:hAnsi="Palatino Linotype"/>
          <w:b/>
          <w:lang w:val="es-ES_tradnl"/>
        </w:rPr>
        <w:t xml:space="preserve"> </w:t>
      </w:r>
      <w:r w:rsidR="00DD5F05" w:rsidRPr="006038BC">
        <w:rPr>
          <w:rFonts w:ascii="Palatino Linotype" w:hAnsi="Palatino Linotype"/>
          <w:b/>
          <w:lang w:val="es-ES_tradnl"/>
        </w:rPr>
        <w:t>artículo 87</w:t>
      </w:r>
      <w:r w:rsidRPr="006038BC">
        <w:rPr>
          <w:rFonts w:ascii="Palatino Linotype" w:hAnsi="Palatino Linotype"/>
          <w:b/>
          <w:lang w:val="es-ES_tradnl"/>
        </w:rPr>
        <w:t xml:space="preserve">, literal a) del Código Orgánico de Organización Territorial, Autonomía y Descentralización; y, artículo 8, numeral 1) de la Ley Orgánica de Régimen para el Distrito Metropolitano de Quito. </w:t>
      </w:r>
    </w:p>
    <w:p w14:paraId="13581CA1" w14:textId="77777777" w:rsidR="00536FA3" w:rsidRPr="006038BC" w:rsidRDefault="005A1FBD" w:rsidP="005055BD">
      <w:pPr>
        <w:spacing w:after="120" w:line="276" w:lineRule="auto"/>
        <w:jc w:val="center"/>
        <w:outlineLvl w:val="0"/>
        <w:rPr>
          <w:rFonts w:ascii="Palatino Linotype" w:hAnsi="Palatino Linotype"/>
          <w:b/>
          <w:lang w:val="es-ES_tradnl"/>
        </w:rPr>
      </w:pPr>
      <w:r w:rsidRPr="006038BC">
        <w:rPr>
          <w:rFonts w:ascii="Palatino Linotype" w:hAnsi="Palatino Linotype"/>
          <w:b/>
          <w:lang w:val="es-ES_tradnl"/>
        </w:rPr>
        <w:t>EXPIDE</w:t>
      </w:r>
      <w:r w:rsidR="006E1833" w:rsidRPr="006038BC">
        <w:rPr>
          <w:rFonts w:ascii="Palatino Linotype" w:hAnsi="Palatino Linotype"/>
          <w:b/>
          <w:lang w:val="es-ES_tradnl"/>
        </w:rPr>
        <w:t xml:space="preserve"> LA SIGUIENTE</w:t>
      </w:r>
      <w:r w:rsidRPr="006038BC">
        <w:rPr>
          <w:rFonts w:ascii="Palatino Linotype" w:hAnsi="Palatino Linotype"/>
          <w:b/>
          <w:lang w:val="es-ES_tradnl"/>
        </w:rPr>
        <w:t>:</w:t>
      </w:r>
    </w:p>
    <w:p w14:paraId="0C3F4B6A" w14:textId="7EF7DFB5" w:rsidR="0095790D" w:rsidRPr="006038BC" w:rsidRDefault="005A1FBD" w:rsidP="006369AA">
      <w:pPr>
        <w:spacing w:after="120" w:line="276" w:lineRule="auto"/>
        <w:jc w:val="center"/>
        <w:rPr>
          <w:rFonts w:ascii="Palatino Linotype" w:eastAsia="Calibri" w:hAnsi="Palatino Linotype" w:cs="Times New Roman"/>
          <w:lang w:val="es-ES_tradnl"/>
        </w:rPr>
      </w:pPr>
      <w:r w:rsidRPr="006038BC">
        <w:rPr>
          <w:rFonts w:ascii="Palatino Linotype" w:hAnsi="Palatino Linotype"/>
          <w:b/>
          <w:lang w:val="es-ES_tradnl"/>
        </w:rPr>
        <w:lastRenderedPageBreak/>
        <w:t xml:space="preserve">ORDENANZA METROPOLITANA </w:t>
      </w:r>
      <w:r w:rsidR="003D45C7" w:rsidRPr="006038BC">
        <w:rPr>
          <w:rFonts w:ascii="Palatino Linotype" w:hAnsi="Palatino Linotype"/>
          <w:b/>
          <w:lang w:val="es-ES_tradnl"/>
        </w:rPr>
        <w:t>REFORMATORIA</w:t>
      </w:r>
      <w:r w:rsidR="009F415E" w:rsidRPr="006038BC">
        <w:rPr>
          <w:rFonts w:ascii="Palatino Linotype" w:hAnsi="Palatino Linotype"/>
          <w:b/>
          <w:lang w:val="es-ES_tradnl"/>
        </w:rPr>
        <w:t xml:space="preserve"> </w:t>
      </w:r>
      <w:r w:rsidR="00FC19ED" w:rsidRPr="006038BC">
        <w:rPr>
          <w:rFonts w:ascii="Palatino Linotype" w:hAnsi="Palatino Linotype"/>
          <w:b/>
          <w:lang w:val="es-ES_tradnl"/>
        </w:rPr>
        <w:t>AL</w:t>
      </w:r>
      <w:r w:rsidR="002E5545" w:rsidRPr="006038BC">
        <w:rPr>
          <w:rFonts w:ascii="Palatino Linotype" w:hAnsi="Palatino Linotype"/>
          <w:b/>
          <w:lang w:val="es-ES_tradnl"/>
        </w:rPr>
        <w:t xml:space="preserve"> </w:t>
      </w:r>
      <w:r w:rsidR="00FC19ED" w:rsidRPr="006038BC">
        <w:rPr>
          <w:rFonts w:ascii="Palatino Linotype" w:hAnsi="Palatino Linotype"/>
          <w:b/>
          <w:lang w:val="es-ES_tradnl"/>
        </w:rPr>
        <w:t>TÍTULO II</w:t>
      </w:r>
      <w:r w:rsidR="002E5545" w:rsidRPr="006038BC">
        <w:rPr>
          <w:rFonts w:ascii="Palatino Linotype" w:hAnsi="Palatino Linotype"/>
          <w:b/>
          <w:lang w:val="es-ES_tradnl"/>
        </w:rPr>
        <w:t xml:space="preserve"> DEL LIBRO IV.4 DEL CÓDIGO MUNICIPAL PARA EL DISTRITO METROPOLITANO DE QUITO, RELACIONADO CON </w:t>
      </w:r>
      <w:r w:rsidR="00FC19ED" w:rsidRPr="006038BC">
        <w:rPr>
          <w:rFonts w:ascii="Palatino Linotype" w:hAnsi="Palatino Linotype"/>
          <w:b/>
          <w:lang w:val="es-ES_tradnl"/>
        </w:rPr>
        <w:t xml:space="preserve">EL TURISMO EN EL DISTRITO METROPOLITANO DE QUITO, </w:t>
      </w:r>
      <w:r w:rsidR="002E5545" w:rsidRPr="006038BC">
        <w:rPr>
          <w:rFonts w:ascii="Palatino Linotype" w:hAnsi="Palatino Linotype"/>
          <w:b/>
          <w:lang w:val="es-ES_tradnl"/>
        </w:rPr>
        <w:t xml:space="preserve">EN SU </w:t>
      </w:r>
      <w:r w:rsidR="00FC19ED" w:rsidRPr="006038BC">
        <w:rPr>
          <w:rFonts w:ascii="Palatino Linotype" w:hAnsi="Palatino Linotype"/>
          <w:b/>
          <w:lang w:val="es-ES_tradnl"/>
        </w:rPr>
        <w:t>SECCIÓN II</w:t>
      </w:r>
      <w:r w:rsidR="003A7D8A" w:rsidRPr="006038BC">
        <w:rPr>
          <w:rFonts w:ascii="Palatino Linotype" w:hAnsi="Palatino Linotype"/>
          <w:b/>
          <w:lang w:val="es-ES_tradnl"/>
        </w:rPr>
        <w:t>I</w:t>
      </w:r>
      <w:r w:rsidR="002E5545" w:rsidRPr="006038BC">
        <w:rPr>
          <w:rFonts w:ascii="Palatino Linotype" w:hAnsi="Palatino Linotype"/>
          <w:b/>
          <w:lang w:val="es-ES_tradnl"/>
        </w:rPr>
        <w:t>,</w:t>
      </w:r>
      <w:r w:rsidR="003A7D8A" w:rsidRPr="006038BC">
        <w:rPr>
          <w:rFonts w:ascii="Palatino Linotype" w:hAnsi="Palatino Linotype"/>
          <w:b/>
          <w:lang w:val="es-ES_tradnl"/>
        </w:rPr>
        <w:t xml:space="preserve"> RÉGIMEN ESPECIAL, PARRÁGRAFO II, </w:t>
      </w:r>
      <w:r w:rsidR="002E5545" w:rsidRPr="006038BC">
        <w:rPr>
          <w:rFonts w:ascii="Palatino Linotype" w:hAnsi="Palatino Linotype"/>
          <w:b/>
          <w:lang w:val="es-ES_tradnl"/>
        </w:rPr>
        <w:t xml:space="preserve">SOBRE LA </w:t>
      </w:r>
      <w:r w:rsidR="003A7D8A" w:rsidRPr="006038BC">
        <w:rPr>
          <w:rFonts w:ascii="Palatino Linotype" w:hAnsi="Palatino Linotype"/>
          <w:b/>
          <w:lang w:val="es-ES_tradnl"/>
        </w:rPr>
        <w:t>PLANIFICACIÓN TERRITORIAL</w:t>
      </w:r>
      <w:r w:rsidR="002E5545" w:rsidRPr="006038BC">
        <w:rPr>
          <w:rFonts w:ascii="Palatino Linotype" w:hAnsi="Palatino Linotype"/>
          <w:b/>
          <w:lang w:val="es-ES_tradnl"/>
        </w:rPr>
        <w:t xml:space="preserve"> DE LAS ZONAS ESPECIALES TURÍSTICAS</w:t>
      </w:r>
    </w:p>
    <w:p w14:paraId="69E691AD" w14:textId="2F6BBECE" w:rsidR="00135C3C" w:rsidRPr="006038BC" w:rsidRDefault="00135C3C" w:rsidP="003B2F72">
      <w:pPr>
        <w:spacing w:after="120" w:line="276" w:lineRule="auto"/>
        <w:jc w:val="both"/>
        <w:rPr>
          <w:rFonts w:ascii="Palatino Linotype" w:eastAsia="Palatino Linotype" w:hAnsi="Palatino Linotype" w:cs="Palatino Linotype"/>
          <w:bCs/>
          <w:lang w:val="es-ES_tradnl"/>
        </w:rPr>
      </w:pPr>
      <w:r w:rsidRPr="006038BC">
        <w:rPr>
          <w:rFonts w:ascii="Palatino Linotype" w:eastAsia="Palatino Linotype" w:hAnsi="Palatino Linotype" w:cs="Palatino Linotype"/>
          <w:b/>
          <w:lang w:val="es-ES_tradnl"/>
        </w:rPr>
        <w:t xml:space="preserve">Artículo </w:t>
      </w:r>
      <w:r w:rsidR="00BC227E" w:rsidRPr="006038BC">
        <w:rPr>
          <w:rFonts w:ascii="Palatino Linotype" w:eastAsia="Palatino Linotype" w:hAnsi="Palatino Linotype" w:cs="Palatino Linotype"/>
          <w:b/>
          <w:lang w:val="es-ES_tradnl"/>
        </w:rPr>
        <w:t xml:space="preserve">Único. </w:t>
      </w:r>
      <w:r w:rsidR="004F2FCF" w:rsidRPr="006038BC">
        <w:rPr>
          <w:rFonts w:ascii="Palatino Linotype" w:eastAsia="Palatino Linotype" w:hAnsi="Palatino Linotype" w:cs="Palatino Linotype"/>
          <w:b/>
          <w:lang w:val="es-ES_tradnl"/>
        </w:rPr>
        <w:t>–</w:t>
      </w:r>
      <w:r w:rsidR="009E4573" w:rsidRPr="006038BC">
        <w:rPr>
          <w:rFonts w:ascii="Palatino Linotype" w:eastAsia="Palatino Linotype" w:hAnsi="Palatino Linotype" w:cs="Palatino Linotype"/>
          <w:b/>
          <w:lang w:val="es-ES_tradnl"/>
        </w:rPr>
        <w:t xml:space="preserve"> </w:t>
      </w:r>
      <w:r w:rsidR="004F2FCF" w:rsidRPr="006038BC">
        <w:rPr>
          <w:rFonts w:ascii="Palatino Linotype" w:eastAsia="Palatino Linotype" w:hAnsi="Palatino Linotype" w:cs="Palatino Linotype"/>
          <w:lang w:val="es-ES_tradnl"/>
        </w:rPr>
        <w:t xml:space="preserve">Sustitúyase </w:t>
      </w:r>
      <w:r w:rsidR="00CB6676" w:rsidRPr="006038BC">
        <w:rPr>
          <w:rFonts w:ascii="Palatino Linotype" w:eastAsia="Palatino Linotype" w:hAnsi="Palatino Linotype" w:cs="Palatino Linotype"/>
          <w:lang w:val="es-ES_tradnl"/>
        </w:rPr>
        <w:t>el primer</w:t>
      </w:r>
      <w:r w:rsidR="00EA12B1" w:rsidRPr="006038BC">
        <w:rPr>
          <w:rFonts w:ascii="Palatino Linotype" w:eastAsia="Palatino Linotype" w:hAnsi="Palatino Linotype" w:cs="Palatino Linotype"/>
          <w:lang w:val="es-ES_tradnl"/>
        </w:rPr>
        <w:t xml:space="preserve"> inciso en el artículo </w:t>
      </w:r>
      <w:r w:rsidR="00396707" w:rsidRPr="006038BC">
        <w:rPr>
          <w:rFonts w:ascii="Palatino Linotype" w:eastAsia="Palatino Linotype" w:hAnsi="Palatino Linotype" w:cs="Palatino Linotype"/>
          <w:lang w:val="es-ES_tradnl"/>
        </w:rPr>
        <w:t>1362</w:t>
      </w:r>
      <w:r w:rsidR="004F2FCF" w:rsidRPr="006038BC">
        <w:rPr>
          <w:rFonts w:ascii="Palatino Linotype" w:eastAsia="Palatino Linotype" w:hAnsi="Palatino Linotype" w:cs="Palatino Linotype"/>
          <w:lang w:val="es-ES_tradnl"/>
        </w:rPr>
        <w:t xml:space="preserve"> del Código Municipal para el Distrito Metropolitano de Quito</w:t>
      </w:r>
      <w:r w:rsidR="00EA12B1" w:rsidRPr="006038BC">
        <w:rPr>
          <w:rFonts w:ascii="Palatino Linotype" w:eastAsia="Palatino Linotype" w:hAnsi="Palatino Linotype" w:cs="Palatino Linotype"/>
          <w:lang w:val="es-ES_tradnl"/>
        </w:rPr>
        <w:t xml:space="preserve">, </w:t>
      </w:r>
      <w:r w:rsidR="004F2FCF" w:rsidRPr="006038BC">
        <w:rPr>
          <w:rFonts w:ascii="Palatino Linotype" w:eastAsia="Palatino Linotype" w:hAnsi="Palatino Linotype" w:cs="Palatino Linotype"/>
          <w:lang w:val="es-ES_tradnl"/>
        </w:rPr>
        <w:t xml:space="preserve">por </w:t>
      </w:r>
      <w:r w:rsidR="00EA12B1" w:rsidRPr="006038BC">
        <w:rPr>
          <w:rFonts w:ascii="Palatino Linotype" w:eastAsia="Palatino Linotype" w:hAnsi="Palatino Linotype" w:cs="Palatino Linotype"/>
          <w:lang w:val="es-ES_tradnl"/>
        </w:rPr>
        <w:t>el siguiente texto</w:t>
      </w:r>
      <w:r w:rsidR="00F92C5D" w:rsidRPr="006038BC">
        <w:rPr>
          <w:rFonts w:ascii="Palatino Linotype" w:eastAsia="Palatino Linotype" w:hAnsi="Palatino Linotype" w:cs="Palatino Linotype"/>
          <w:bCs/>
          <w:lang w:val="es-ES_tradnl"/>
        </w:rPr>
        <w:t>:</w:t>
      </w:r>
      <w:r w:rsidR="00DD72F4" w:rsidRPr="006038BC">
        <w:rPr>
          <w:rFonts w:ascii="Palatino Linotype" w:eastAsia="Palatino Linotype" w:hAnsi="Palatino Linotype" w:cs="Palatino Linotype"/>
          <w:bCs/>
          <w:lang w:val="es-ES_tradnl"/>
        </w:rPr>
        <w:t xml:space="preserve"> </w:t>
      </w:r>
    </w:p>
    <w:p w14:paraId="275C80B9" w14:textId="1A2C73FC" w:rsidR="003350CF" w:rsidRPr="006369AA" w:rsidRDefault="00DD72F4" w:rsidP="006369AA">
      <w:pPr>
        <w:spacing w:after="120" w:line="276" w:lineRule="auto"/>
        <w:ind w:left="708"/>
        <w:jc w:val="both"/>
        <w:rPr>
          <w:rFonts w:ascii="Palatino Linotype" w:eastAsia="Palatino Linotype" w:hAnsi="Palatino Linotype" w:cs="Palatino Linotype"/>
          <w:bCs/>
          <w:color w:val="000000" w:themeColor="text1"/>
          <w:lang w:val="es-ES_tradnl"/>
        </w:rPr>
      </w:pPr>
      <w:r w:rsidRPr="006038BC">
        <w:rPr>
          <w:rFonts w:ascii="Palatino Linotype" w:eastAsia="Palatino Linotype" w:hAnsi="Palatino Linotype" w:cs="Palatino Linotype"/>
          <w:bCs/>
          <w:lang w:val="es-ES_tradnl"/>
        </w:rPr>
        <w:t>“</w:t>
      </w:r>
      <w:r w:rsidR="000A66F3" w:rsidRPr="006038BC">
        <w:rPr>
          <w:rFonts w:ascii="Palatino Linotype" w:eastAsia="Palatino Linotype" w:hAnsi="Palatino Linotype" w:cs="Palatino Linotype"/>
          <w:bCs/>
          <w:lang w:val="es-ES_tradnl"/>
        </w:rPr>
        <w:t xml:space="preserve">Cuando de conformidad con el ordenamiento jurídico metropolitano un establecimiento que se hubiera implantado </w:t>
      </w:r>
      <w:r w:rsidR="00AE492B" w:rsidRPr="006038BC">
        <w:rPr>
          <w:rFonts w:ascii="Palatino Linotype" w:eastAsia="Palatino Linotype" w:hAnsi="Palatino Linotype" w:cs="Palatino Linotype"/>
          <w:bCs/>
          <w:lang w:val="es-ES_tradnl"/>
        </w:rPr>
        <w:t xml:space="preserve">dentro </w:t>
      </w:r>
      <w:r w:rsidR="000A66F3" w:rsidRPr="006038BC">
        <w:rPr>
          <w:rFonts w:ascii="Palatino Linotype" w:eastAsia="Palatino Linotype" w:hAnsi="Palatino Linotype" w:cs="Palatino Linotype"/>
          <w:bCs/>
          <w:lang w:val="es-ES_tradnl"/>
        </w:rPr>
        <w:t>en una Zona Especial Turística</w:t>
      </w:r>
      <w:r w:rsidR="000453B4" w:rsidRPr="006038BC">
        <w:rPr>
          <w:rFonts w:ascii="Palatino Linotype" w:eastAsia="Palatino Linotype" w:hAnsi="Palatino Linotype" w:cs="Palatino Linotype"/>
          <w:bCs/>
          <w:lang w:val="es-ES_tradnl"/>
        </w:rPr>
        <w:t>,</w:t>
      </w:r>
      <w:r w:rsidR="00690D48" w:rsidRPr="006038BC">
        <w:rPr>
          <w:rFonts w:ascii="Palatino Linotype" w:eastAsia="Palatino Linotype" w:hAnsi="Palatino Linotype" w:cs="Palatino Linotype"/>
          <w:bCs/>
          <w:lang w:val="es-ES_tradnl"/>
        </w:rPr>
        <w:t xml:space="preserve"> </w:t>
      </w:r>
      <w:r w:rsidR="000A66F3" w:rsidRPr="006038BC">
        <w:rPr>
          <w:rFonts w:ascii="Palatino Linotype" w:eastAsia="Palatino Linotype" w:hAnsi="Palatino Linotype" w:cs="Palatino Linotype"/>
          <w:bCs/>
          <w:lang w:val="es-ES_tradnl"/>
        </w:rPr>
        <w:t>cumplie</w:t>
      </w:r>
      <w:r w:rsidR="00BE3F49" w:rsidRPr="006038BC">
        <w:rPr>
          <w:rFonts w:ascii="Palatino Linotype" w:eastAsia="Palatino Linotype" w:hAnsi="Palatino Linotype" w:cs="Palatino Linotype"/>
          <w:bCs/>
          <w:lang w:val="es-ES_tradnl"/>
        </w:rPr>
        <w:t>ndo</w:t>
      </w:r>
      <w:r w:rsidR="000A66F3" w:rsidRPr="006038BC">
        <w:rPr>
          <w:rFonts w:ascii="Palatino Linotype" w:eastAsia="Palatino Linotype" w:hAnsi="Palatino Linotype" w:cs="Palatino Linotype"/>
          <w:bCs/>
          <w:lang w:val="es-ES_tradnl"/>
        </w:rPr>
        <w:t xml:space="preserve"> co</w:t>
      </w:r>
      <w:r w:rsidR="000A66F3" w:rsidRPr="006369AA">
        <w:rPr>
          <w:rFonts w:ascii="Palatino Linotype" w:eastAsia="Palatino Linotype" w:hAnsi="Palatino Linotype" w:cs="Palatino Linotype"/>
          <w:bCs/>
          <w:color w:val="000000" w:themeColor="text1"/>
          <w:lang w:val="es-ES_tradnl"/>
        </w:rPr>
        <w:t>n todos los requisitos para el ejercicio de la actividad turística en dicho territorio, aquellos previstos como requisitos, limitaciones y condiciones particulares o generales de implantación del régimen general no le serán aplicables, siempre que la Autoridad Administrativa Competente al otorgar la Licencia Metropolitana Única para el Ejercicio de Actividades Económicas lo autorice dentro del trámite especial</w:t>
      </w:r>
      <w:r w:rsidR="003350CF" w:rsidRPr="006369AA">
        <w:rPr>
          <w:rFonts w:ascii="Palatino Linotype" w:eastAsia="Palatino Linotype" w:hAnsi="Palatino Linotype" w:cs="Palatino Linotype"/>
          <w:bCs/>
          <w:color w:val="000000" w:themeColor="text1"/>
          <w:lang w:val="es-ES_tradnl"/>
        </w:rPr>
        <w:t>; lo mismo ocurrirá en el caso de un establecimiento que busque</w:t>
      </w:r>
      <w:r w:rsidR="00623C63" w:rsidRPr="006369AA">
        <w:rPr>
          <w:rFonts w:ascii="Palatino Linotype" w:eastAsia="Palatino Linotype" w:hAnsi="Palatino Linotype" w:cs="Palatino Linotype"/>
          <w:bCs/>
          <w:color w:val="000000" w:themeColor="text1"/>
          <w:lang w:val="es-ES_tradnl"/>
        </w:rPr>
        <w:t>n</w:t>
      </w:r>
      <w:r w:rsidR="003350CF" w:rsidRPr="006369AA">
        <w:rPr>
          <w:rFonts w:ascii="Palatino Linotype" w:eastAsia="Palatino Linotype" w:hAnsi="Palatino Linotype" w:cs="Palatino Linotype"/>
          <w:bCs/>
          <w:color w:val="000000" w:themeColor="text1"/>
          <w:lang w:val="es-ES_tradnl"/>
        </w:rPr>
        <w:t xml:space="preserve"> implantarse dentro en una Zona Especial Turística</w:t>
      </w:r>
      <w:r w:rsidR="00BC227E" w:rsidRPr="006369AA">
        <w:rPr>
          <w:rFonts w:ascii="Palatino Linotype" w:eastAsia="Palatino Linotype" w:hAnsi="Palatino Linotype" w:cs="Palatino Linotype"/>
          <w:bCs/>
          <w:color w:val="000000" w:themeColor="text1"/>
          <w:lang w:val="es-ES_tradnl"/>
        </w:rPr>
        <w:t>.</w:t>
      </w:r>
      <w:r w:rsidR="003350CF" w:rsidRPr="006369AA">
        <w:rPr>
          <w:rFonts w:ascii="Palatino Linotype" w:eastAsia="Palatino Linotype" w:hAnsi="Palatino Linotype" w:cs="Palatino Linotype"/>
          <w:bCs/>
          <w:color w:val="000000" w:themeColor="text1"/>
          <w:lang w:val="es-ES_tradnl"/>
        </w:rPr>
        <w:t xml:space="preserve"> ”</w:t>
      </w:r>
    </w:p>
    <w:p w14:paraId="5AA627FB" w14:textId="03E47AF3" w:rsidR="004F2FCF" w:rsidRPr="006369AA" w:rsidRDefault="004F2FCF" w:rsidP="00C613C5">
      <w:pPr>
        <w:spacing w:after="120" w:line="276" w:lineRule="auto"/>
        <w:jc w:val="both"/>
        <w:rPr>
          <w:rFonts w:ascii="Palatino Linotype" w:eastAsia="Palatino Linotype" w:hAnsi="Palatino Linotype" w:cs="Palatino Linotype"/>
          <w:bCs/>
          <w:color w:val="000000" w:themeColor="text1"/>
          <w:lang w:val="es-ES_tradnl"/>
        </w:rPr>
      </w:pPr>
      <w:r w:rsidRPr="006369AA">
        <w:rPr>
          <w:rFonts w:ascii="Palatino Linotype" w:eastAsia="Palatino Linotype" w:hAnsi="Palatino Linotype" w:cs="Palatino Linotype"/>
          <w:b/>
          <w:color w:val="000000" w:themeColor="text1"/>
          <w:lang w:val="es-ES_tradnl"/>
        </w:rPr>
        <w:t xml:space="preserve">Disposición general única.- </w:t>
      </w:r>
      <w:r w:rsidRPr="006369AA">
        <w:rPr>
          <w:rFonts w:ascii="Palatino Linotype" w:eastAsia="Palatino Linotype" w:hAnsi="Palatino Linotype" w:cs="Palatino Linotype"/>
          <w:bCs/>
          <w:color w:val="000000" w:themeColor="text1"/>
          <w:lang w:val="es-ES_tradnl"/>
        </w:rPr>
        <w:t>Encárguese a la Secretaría de Territorio, Hábitat y Vivienda y a la Administración Especial Turística La Mariscal la implementación de la presente ordenanza en los respectivos ámbitos de su competencia.</w:t>
      </w:r>
    </w:p>
    <w:p w14:paraId="13581D75" w14:textId="502C9D94" w:rsidR="00C613C5" w:rsidRPr="006369AA" w:rsidRDefault="00D54306" w:rsidP="00C613C5">
      <w:pPr>
        <w:spacing w:after="120" w:line="276" w:lineRule="auto"/>
        <w:jc w:val="both"/>
        <w:rPr>
          <w:rFonts w:ascii="Palatino Linotype" w:eastAsia="Palatino Linotype" w:hAnsi="Palatino Linotype" w:cs="Palatino Linotype"/>
          <w:color w:val="000000" w:themeColor="text1"/>
          <w:lang w:val="es-ES_tradnl"/>
        </w:rPr>
      </w:pPr>
      <w:r w:rsidRPr="006369AA">
        <w:rPr>
          <w:rFonts w:ascii="Palatino Linotype" w:eastAsia="Palatino Linotype" w:hAnsi="Palatino Linotype" w:cs="Palatino Linotype"/>
          <w:b/>
          <w:color w:val="000000" w:themeColor="text1"/>
          <w:lang w:val="es-ES_tradnl"/>
        </w:rPr>
        <w:t xml:space="preserve">DISPOSICIÓN </w:t>
      </w:r>
      <w:r w:rsidR="00BC227E" w:rsidRPr="006369AA">
        <w:rPr>
          <w:rFonts w:ascii="Palatino Linotype" w:eastAsia="Palatino Linotype" w:hAnsi="Palatino Linotype" w:cs="Palatino Linotype"/>
          <w:b/>
          <w:color w:val="000000" w:themeColor="text1"/>
          <w:lang w:val="es-ES_tradnl"/>
        </w:rPr>
        <w:t>FINAL. -</w:t>
      </w:r>
      <w:r w:rsidRPr="006369AA">
        <w:rPr>
          <w:rFonts w:ascii="Palatino Linotype" w:eastAsia="Palatino Linotype" w:hAnsi="Palatino Linotype" w:cs="Palatino Linotype"/>
          <w:color w:val="000000" w:themeColor="text1"/>
          <w:lang w:val="es-ES_tradnl"/>
        </w:rPr>
        <w:t xml:space="preserve"> </w:t>
      </w:r>
      <w:r w:rsidR="00C613C5" w:rsidRPr="006369AA">
        <w:rPr>
          <w:rFonts w:ascii="Palatino Linotype" w:eastAsia="Palatino Linotype" w:hAnsi="Palatino Linotype" w:cs="Palatino Linotype"/>
          <w:color w:val="000000" w:themeColor="text1"/>
          <w:lang w:val="es-ES_tradnl"/>
        </w:rPr>
        <w:t>La presente Ordenanza Metropolitana entrará en vigencia a partir de la fecha de su sanción, sin perjuicio de su publicación en el Registro Oficial, Gaceta Oficial y página web institucional.</w:t>
      </w:r>
    </w:p>
    <w:p w14:paraId="13581D76" w14:textId="31275702" w:rsidR="00C613C5" w:rsidRPr="006369AA" w:rsidRDefault="00C613C5" w:rsidP="00C613C5">
      <w:pPr>
        <w:spacing w:after="120" w:line="276" w:lineRule="auto"/>
        <w:jc w:val="both"/>
        <w:rPr>
          <w:rFonts w:ascii="Palatino Linotype" w:hAnsi="Palatino Linotype"/>
          <w:iCs/>
          <w:color w:val="000000" w:themeColor="text1"/>
        </w:rPr>
      </w:pPr>
      <w:r w:rsidRPr="006369AA">
        <w:rPr>
          <w:rFonts w:ascii="Palatino Linotype" w:hAnsi="Palatino Linotype"/>
          <w:color w:val="000000" w:themeColor="text1"/>
        </w:rPr>
        <w:t xml:space="preserve">Dada, en la Sala de Sesiones del Concejo Metropolitano de Quito, el </w:t>
      </w:r>
      <w:r w:rsidR="005A712E" w:rsidRPr="006369AA">
        <w:rPr>
          <w:rFonts w:ascii="Palatino Linotype" w:hAnsi="Palatino Linotype"/>
          <w:color w:val="000000" w:themeColor="text1"/>
        </w:rPr>
        <w:t>…</w:t>
      </w:r>
      <w:r w:rsidRPr="006369AA">
        <w:rPr>
          <w:rFonts w:ascii="Palatino Linotype" w:hAnsi="Palatino Linotype"/>
          <w:color w:val="000000" w:themeColor="text1"/>
        </w:rPr>
        <w:t xml:space="preserve"> de </w:t>
      </w:r>
      <w:r w:rsidR="005A712E" w:rsidRPr="006369AA">
        <w:rPr>
          <w:rFonts w:ascii="Palatino Linotype" w:hAnsi="Palatino Linotype"/>
          <w:color w:val="000000" w:themeColor="text1"/>
        </w:rPr>
        <w:t>…</w:t>
      </w:r>
      <w:r w:rsidRPr="006369AA">
        <w:rPr>
          <w:rFonts w:ascii="Palatino Linotype" w:hAnsi="Palatino Linotype"/>
          <w:color w:val="000000" w:themeColor="text1"/>
        </w:rPr>
        <w:t xml:space="preserve"> de </w:t>
      </w:r>
      <w:r w:rsidR="005A712E" w:rsidRPr="006369AA">
        <w:rPr>
          <w:rFonts w:ascii="Palatino Linotype" w:hAnsi="Palatino Linotype"/>
          <w:color w:val="000000" w:themeColor="text1"/>
        </w:rPr>
        <w:t xml:space="preserve"> </w:t>
      </w:r>
      <w:r w:rsidRPr="006369AA">
        <w:rPr>
          <w:rFonts w:ascii="Palatino Linotype" w:hAnsi="Palatino Linotype"/>
          <w:color w:val="000000" w:themeColor="text1"/>
        </w:rPr>
        <w:t>20</w:t>
      </w:r>
      <w:r w:rsidR="005A712E" w:rsidRPr="006369AA">
        <w:rPr>
          <w:rFonts w:ascii="Palatino Linotype" w:hAnsi="Palatino Linotype"/>
          <w:color w:val="000000" w:themeColor="text1"/>
        </w:rPr>
        <w:t>2</w:t>
      </w:r>
      <w:r w:rsidR="00216CAE" w:rsidRPr="006369AA">
        <w:rPr>
          <w:rFonts w:ascii="Palatino Linotype" w:hAnsi="Palatino Linotype"/>
          <w:color w:val="000000" w:themeColor="text1"/>
        </w:rPr>
        <w:t>3</w:t>
      </w:r>
      <w:r w:rsidRPr="006369AA">
        <w:rPr>
          <w:rFonts w:ascii="Palatino Linotype" w:hAnsi="Palatino Linotype"/>
          <w:color w:val="000000" w:themeColor="text1"/>
        </w:rPr>
        <w:t>.</w:t>
      </w:r>
    </w:p>
    <w:p w14:paraId="13581D77" w14:textId="77777777" w:rsidR="00C613C5" w:rsidRPr="006369AA" w:rsidRDefault="00C613C5" w:rsidP="00C613C5">
      <w:pPr>
        <w:spacing w:after="240"/>
        <w:contextualSpacing/>
        <w:jc w:val="both"/>
        <w:rPr>
          <w:rFonts w:ascii="Palatino Linotype" w:hAnsi="Palatino Linotype"/>
          <w:color w:val="000000" w:themeColor="text1"/>
        </w:rPr>
      </w:pPr>
    </w:p>
    <w:p w14:paraId="13581D78" w14:textId="77777777" w:rsidR="00C613C5" w:rsidRPr="006369AA" w:rsidRDefault="00C613C5" w:rsidP="00C613C5">
      <w:pPr>
        <w:spacing w:after="240"/>
        <w:contextualSpacing/>
        <w:jc w:val="both"/>
        <w:rPr>
          <w:rFonts w:ascii="Palatino Linotype" w:hAnsi="Palatino Linotype"/>
          <w:color w:val="000000" w:themeColor="text1"/>
        </w:rPr>
      </w:pPr>
    </w:p>
    <w:p w14:paraId="09E0B194" w14:textId="2EA407EF" w:rsidR="005A712E" w:rsidRPr="006369AA" w:rsidRDefault="00C613C5" w:rsidP="00C613C5">
      <w:pPr>
        <w:pStyle w:val="Textosinformato"/>
        <w:jc w:val="center"/>
        <w:rPr>
          <w:rFonts w:ascii="Palatino Linotype" w:eastAsia="MS Mincho" w:hAnsi="Palatino Linotype"/>
          <w:color w:val="000000" w:themeColor="text1"/>
          <w:sz w:val="22"/>
          <w:szCs w:val="22"/>
          <w:lang w:val="es-EC"/>
        </w:rPr>
      </w:pPr>
      <w:r w:rsidRPr="006369AA">
        <w:rPr>
          <w:rFonts w:ascii="Palatino Linotype" w:eastAsia="MS Mincho" w:hAnsi="Palatino Linotype"/>
          <w:color w:val="000000" w:themeColor="text1"/>
          <w:sz w:val="22"/>
          <w:szCs w:val="22"/>
          <w:lang w:val="es-EC"/>
        </w:rPr>
        <w:t xml:space="preserve">Abg. </w:t>
      </w:r>
      <w:r w:rsidR="005A712E" w:rsidRPr="006369AA">
        <w:rPr>
          <w:rFonts w:ascii="Palatino Linotype" w:eastAsia="MS Mincho" w:hAnsi="Palatino Linotype"/>
          <w:color w:val="000000" w:themeColor="text1"/>
          <w:sz w:val="22"/>
          <w:szCs w:val="22"/>
          <w:lang w:val="es-EC"/>
        </w:rPr>
        <w:t>Pablo Antonio Santillán Paredes</w:t>
      </w:r>
    </w:p>
    <w:p w14:paraId="13581D7A" w14:textId="0C0934D7" w:rsidR="00C613C5" w:rsidRPr="006369AA" w:rsidRDefault="00C613C5" w:rsidP="00C613C5">
      <w:pPr>
        <w:pStyle w:val="Textosinformato"/>
        <w:jc w:val="center"/>
        <w:rPr>
          <w:rFonts w:ascii="Palatino Linotype" w:eastAsia="MS Mincho" w:hAnsi="Palatino Linotype"/>
          <w:b/>
          <w:bCs/>
          <w:color w:val="000000" w:themeColor="text1"/>
          <w:sz w:val="22"/>
          <w:szCs w:val="22"/>
          <w:lang w:val="es-EC"/>
        </w:rPr>
      </w:pPr>
      <w:r w:rsidRPr="006369AA">
        <w:rPr>
          <w:rFonts w:ascii="Palatino Linotype" w:eastAsia="MS Mincho" w:hAnsi="Palatino Linotype"/>
          <w:b/>
          <w:bCs/>
          <w:color w:val="000000" w:themeColor="text1"/>
          <w:sz w:val="22"/>
          <w:szCs w:val="22"/>
          <w:lang w:val="es-EC"/>
        </w:rPr>
        <w:t>SECRETARIO GENERAL DEL CONCEJO METROPOLITANO DE QUITO</w:t>
      </w:r>
    </w:p>
    <w:p w14:paraId="13581D7B" w14:textId="77777777" w:rsidR="00C613C5" w:rsidRPr="006369AA" w:rsidRDefault="00C613C5" w:rsidP="00C613C5">
      <w:pPr>
        <w:pStyle w:val="Textopredeterminado"/>
        <w:shd w:val="clear" w:color="auto" w:fill="FFFFFF"/>
        <w:jc w:val="both"/>
        <w:rPr>
          <w:rFonts w:ascii="Palatino Linotype" w:hAnsi="Palatino Linotype"/>
          <w:color w:val="000000" w:themeColor="text1"/>
          <w:sz w:val="22"/>
          <w:szCs w:val="22"/>
          <w:lang w:val="es-ES"/>
        </w:rPr>
      </w:pPr>
    </w:p>
    <w:p w14:paraId="13581D7C" w14:textId="77777777" w:rsidR="00C613C5" w:rsidRPr="006369AA" w:rsidRDefault="00C613C5" w:rsidP="00C613C5">
      <w:pPr>
        <w:pStyle w:val="Textosinformato"/>
        <w:pBdr>
          <w:top w:val="single" w:sz="4" w:space="1" w:color="auto"/>
          <w:left w:val="single" w:sz="4" w:space="4" w:color="auto"/>
          <w:bottom w:val="single" w:sz="4" w:space="1" w:color="auto"/>
          <w:right w:val="single" w:sz="4" w:space="4" w:color="auto"/>
        </w:pBdr>
        <w:jc w:val="center"/>
        <w:rPr>
          <w:rFonts w:ascii="Palatino Linotype" w:eastAsia="MS Mincho" w:hAnsi="Palatino Linotype"/>
          <w:b/>
          <w:bCs/>
          <w:color w:val="000000" w:themeColor="text1"/>
          <w:sz w:val="22"/>
          <w:szCs w:val="22"/>
        </w:rPr>
      </w:pPr>
      <w:r w:rsidRPr="006369AA">
        <w:rPr>
          <w:rFonts w:ascii="Palatino Linotype" w:eastAsia="MS Mincho" w:hAnsi="Palatino Linotype"/>
          <w:b/>
          <w:bCs/>
          <w:color w:val="000000" w:themeColor="text1"/>
          <w:sz w:val="22"/>
          <w:szCs w:val="22"/>
        </w:rPr>
        <w:t>CERTIFICADO DE DISCUSIÓN</w:t>
      </w:r>
    </w:p>
    <w:p w14:paraId="13581D7D" w14:textId="77777777" w:rsidR="00C613C5" w:rsidRPr="006369AA" w:rsidRDefault="00C613C5" w:rsidP="00C613C5">
      <w:pPr>
        <w:pStyle w:val="Textosinformato"/>
        <w:jc w:val="both"/>
        <w:rPr>
          <w:rFonts w:ascii="Palatino Linotype" w:eastAsia="MS Mincho" w:hAnsi="Palatino Linotype"/>
          <w:color w:val="000000" w:themeColor="text1"/>
          <w:sz w:val="22"/>
          <w:szCs w:val="22"/>
        </w:rPr>
      </w:pPr>
    </w:p>
    <w:p w14:paraId="13581D7E" w14:textId="65DFBF0B" w:rsidR="00C613C5" w:rsidRPr="006369AA" w:rsidRDefault="00C613C5" w:rsidP="00C613C5">
      <w:pPr>
        <w:pStyle w:val="Textosinformato"/>
        <w:jc w:val="both"/>
        <w:rPr>
          <w:rFonts w:ascii="Palatino Linotype" w:eastAsia="MS Mincho" w:hAnsi="Palatino Linotype"/>
          <w:color w:val="000000" w:themeColor="text1"/>
          <w:sz w:val="22"/>
          <w:szCs w:val="22"/>
          <w:lang w:val="es-EC"/>
        </w:rPr>
      </w:pPr>
      <w:r w:rsidRPr="006369AA">
        <w:rPr>
          <w:rFonts w:ascii="Palatino Linotype" w:eastAsia="MS Mincho" w:hAnsi="Palatino Linotype"/>
          <w:color w:val="000000" w:themeColor="text1"/>
          <w:sz w:val="22"/>
          <w:szCs w:val="22"/>
          <w:lang w:val="es-EC"/>
        </w:rPr>
        <w:t xml:space="preserve">El infrascrito Secretario General del Concejo Metropolitano de Quito, certifica que la presente ordenanza fue discutida y aprobada en dos debates, en sesiones de </w:t>
      </w:r>
      <w:r w:rsidR="005A712E" w:rsidRPr="006369AA">
        <w:rPr>
          <w:rFonts w:ascii="Palatino Linotype" w:eastAsia="MS Mincho" w:hAnsi="Palatino Linotype"/>
          <w:color w:val="000000" w:themeColor="text1"/>
          <w:sz w:val="22"/>
          <w:szCs w:val="22"/>
          <w:lang w:val="es-EC"/>
        </w:rPr>
        <w:t>…</w:t>
      </w:r>
      <w:r w:rsidRPr="006369AA">
        <w:rPr>
          <w:rFonts w:ascii="Palatino Linotype" w:eastAsia="MS Mincho" w:hAnsi="Palatino Linotype"/>
          <w:color w:val="000000" w:themeColor="text1"/>
          <w:sz w:val="22"/>
          <w:szCs w:val="22"/>
          <w:lang w:val="es-EC"/>
        </w:rPr>
        <w:t xml:space="preserve"> de </w:t>
      </w:r>
      <w:r w:rsidR="005A712E" w:rsidRPr="006369AA">
        <w:rPr>
          <w:rFonts w:ascii="Palatino Linotype" w:eastAsia="MS Mincho" w:hAnsi="Palatino Linotype"/>
          <w:color w:val="000000" w:themeColor="text1"/>
          <w:sz w:val="22"/>
          <w:szCs w:val="22"/>
          <w:lang w:val="es-EC"/>
        </w:rPr>
        <w:t>…..de 2022.</w:t>
      </w:r>
      <w:r w:rsidRPr="006369AA">
        <w:rPr>
          <w:rFonts w:ascii="Palatino Linotype" w:eastAsia="MS Mincho" w:hAnsi="Palatino Linotype"/>
          <w:color w:val="000000" w:themeColor="text1"/>
          <w:sz w:val="22"/>
          <w:szCs w:val="22"/>
          <w:lang w:val="es-EC"/>
        </w:rPr>
        <w:t>- Quito,</w:t>
      </w:r>
    </w:p>
    <w:p w14:paraId="13581D7F" w14:textId="77777777" w:rsidR="00C613C5" w:rsidRPr="006369AA" w:rsidRDefault="00C613C5" w:rsidP="00C613C5">
      <w:pPr>
        <w:pStyle w:val="Textosinformato"/>
        <w:jc w:val="both"/>
        <w:rPr>
          <w:rFonts w:ascii="Palatino Linotype" w:eastAsia="MS Mincho" w:hAnsi="Palatino Linotype"/>
          <w:color w:val="000000" w:themeColor="text1"/>
          <w:sz w:val="22"/>
          <w:szCs w:val="22"/>
          <w:lang w:val="es-EC"/>
        </w:rPr>
      </w:pPr>
    </w:p>
    <w:p w14:paraId="13581D80" w14:textId="77777777" w:rsidR="00C613C5" w:rsidRPr="006369AA" w:rsidRDefault="00C613C5" w:rsidP="00C613C5">
      <w:pPr>
        <w:pStyle w:val="Textosinformato"/>
        <w:jc w:val="both"/>
        <w:rPr>
          <w:rFonts w:ascii="Palatino Linotype" w:eastAsia="MS Mincho" w:hAnsi="Palatino Linotype"/>
          <w:color w:val="000000" w:themeColor="text1"/>
          <w:sz w:val="22"/>
          <w:szCs w:val="22"/>
          <w:lang w:val="es-EC"/>
        </w:rPr>
      </w:pPr>
    </w:p>
    <w:p w14:paraId="13581D81" w14:textId="77777777" w:rsidR="00C613C5" w:rsidRPr="006369AA" w:rsidRDefault="00C613C5" w:rsidP="00C613C5">
      <w:pPr>
        <w:pStyle w:val="Textosinformato"/>
        <w:jc w:val="both"/>
        <w:rPr>
          <w:rFonts w:ascii="Palatino Linotype" w:eastAsia="MS Mincho" w:hAnsi="Palatino Linotype"/>
          <w:color w:val="000000" w:themeColor="text1"/>
          <w:sz w:val="22"/>
          <w:szCs w:val="22"/>
          <w:lang w:val="es-EC"/>
        </w:rPr>
      </w:pPr>
    </w:p>
    <w:p w14:paraId="13581D82" w14:textId="690B6367" w:rsidR="00C613C5" w:rsidRPr="006369AA" w:rsidRDefault="00C613C5" w:rsidP="00C613C5">
      <w:pPr>
        <w:pStyle w:val="Textosinformato"/>
        <w:jc w:val="center"/>
        <w:rPr>
          <w:rFonts w:ascii="Palatino Linotype" w:eastAsia="MS Mincho" w:hAnsi="Palatino Linotype"/>
          <w:color w:val="000000" w:themeColor="text1"/>
          <w:sz w:val="22"/>
          <w:szCs w:val="22"/>
          <w:lang w:val="es-EC"/>
        </w:rPr>
      </w:pPr>
      <w:r w:rsidRPr="006369AA">
        <w:rPr>
          <w:rFonts w:ascii="Palatino Linotype" w:eastAsia="MS Mincho" w:hAnsi="Palatino Linotype"/>
          <w:color w:val="000000" w:themeColor="text1"/>
          <w:sz w:val="22"/>
          <w:szCs w:val="22"/>
          <w:lang w:val="es-EC"/>
        </w:rPr>
        <w:t xml:space="preserve">Abg. </w:t>
      </w:r>
      <w:r w:rsidR="005A712E" w:rsidRPr="006369AA">
        <w:rPr>
          <w:rFonts w:ascii="Palatino Linotype" w:eastAsia="MS Mincho" w:hAnsi="Palatino Linotype"/>
          <w:color w:val="000000" w:themeColor="text1"/>
          <w:sz w:val="22"/>
          <w:szCs w:val="22"/>
          <w:lang w:val="es-EC"/>
        </w:rPr>
        <w:t>Pablo Antonio Santillán Paredes</w:t>
      </w:r>
    </w:p>
    <w:p w14:paraId="13581D83" w14:textId="77777777" w:rsidR="00C613C5" w:rsidRPr="006369AA" w:rsidRDefault="00C613C5" w:rsidP="00C613C5">
      <w:pPr>
        <w:pStyle w:val="Textosinformato"/>
        <w:jc w:val="center"/>
        <w:rPr>
          <w:rFonts w:ascii="Palatino Linotype" w:eastAsia="MS Mincho" w:hAnsi="Palatino Linotype"/>
          <w:b/>
          <w:bCs/>
          <w:color w:val="000000" w:themeColor="text1"/>
          <w:sz w:val="22"/>
          <w:szCs w:val="22"/>
          <w:lang w:val="es-EC"/>
        </w:rPr>
      </w:pPr>
      <w:r w:rsidRPr="006369AA">
        <w:rPr>
          <w:rFonts w:ascii="Palatino Linotype" w:eastAsia="MS Mincho" w:hAnsi="Palatino Linotype"/>
          <w:b/>
          <w:bCs/>
          <w:color w:val="000000" w:themeColor="text1"/>
          <w:sz w:val="22"/>
          <w:szCs w:val="22"/>
          <w:lang w:val="es-EC"/>
        </w:rPr>
        <w:lastRenderedPageBreak/>
        <w:t>SECRETARIO GENERAL DEL CONCEJO METROPOLITANO DE QUITO</w:t>
      </w:r>
    </w:p>
    <w:p w14:paraId="13581D84" w14:textId="77777777" w:rsidR="00C613C5" w:rsidRPr="006369AA" w:rsidRDefault="00C613C5" w:rsidP="00C613C5">
      <w:pPr>
        <w:pStyle w:val="Textosinformato"/>
        <w:jc w:val="center"/>
        <w:rPr>
          <w:rFonts w:ascii="Palatino Linotype" w:eastAsia="MS Mincho" w:hAnsi="Palatino Linotype"/>
          <w:b/>
          <w:bCs/>
          <w:color w:val="000000" w:themeColor="text1"/>
          <w:sz w:val="22"/>
          <w:szCs w:val="22"/>
          <w:lang w:val="es-EC"/>
        </w:rPr>
      </w:pPr>
    </w:p>
    <w:p w14:paraId="13581D85" w14:textId="77777777" w:rsidR="00C613C5" w:rsidRPr="006369AA" w:rsidRDefault="00C613C5" w:rsidP="00C613C5">
      <w:pPr>
        <w:pStyle w:val="Textosinformato"/>
        <w:jc w:val="both"/>
        <w:rPr>
          <w:rFonts w:ascii="Palatino Linotype" w:eastAsia="MS Mincho" w:hAnsi="Palatino Linotype"/>
          <w:color w:val="000000" w:themeColor="text1"/>
          <w:sz w:val="22"/>
          <w:szCs w:val="22"/>
          <w:lang w:val="es-EC"/>
        </w:rPr>
      </w:pPr>
      <w:r w:rsidRPr="006369AA">
        <w:rPr>
          <w:rFonts w:ascii="Palatino Linotype" w:eastAsia="MS Mincho" w:hAnsi="Palatino Linotype"/>
          <w:b/>
          <w:bCs/>
          <w:color w:val="000000" w:themeColor="text1"/>
          <w:sz w:val="22"/>
          <w:szCs w:val="22"/>
          <w:lang w:val="es-EC"/>
        </w:rPr>
        <w:t>ALCALDÍA DEL DISTRITO METROPOLITANO DE QUITO.-</w:t>
      </w:r>
      <w:r w:rsidRPr="006369AA">
        <w:rPr>
          <w:rFonts w:ascii="Palatino Linotype" w:eastAsia="MS Mincho" w:hAnsi="Palatino Linotype"/>
          <w:color w:val="000000" w:themeColor="text1"/>
          <w:sz w:val="22"/>
          <w:szCs w:val="22"/>
          <w:lang w:val="es-EC"/>
        </w:rPr>
        <w:t xml:space="preserve"> Distrito Metropolitano de Quito,</w:t>
      </w:r>
    </w:p>
    <w:p w14:paraId="13581D86" w14:textId="77777777" w:rsidR="00C613C5" w:rsidRPr="006369AA" w:rsidRDefault="00C613C5" w:rsidP="00C613C5">
      <w:pPr>
        <w:pStyle w:val="Textosinformato"/>
        <w:jc w:val="center"/>
        <w:rPr>
          <w:rFonts w:ascii="Palatino Linotype" w:eastAsia="MS Mincho" w:hAnsi="Palatino Linotype"/>
          <w:b/>
          <w:color w:val="000000" w:themeColor="text1"/>
          <w:sz w:val="22"/>
          <w:szCs w:val="22"/>
          <w:lang w:val="es-EC"/>
        </w:rPr>
      </w:pPr>
      <w:r w:rsidRPr="006369AA">
        <w:rPr>
          <w:rFonts w:ascii="Palatino Linotype" w:eastAsia="MS Mincho" w:hAnsi="Palatino Linotype"/>
          <w:b/>
          <w:color w:val="000000" w:themeColor="text1"/>
          <w:sz w:val="22"/>
          <w:szCs w:val="22"/>
          <w:lang w:val="es-EC"/>
        </w:rPr>
        <w:t>EJECÚTESE:</w:t>
      </w:r>
    </w:p>
    <w:p w14:paraId="13581D87" w14:textId="77777777" w:rsidR="00C613C5" w:rsidRPr="006369AA" w:rsidRDefault="00C613C5" w:rsidP="00C613C5">
      <w:pPr>
        <w:pStyle w:val="Textosinformato"/>
        <w:tabs>
          <w:tab w:val="left" w:pos="2655"/>
        </w:tabs>
        <w:rPr>
          <w:rFonts w:ascii="Palatino Linotype" w:eastAsia="MS Mincho" w:hAnsi="Palatino Linotype"/>
          <w:color w:val="000000" w:themeColor="text1"/>
          <w:sz w:val="22"/>
          <w:szCs w:val="22"/>
          <w:lang w:val="es-EC"/>
        </w:rPr>
      </w:pPr>
    </w:p>
    <w:p w14:paraId="13581D88" w14:textId="77777777" w:rsidR="00C613C5" w:rsidRPr="006369AA" w:rsidRDefault="00C613C5" w:rsidP="00C613C5">
      <w:pPr>
        <w:pStyle w:val="Textosinformato"/>
        <w:jc w:val="center"/>
        <w:rPr>
          <w:rFonts w:ascii="Palatino Linotype" w:eastAsia="MS Mincho" w:hAnsi="Palatino Linotype"/>
          <w:color w:val="000000" w:themeColor="text1"/>
          <w:sz w:val="22"/>
          <w:szCs w:val="22"/>
          <w:lang w:val="es-EC"/>
        </w:rPr>
      </w:pPr>
    </w:p>
    <w:p w14:paraId="13581D89" w14:textId="77777777" w:rsidR="00C613C5" w:rsidRPr="006369AA" w:rsidRDefault="00C613C5" w:rsidP="00C613C5">
      <w:pPr>
        <w:pStyle w:val="Textosinformato"/>
        <w:jc w:val="center"/>
        <w:rPr>
          <w:rFonts w:ascii="Palatino Linotype" w:eastAsia="MS Mincho" w:hAnsi="Palatino Linotype"/>
          <w:color w:val="000000" w:themeColor="text1"/>
          <w:sz w:val="22"/>
          <w:szCs w:val="22"/>
          <w:lang w:val="es-EC"/>
        </w:rPr>
      </w:pPr>
    </w:p>
    <w:p w14:paraId="13581D8A" w14:textId="48309273" w:rsidR="00C613C5" w:rsidRPr="006369AA" w:rsidRDefault="00C613C5" w:rsidP="00C613C5">
      <w:pPr>
        <w:pStyle w:val="Textosinformato"/>
        <w:jc w:val="center"/>
        <w:rPr>
          <w:rFonts w:ascii="Palatino Linotype" w:eastAsia="MS Mincho" w:hAnsi="Palatino Linotype"/>
          <w:color w:val="000000" w:themeColor="text1"/>
          <w:sz w:val="22"/>
          <w:szCs w:val="22"/>
          <w:lang w:val="es-EC"/>
        </w:rPr>
      </w:pPr>
      <w:r w:rsidRPr="006369AA">
        <w:rPr>
          <w:rFonts w:ascii="Palatino Linotype" w:eastAsia="MS Mincho" w:hAnsi="Palatino Linotype"/>
          <w:color w:val="000000" w:themeColor="text1"/>
          <w:sz w:val="22"/>
          <w:szCs w:val="22"/>
          <w:lang w:val="es-EC"/>
        </w:rPr>
        <w:t xml:space="preserve">Dr. </w:t>
      </w:r>
      <w:r w:rsidR="005A712E" w:rsidRPr="006369AA">
        <w:rPr>
          <w:rFonts w:ascii="Palatino Linotype" w:eastAsia="MS Mincho" w:hAnsi="Palatino Linotype"/>
          <w:color w:val="000000" w:themeColor="text1"/>
          <w:sz w:val="22"/>
          <w:szCs w:val="22"/>
          <w:lang w:val="es-EC"/>
        </w:rPr>
        <w:t>Santiago Mauricio Guarderas Izquierdo</w:t>
      </w:r>
    </w:p>
    <w:p w14:paraId="13581D8B" w14:textId="77777777" w:rsidR="00C613C5" w:rsidRPr="006369AA" w:rsidRDefault="00C613C5" w:rsidP="00C613C5">
      <w:pPr>
        <w:pStyle w:val="Textosinformato"/>
        <w:jc w:val="center"/>
        <w:rPr>
          <w:rFonts w:ascii="Palatino Linotype" w:eastAsia="MS Mincho" w:hAnsi="Palatino Linotype"/>
          <w:b/>
          <w:bCs/>
          <w:color w:val="000000" w:themeColor="text1"/>
          <w:sz w:val="22"/>
          <w:szCs w:val="22"/>
          <w:lang w:val="es-EC"/>
        </w:rPr>
      </w:pPr>
      <w:r w:rsidRPr="006369AA">
        <w:rPr>
          <w:rFonts w:ascii="Palatino Linotype" w:eastAsia="MS Mincho" w:hAnsi="Palatino Linotype"/>
          <w:b/>
          <w:bCs/>
          <w:color w:val="000000" w:themeColor="text1"/>
          <w:sz w:val="22"/>
          <w:szCs w:val="22"/>
          <w:lang w:val="es-EC"/>
        </w:rPr>
        <w:t>ALCALDE DEL DISTRITO METROPOLITANO DE QUITO</w:t>
      </w:r>
    </w:p>
    <w:p w14:paraId="13581D8C" w14:textId="77777777" w:rsidR="00C613C5" w:rsidRPr="006369AA" w:rsidRDefault="00C613C5" w:rsidP="00C613C5">
      <w:pPr>
        <w:pStyle w:val="Textosinformato"/>
        <w:jc w:val="center"/>
        <w:rPr>
          <w:rFonts w:ascii="Palatino Linotype" w:eastAsia="MS Mincho" w:hAnsi="Palatino Linotype"/>
          <w:b/>
          <w:bCs/>
          <w:color w:val="000000" w:themeColor="text1"/>
          <w:sz w:val="22"/>
          <w:szCs w:val="22"/>
          <w:lang w:val="es-EC"/>
        </w:rPr>
      </w:pPr>
    </w:p>
    <w:p w14:paraId="13581D8D" w14:textId="77777777" w:rsidR="008E747C" w:rsidRPr="006369AA" w:rsidRDefault="008E747C" w:rsidP="00C613C5">
      <w:pPr>
        <w:pStyle w:val="Textosinformato"/>
        <w:jc w:val="center"/>
        <w:rPr>
          <w:rFonts w:ascii="Palatino Linotype" w:eastAsia="MS Mincho" w:hAnsi="Palatino Linotype"/>
          <w:b/>
          <w:bCs/>
          <w:color w:val="000000" w:themeColor="text1"/>
          <w:sz w:val="22"/>
          <w:szCs w:val="22"/>
          <w:lang w:val="es-EC"/>
        </w:rPr>
      </w:pPr>
    </w:p>
    <w:p w14:paraId="13581D8E" w14:textId="40F104A4" w:rsidR="00C613C5" w:rsidRPr="006369AA" w:rsidRDefault="00C613C5" w:rsidP="00C613C5">
      <w:pPr>
        <w:pStyle w:val="Textosinformato"/>
        <w:jc w:val="both"/>
        <w:rPr>
          <w:rFonts w:ascii="Palatino Linotype" w:eastAsia="MS Mincho" w:hAnsi="Palatino Linotype"/>
          <w:color w:val="000000" w:themeColor="text1"/>
          <w:sz w:val="22"/>
          <w:szCs w:val="22"/>
          <w:lang w:val="es-EC"/>
        </w:rPr>
      </w:pPr>
      <w:r w:rsidRPr="006369AA">
        <w:rPr>
          <w:rFonts w:ascii="Palatino Linotype" w:eastAsia="MS Mincho" w:hAnsi="Palatino Linotype"/>
          <w:b/>
          <w:bCs/>
          <w:color w:val="000000" w:themeColor="text1"/>
          <w:sz w:val="22"/>
          <w:szCs w:val="22"/>
          <w:lang w:val="es-EC"/>
        </w:rPr>
        <w:t>CERTIFICO,</w:t>
      </w:r>
      <w:r w:rsidRPr="006369AA">
        <w:rPr>
          <w:rFonts w:ascii="Palatino Linotype" w:eastAsia="MS Mincho" w:hAnsi="Palatino Linotype"/>
          <w:color w:val="000000" w:themeColor="text1"/>
          <w:sz w:val="22"/>
          <w:szCs w:val="22"/>
          <w:lang w:val="es-EC"/>
        </w:rPr>
        <w:t xml:space="preserve"> que la presente ordenanza fue sancionada por el Dr. </w:t>
      </w:r>
      <w:r w:rsidR="005A712E" w:rsidRPr="006369AA">
        <w:rPr>
          <w:rFonts w:ascii="Palatino Linotype" w:eastAsia="MS Mincho" w:hAnsi="Palatino Linotype"/>
          <w:color w:val="000000" w:themeColor="text1"/>
          <w:sz w:val="22"/>
          <w:szCs w:val="22"/>
          <w:lang w:val="es-EC"/>
        </w:rPr>
        <w:t>Santiago Mauricio Guarderas Izquierdo</w:t>
      </w:r>
      <w:r w:rsidRPr="006369AA">
        <w:rPr>
          <w:rFonts w:ascii="Palatino Linotype" w:eastAsia="MS Mincho" w:hAnsi="Palatino Linotype"/>
          <w:color w:val="000000" w:themeColor="text1"/>
          <w:sz w:val="22"/>
          <w:szCs w:val="22"/>
          <w:lang w:val="es-EC"/>
        </w:rPr>
        <w:t>, Alcalde del Distrito Metropolitano de Quito, el</w:t>
      </w:r>
      <w:r w:rsidR="005A712E" w:rsidRPr="006369AA">
        <w:rPr>
          <w:rFonts w:ascii="Palatino Linotype" w:eastAsia="MS Mincho" w:hAnsi="Palatino Linotype"/>
          <w:color w:val="000000" w:themeColor="text1"/>
          <w:sz w:val="22"/>
          <w:szCs w:val="22"/>
          <w:lang w:val="es-EC"/>
        </w:rPr>
        <w:t xml:space="preserve"> …….</w:t>
      </w:r>
    </w:p>
    <w:p w14:paraId="13581D8F" w14:textId="77777777" w:rsidR="00C613C5" w:rsidRPr="006369AA" w:rsidRDefault="00C613C5" w:rsidP="00C613C5">
      <w:pPr>
        <w:pStyle w:val="Textosinformato"/>
        <w:tabs>
          <w:tab w:val="right" w:pos="8504"/>
        </w:tabs>
        <w:jc w:val="both"/>
        <w:rPr>
          <w:rFonts w:ascii="Palatino Linotype" w:eastAsia="MS Mincho" w:hAnsi="Palatino Linotype"/>
          <w:color w:val="000000" w:themeColor="text1"/>
          <w:sz w:val="22"/>
          <w:szCs w:val="22"/>
          <w:lang w:val="es-EC"/>
        </w:rPr>
      </w:pPr>
      <w:r w:rsidRPr="006369AA">
        <w:rPr>
          <w:rFonts w:ascii="Palatino Linotype" w:eastAsia="MS Mincho" w:hAnsi="Palatino Linotype"/>
          <w:color w:val="000000" w:themeColor="text1"/>
          <w:sz w:val="22"/>
          <w:szCs w:val="22"/>
          <w:lang w:val="es-EC"/>
        </w:rPr>
        <w:t>.- Distrito Metropolitano de Quito,</w:t>
      </w:r>
    </w:p>
    <w:p w14:paraId="13581D90" w14:textId="77777777" w:rsidR="00C613C5" w:rsidRPr="006369AA" w:rsidRDefault="00C613C5" w:rsidP="00C613C5">
      <w:pPr>
        <w:pStyle w:val="Textosinformato"/>
        <w:jc w:val="center"/>
        <w:rPr>
          <w:rFonts w:ascii="Palatino Linotype" w:eastAsia="MS Mincho" w:hAnsi="Palatino Linotype"/>
          <w:color w:val="000000" w:themeColor="text1"/>
          <w:sz w:val="22"/>
          <w:szCs w:val="22"/>
          <w:lang w:val="es-EC"/>
        </w:rPr>
      </w:pPr>
    </w:p>
    <w:p w14:paraId="13581D91" w14:textId="77777777" w:rsidR="00C613C5" w:rsidRPr="006369AA" w:rsidRDefault="00C613C5" w:rsidP="00C613C5">
      <w:pPr>
        <w:pStyle w:val="Textosinformato"/>
        <w:jc w:val="center"/>
        <w:rPr>
          <w:rFonts w:ascii="Palatino Linotype" w:eastAsia="MS Mincho" w:hAnsi="Palatino Linotype"/>
          <w:color w:val="000000" w:themeColor="text1"/>
          <w:sz w:val="22"/>
          <w:szCs w:val="22"/>
          <w:lang w:val="es-EC"/>
        </w:rPr>
      </w:pPr>
    </w:p>
    <w:p w14:paraId="13581D92" w14:textId="77777777" w:rsidR="008E747C" w:rsidRPr="006369AA" w:rsidRDefault="008E747C" w:rsidP="00C613C5">
      <w:pPr>
        <w:pStyle w:val="Textosinformato"/>
        <w:jc w:val="center"/>
        <w:rPr>
          <w:rFonts w:ascii="Palatino Linotype" w:eastAsia="MS Mincho" w:hAnsi="Palatino Linotype"/>
          <w:color w:val="000000" w:themeColor="text1"/>
          <w:sz w:val="22"/>
          <w:szCs w:val="22"/>
          <w:lang w:val="es-EC"/>
        </w:rPr>
      </w:pPr>
    </w:p>
    <w:p w14:paraId="13581D93" w14:textId="77777777" w:rsidR="00C613C5" w:rsidRPr="006369AA" w:rsidRDefault="00C613C5" w:rsidP="00C613C5">
      <w:pPr>
        <w:pStyle w:val="Textosinformato"/>
        <w:jc w:val="center"/>
        <w:rPr>
          <w:rFonts w:ascii="Palatino Linotype" w:eastAsia="MS Mincho" w:hAnsi="Palatino Linotype"/>
          <w:color w:val="000000" w:themeColor="text1"/>
          <w:sz w:val="22"/>
          <w:szCs w:val="22"/>
          <w:lang w:val="es-EC"/>
        </w:rPr>
      </w:pPr>
    </w:p>
    <w:p w14:paraId="13581D94" w14:textId="182C7FEC" w:rsidR="00C613C5" w:rsidRPr="006369AA" w:rsidRDefault="00C613C5" w:rsidP="00C613C5">
      <w:pPr>
        <w:pStyle w:val="Textosinformato"/>
        <w:jc w:val="center"/>
        <w:rPr>
          <w:rFonts w:ascii="Palatino Linotype" w:eastAsia="MS Mincho" w:hAnsi="Palatino Linotype"/>
          <w:color w:val="000000" w:themeColor="text1"/>
          <w:sz w:val="22"/>
          <w:szCs w:val="22"/>
          <w:lang w:val="es-EC"/>
        </w:rPr>
      </w:pPr>
      <w:r w:rsidRPr="006369AA">
        <w:rPr>
          <w:rFonts w:ascii="Palatino Linotype" w:eastAsia="MS Mincho" w:hAnsi="Palatino Linotype"/>
          <w:color w:val="000000" w:themeColor="text1"/>
          <w:sz w:val="22"/>
          <w:szCs w:val="22"/>
          <w:lang w:val="es-EC"/>
        </w:rPr>
        <w:t xml:space="preserve">Abg. </w:t>
      </w:r>
      <w:r w:rsidR="005A712E" w:rsidRPr="006369AA">
        <w:rPr>
          <w:rFonts w:ascii="Palatino Linotype" w:eastAsia="MS Mincho" w:hAnsi="Palatino Linotype"/>
          <w:color w:val="000000" w:themeColor="text1"/>
          <w:sz w:val="22"/>
          <w:szCs w:val="22"/>
          <w:lang w:val="es-EC"/>
        </w:rPr>
        <w:t>Pablo Antonio Santillán Paredes</w:t>
      </w:r>
    </w:p>
    <w:p w14:paraId="13581D95" w14:textId="77777777" w:rsidR="00C613C5" w:rsidRPr="006369AA" w:rsidRDefault="00C613C5" w:rsidP="00C613C5">
      <w:pPr>
        <w:pStyle w:val="Textosinformato"/>
        <w:jc w:val="center"/>
        <w:rPr>
          <w:rFonts w:ascii="Palatino Linotype" w:eastAsia="MS Mincho" w:hAnsi="Palatino Linotype"/>
          <w:b/>
          <w:bCs/>
          <w:color w:val="000000" w:themeColor="text1"/>
          <w:sz w:val="22"/>
          <w:szCs w:val="22"/>
          <w:lang w:val="es-EC"/>
        </w:rPr>
      </w:pPr>
      <w:r w:rsidRPr="006369AA">
        <w:rPr>
          <w:rFonts w:ascii="Palatino Linotype" w:eastAsia="MS Mincho" w:hAnsi="Palatino Linotype"/>
          <w:b/>
          <w:bCs/>
          <w:color w:val="000000" w:themeColor="text1"/>
          <w:sz w:val="22"/>
          <w:szCs w:val="22"/>
          <w:lang w:val="es-EC"/>
        </w:rPr>
        <w:t>SECRETARIO GENERAL DEL CONCEJO METROPOLITANO DE QUITO</w:t>
      </w:r>
    </w:p>
    <w:p w14:paraId="13581D96" w14:textId="6E53FD97" w:rsidR="00536FA3" w:rsidRPr="006369AA" w:rsidRDefault="00536FA3" w:rsidP="009E3C30">
      <w:pPr>
        <w:spacing w:after="120" w:line="276" w:lineRule="auto"/>
        <w:jc w:val="both"/>
        <w:rPr>
          <w:rFonts w:ascii="Palatino Linotype" w:eastAsia="Calibri" w:hAnsi="Palatino Linotype" w:cs="Times New Roman"/>
          <w:color w:val="000000" w:themeColor="text1"/>
          <w:lang w:val="es-ES_tradnl"/>
        </w:rPr>
      </w:pPr>
      <w:bookmarkStart w:id="1" w:name="_GoBack"/>
      <w:bookmarkEnd w:id="1"/>
    </w:p>
    <w:sectPr w:rsidR="00536FA3" w:rsidRPr="006369AA" w:rsidSect="005055BD">
      <w:footerReference w:type="default" r:id="rId15"/>
      <w:pgSz w:w="11906" w:h="16838"/>
      <w:pgMar w:top="1417" w:right="1701" w:bottom="1417" w:left="1701" w:header="0" w:footer="708" w:gutter="0"/>
      <w:pgNumType w:start="1"/>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C8C66" w14:textId="77777777" w:rsidR="005C7B30" w:rsidRDefault="005C7B30">
      <w:pPr>
        <w:spacing w:after="0" w:line="240" w:lineRule="auto"/>
      </w:pPr>
      <w:r>
        <w:separator/>
      </w:r>
    </w:p>
  </w:endnote>
  <w:endnote w:type="continuationSeparator" w:id="0">
    <w:p w14:paraId="54F94381" w14:textId="77777777" w:rsidR="005C7B30" w:rsidRDefault="005C7B30">
      <w:pPr>
        <w:spacing w:after="0" w:line="240" w:lineRule="auto"/>
      </w:pPr>
      <w:r>
        <w:continuationSeparator/>
      </w:r>
    </w:p>
  </w:endnote>
  <w:endnote w:type="continuationNotice" w:id="1">
    <w:p w14:paraId="7885944D" w14:textId="77777777" w:rsidR="005C7B30" w:rsidRDefault="005C7B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393380"/>
      <w:docPartObj>
        <w:docPartGallery w:val="Page Numbers (Bottom of Page)"/>
        <w:docPartUnique/>
      </w:docPartObj>
    </w:sdtPr>
    <w:sdtEndPr/>
    <w:sdtContent>
      <w:sdt>
        <w:sdtPr>
          <w:id w:val="-1769616900"/>
          <w:docPartObj>
            <w:docPartGallery w:val="Page Numbers (Top of Page)"/>
            <w:docPartUnique/>
          </w:docPartObj>
        </w:sdtPr>
        <w:sdtEndPr/>
        <w:sdtContent>
          <w:p w14:paraId="670F044F" w14:textId="020DF9CF" w:rsidR="006369AA" w:rsidRDefault="006369A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038BC">
              <w:rPr>
                <w:b/>
                <w:bCs/>
                <w:noProof/>
              </w:rPr>
              <w:t>16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038BC">
              <w:rPr>
                <w:b/>
                <w:bCs/>
                <w:noProof/>
              </w:rPr>
              <w:t>16</w:t>
            </w:r>
            <w:r>
              <w:rPr>
                <w:b/>
                <w:bCs/>
                <w:sz w:val="24"/>
                <w:szCs w:val="24"/>
              </w:rPr>
              <w:fldChar w:fldCharType="end"/>
            </w:r>
          </w:p>
        </w:sdtContent>
      </w:sdt>
    </w:sdtContent>
  </w:sdt>
  <w:p w14:paraId="13581DAA" w14:textId="77777777" w:rsidR="0056102C" w:rsidRDefault="0056102C">
    <w:pPr>
      <w:pStyle w:val="Piedepgina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07B4A" w14:textId="77777777" w:rsidR="005C7B30" w:rsidRDefault="005C7B30">
      <w:pPr>
        <w:spacing w:after="0" w:line="240" w:lineRule="auto"/>
      </w:pPr>
      <w:r>
        <w:separator/>
      </w:r>
    </w:p>
  </w:footnote>
  <w:footnote w:type="continuationSeparator" w:id="0">
    <w:p w14:paraId="50F7CF6E" w14:textId="77777777" w:rsidR="005C7B30" w:rsidRDefault="005C7B30">
      <w:pPr>
        <w:spacing w:after="0" w:line="240" w:lineRule="auto"/>
      </w:pPr>
      <w:r>
        <w:continuationSeparator/>
      </w:r>
    </w:p>
  </w:footnote>
  <w:footnote w:type="continuationNotice" w:id="1">
    <w:p w14:paraId="486E1FC8" w14:textId="77777777" w:rsidR="005C7B30" w:rsidRDefault="005C7B30">
      <w:pPr>
        <w:spacing w:after="0" w:line="240" w:lineRule="auto"/>
      </w:pPr>
    </w:p>
  </w:footnote>
  <w:footnote w:id="2">
    <w:p w14:paraId="17C94B7B" w14:textId="77777777" w:rsidR="006369AA" w:rsidRDefault="006369AA" w:rsidP="006369AA">
      <w:pPr>
        <w:pStyle w:val="Textonotapie"/>
      </w:pPr>
      <w:r>
        <w:rPr>
          <w:rStyle w:val="Refdenotaalpie"/>
        </w:rPr>
        <w:footnoteRef/>
      </w:r>
      <w:r>
        <w:t xml:space="preserve"> Concepto similar al Producto Interno Bruto (PIB), sin incluir “otros elementos del PIB”- impuestos indirectos.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1FE3"/>
    <w:multiLevelType w:val="multilevel"/>
    <w:tmpl w:val="F870AC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9A57B2"/>
    <w:multiLevelType w:val="multilevel"/>
    <w:tmpl w:val="0140520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C0B3F1E"/>
    <w:multiLevelType w:val="multilevel"/>
    <w:tmpl w:val="228A6E8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63A731A"/>
    <w:multiLevelType w:val="multilevel"/>
    <w:tmpl w:val="E9BEA3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D4574F"/>
    <w:multiLevelType w:val="multilevel"/>
    <w:tmpl w:val="9702A8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31C2389"/>
    <w:multiLevelType w:val="multilevel"/>
    <w:tmpl w:val="DFC4F1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54340F"/>
    <w:multiLevelType w:val="hybridMultilevel"/>
    <w:tmpl w:val="5448DB66"/>
    <w:lvl w:ilvl="0" w:tplc="3FB21BA2">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F0B6DDD"/>
    <w:multiLevelType w:val="multilevel"/>
    <w:tmpl w:val="FBF446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1A7112F"/>
    <w:multiLevelType w:val="hybridMultilevel"/>
    <w:tmpl w:val="A02680E0"/>
    <w:lvl w:ilvl="0" w:tplc="5594925E">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6E27C2"/>
    <w:multiLevelType w:val="hybridMultilevel"/>
    <w:tmpl w:val="B6CE6EC8"/>
    <w:lvl w:ilvl="0" w:tplc="C3646922">
      <w:numFmt w:val="bullet"/>
      <w:lvlText w:val="-"/>
      <w:lvlJc w:val="left"/>
      <w:pPr>
        <w:ind w:left="1068" w:hanging="360"/>
      </w:pPr>
      <w:rPr>
        <w:rFonts w:ascii="Palatino Linotype" w:eastAsia="Calibri" w:hAnsi="Palatino Linotype" w:cs="Times New Roman" w:hint="default"/>
        <w:b/>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43293800"/>
    <w:multiLevelType w:val="multilevel"/>
    <w:tmpl w:val="2F588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5DD438C"/>
    <w:multiLevelType w:val="multilevel"/>
    <w:tmpl w:val="1E04F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71E66D8"/>
    <w:multiLevelType w:val="multilevel"/>
    <w:tmpl w:val="6330A7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8D53521"/>
    <w:multiLevelType w:val="hybridMultilevel"/>
    <w:tmpl w:val="C91E18EA"/>
    <w:lvl w:ilvl="0" w:tplc="08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5D7E68A9"/>
    <w:multiLevelType w:val="hybridMultilevel"/>
    <w:tmpl w:val="68E4921C"/>
    <w:lvl w:ilvl="0" w:tplc="E7BCDD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1733508"/>
    <w:multiLevelType w:val="multilevel"/>
    <w:tmpl w:val="6A0EFC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32C6054"/>
    <w:multiLevelType w:val="multilevel"/>
    <w:tmpl w:val="72408B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65291DE7"/>
    <w:multiLevelType w:val="multilevel"/>
    <w:tmpl w:val="D4B6E5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D120931"/>
    <w:multiLevelType w:val="multilevel"/>
    <w:tmpl w:val="8AD20A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ED10656"/>
    <w:multiLevelType w:val="hybridMultilevel"/>
    <w:tmpl w:val="474A5666"/>
    <w:lvl w:ilvl="0" w:tplc="99E45C3E">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72C5495B"/>
    <w:multiLevelType w:val="hybridMultilevel"/>
    <w:tmpl w:val="9F2CFED4"/>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2"/>
  </w:num>
  <w:num w:numId="3">
    <w:abstractNumId w:val="18"/>
  </w:num>
  <w:num w:numId="4">
    <w:abstractNumId w:val="3"/>
  </w:num>
  <w:num w:numId="5">
    <w:abstractNumId w:val="10"/>
  </w:num>
  <w:num w:numId="6">
    <w:abstractNumId w:val="4"/>
  </w:num>
  <w:num w:numId="7">
    <w:abstractNumId w:val="15"/>
  </w:num>
  <w:num w:numId="8">
    <w:abstractNumId w:val="17"/>
  </w:num>
  <w:num w:numId="9">
    <w:abstractNumId w:val="7"/>
  </w:num>
  <w:num w:numId="10">
    <w:abstractNumId w:val="5"/>
  </w:num>
  <w:num w:numId="11">
    <w:abstractNumId w:val="0"/>
  </w:num>
  <w:num w:numId="12">
    <w:abstractNumId w:val="12"/>
  </w:num>
  <w:num w:numId="13">
    <w:abstractNumId w:val="16"/>
  </w:num>
  <w:num w:numId="14">
    <w:abstractNumId w:val="11"/>
  </w:num>
  <w:num w:numId="15">
    <w:abstractNumId w:val="6"/>
  </w:num>
  <w:num w:numId="16">
    <w:abstractNumId w:val="20"/>
  </w:num>
  <w:num w:numId="17">
    <w:abstractNumId w:val="19"/>
  </w:num>
  <w:num w:numId="18">
    <w:abstractNumId w:val="13"/>
  </w:num>
  <w:num w:numId="19">
    <w:abstractNumId w:val="9"/>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FA3"/>
    <w:rsid w:val="000015B2"/>
    <w:rsid w:val="00006DE6"/>
    <w:rsid w:val="00012396"/>
    <w:rsid w:val="0001300B"/>
    <w:rsid w:val="0001371C"/>
    <w:rsid w:val="00015281"/>
    <w:rsid w:val="000168BA"/>
    <w:rsid w:val="000252B4"/>
    <w:rsid w:val="0002552C"/>
    <w:rsid w:val="000304ED"/>
    <w:rsid w:val="00040558"/>
    <w:rsid w:val="00044835"/>
    <w:rsid w:val="000453B4"/>
    <w:rsid w:val="00047DCE"/>
    <w:rsid w:val="00051CEE"/>
    <w:rsid w:val="00056EE1"/>
    <w:rsid w:val="00056FEA"/>
    <w:rsid w:val="00062CFE"/>
    <w:rsid w:val="00063006"/>
    <w:rsid w:val="00065208"/>
    <w:rsid w:val="00067C5A"/>
    <w:rsid w:val="00071BBD"/>
    <w:rsid w:val="000745E0"/>
    <w:rsid w:val="00083EFC"/>
    <w:rsid w:val="000879AA"/>
    <w:rsid w:val="00087B51"/>
    <w:rsid w:val="000927C4"/>
    <w:rsid w:val="000929F6"/>
    <w:rsid w:val="000969EE"/>
    <w:rsid w:val="000A0119"/>
    <w:rsid w:val="000A3312"/>
    <w:rsid w:val="000A3492"/>
    <w:rsid w:val="000A4087"/>
    <w:rsid w:val="000A6535"/>
    <w:rsid w:val="000A66F3"/>
    <w:rsid w:val="000B1A0D"/>
    <w:rsid w:val="000B1E33"/>
    <w:rsid w:val="000B4718"/>
    <w:rsid w:val="000B7131"/>
    <w:rsid w:val="000C113F"/>
    <w:rsid w:val="000D09E2"/>
    <w:rsid w:val="000D0F0C"/>
    <w:rsid w:val="000D321A"/>
    <w:rsid w:val="000D4A92"/>
    <w:rsid w:val="000D5E02"/>
    <w:rsid w:val="000D6577"/>
    <w:rsid w:val="000E08BC"/>
    <w:rsid w:val="000E3524"/>
    <w:rsid w:val="000E4E90"/>
    <w:rsid w:val="000E51EC"/>
    <w:rsid w:val="000E5B64"/>
    <w:rsid w:val="000E5CED"/>
    <w:rsid w:val="000E6FA8"/>
    <w:rsid w:val="000E752D"/>
    <w:rsid w:val="000F00DC"/>
    <w:rsid w:val="000F07DD"/>
    <w:rsid w:val="000F14EC"/>
    <w:rsid w:val="000F1EA5"/>
    <w:rsid w:val="000F67C3"/>
    <w:rsid w:val="000F765B"/>
    <w:rsid w:val="00100225"/>
    <w:rsid w:val="00100B0B"/>
    <w:rsid w:val="001016C1"/>
    <w:rsid w:val="00107F87"/>
    <w:rsid w:val="00110AE6"/>
    <w:rsid w:val="001116E9"/>
    <w:rsid w:val="00111A57"/>
    <w:rsid w:val="00120B52"/>
    <w:rsid w:val="00122A06"/>
    <w:rsid w:val="00123D16"/>
    <w:rsid w:val="00124983"/>
    <w:rsid w:val="00125650"/>
    <w:rsid w:val="001272B6"/>
    <w:rsid w:val="00131375"/>
    <w:rsid w:val="001323F9"/>
    <w:rsid w:val="00135C3C"/>
    <w:rsid w:val="001367D8"/>
    <w:rsid w:val="00136D7F"/>
    <w:rsid w:val="00137629"/>
    <w:rsid w:val="00140C09"/>
    <w:rsid w:val="00141455"/>
    <w:rsid w:val="00147CCD"/>
    <w:rsid w:val="00151C35"/>
    <w:rsid w:val="00152B1E"/>
    <w:rsid w:val="001546E8"/>
    <w:rsid w:val="00156C40"/>
    <w:rsid w:val="00156E40"/>
    <w:rsid w:val="00156EF1"/>
    <w:rsid w:val="0015749B"/>
    <w:rsid w:val="00157610"/>
    <w:rsid w:val="001576EC"/>
    <w:rsid w:val="00157F78"/>
    <w:rsid w:val="00164C94"/>
    <w:rsid w:val="00171C94"/>
    <w:rsid w:val="001728F3"/>
    <w:rsid w:val="00175955"/>
    <w:rsid w:val="00176493"/>
    <w:rsid w:val="00180479"/>
    <w:rsid w:val="001828EB"/>
    <w:rsid w:val="00182E85"/>
    <w:rsid w:val="00183A44"/>
    <w:rsid w:val="00187158"/>
    <w:rsid w:val="00187E46"/>
    <w:rsid w:val="00187EC3"/>
    <w:rsid w:val="00187EFD"/>
    <w:rsid w:val="0019035D"/>
    <w:rsid w:val="0019177F"/>
    <w:rsid w:val="00192E3B"/>
    <w:rsid w:val="00194BEB"/>
    <w:rsid w:val="001A0BC1"/>
    <w:rsid w:val="001A0DD6"/>
    <w:rsid w:val="001A1854"/>
    <w:rsid w:val="001A1BA0"/>
    <w:rsid w:val="001A227A"/>
    <w:rsid w:val="001A31F3"/>
    <w:rsid w:val="001A4FCD"/>
    <w:rsid w:val="001A5126"/>
    <w:rsid w:val="001A63DE"/>
    <w:rsid w:val="001B3710"/>
    <w:rsid w:val="001B42EF"/>
    <w:rsid w:val="001B4816"/>
    <w:rsid w:val="001B4F6A"/>
    <w:rsid w:val="001B50D6"/>
    <w:rsid w:val="001B552B"/>
    <w:rsid w:val="001B5E52"/>
    <w:rsid w:val="001B6AAA"/>
    <w:rsid w:val="001B74F4"/>
    <w:rsid w:val="001B78A9"/>
    <w:rsid w:val="001C03CD"/>
    <w:rsid w:val="001C2152"/>
    <w:rsid w:val="001C4EF2"/>
    <w:rsid w:val="001C6885"/>
    <w:rsid w:val="001C7A93"/>
    <w:rsid w:val="001D0403"/>
    <w:rsid w:val="001D145D"/>
    <w:rsid w:val="001D1B91"/>
    <w:rsid w:val="001D1EED"/>
    <w:rsid w:val="001D37E0"/>
    <w:rsid w:val="001D4D28"/>
    <w:rsid w:val="001D6034"/>
    <w:rsid w:val="001D67E6"/>
    <w:rsid w:val="001E786B"/>
    <w:rsid w:val="001F4C21"/>
    <w:rsid w:val="001F7778"/>
    <w:rsid w:val="00200217"/>
    <w:rsid w:val="00200F7E"/>
    <w:rsid w:val="0020166A"/>
    <w:rsid w:val="00206DB4"/>
    <w:rsid w:val="0021018A"/>
    <w:rsid w:val="002122A5"/>
    <w:rsid w:val="00212CAA"/>
    <w:rsid w:val="0021533F"/>
    <w:rsid w:val="00216CAE"/>
    <w:rsid w:val="002228BE"/>
    <w:rsid w:val="00223942"/>
    <w:rsid w:val="00224817"/>
    <w:rsid w:val="00224BB5"/>
    <w:rsid w:val="00226F52"/>
    <w:rsid w:val="00227475"/>
    <w:rsid w:val="00236349"/>
    <w:rsid w:val="002424E0"/>
    <w:rsid w:val="0024291A"/>
    <w:rsid w:val="00245DEA"/>
    <w:rsid w:val="0024755A"/>
    <w:rsid w:val="002532D1"/>
    <w:rsid w:val="00253685"/>
    <w:rsid w:val="002537AF"/>
    <w:rsid w:val="00254E88"/>
    <w:rsid w:val="00262450"/>
    <w:rsid w:val="00264933"/>
    <w:rsid w:val="00265101"/>
    <w:rsid w:val="00270559"/>
    <w:rsid w:val="002713D2"/>
    <w:rsid w:val="002716AC"/>
    <w:rsid w:val="002728EC"/>
    <w:rsid w:val="00275702"/>
    <w:rsid w:val="00285436"/>
    <w:rsid w:val="00287F18"/>
    <w:rsid w:val="002906FF"/>
    <w:rsid w:val="00291761"/>
    <w:rsid w:val="00295EF7"/>
    <w:rsid w:val="0029719A"/>
    <w:rsid w:val="002A1C53"/>
    <w:rsid w:val="002A2ACA"/>
    <w:rsid w:val="002A31A6"/>
    <w:rsid w:val="002A4925"/>
    <w:rsid w:val="002A5515"/>
    <w:rsid w:val="002A5ECF"/>
    <w:rsid w:val="002B0AB1"/>
    <w:rsid w:val="002B3461"/>
    <w:rsid w:val="002C022A"/>
    <w:rsid w:val="002C0761"/>
    <w:rsid w:val="002C3E88"/>
    <w:rsid w:val="002C434E"/>
    <w:rsid w:val="002C43B1"/>
    <w:rsid w:val="002C4C04"/>
    <w:rsid w:val="002C6553"/>
    <w:rsid w:val="002D0384"/>
    <w:rsid w:val="002D0C4C"/>
    <w:rsid w:val="002D235A"/>
    <w:rsid w:val="002D4660"/>
    <w:rsid w:val="002D69D9"/>
    <w:rsid w:val="002D7517"/>
    <w:rsid w:val="002E1944"/>
    <w:rsid w:val="002E4DC2"/>
    <w:rsid w:val="002E5545"/>
    <w:rsid w:val="002F1745"/>
    <w:rsid w:val="002F3DF3"/>
    <w:rsid w:val="002F5B7D"/>
    <w:rsid w:val="002F5BCA"/>
    <w:rsid w:val="002F5D17"/>
    <w:rsid w:val="002F5E7C"/>
    <w:rsid w:val="002F6450"/>
    <w:rsid w:val="003030F7"/>
    <w:rsid w:val="00303E6B"/>
    <w:rsid w:val="003059B2"/>
    <w:rsid w:val="003108E2"/>
    <w:rsid w:val="00310A6E"/>
    <w:rsid w:val="0031203E"/>
    <w:rsid w:val="00312D66"/>
    <w:rsid w:val="00316FAA"/>
    <w:rsid w:val="0032648D"/>
    <w:rsid w:val="00327C20"/>
    <w:rsid w:val="00330C70"/>
    <w:rsid w:val="003350CF"/>
    <w:rsid w:val="00335415"/>
    <w:rsid w:val="00341DD1"/>
    <w:rsid w:val="00345B8F"/>
    <w:rsid w:val="003508A4"/>
    <w:rsid w:val="00352A44"/>
    <w:rsid w:val="003532BE"/>
    <w:rsid w:val="00354EDD"/>
    <w:rsid w:val="00357F44"/>
    <w:rsid w:val="00361F45"/>
    <w:rsid w:val="00365236"/>
    <w:rsid w:val="0037330E"/>
    <w:rsid w:val="0037658F"/>
    <w:rsid w:val="00376757"/>
    <w:rsid w:val="00377995"/>
    <w:rsid w:val="003840E5"/>
    <w:rsid w:val="0038469A"/>
    <w:rsid w:val="003852CC"/>
    <w:rsid w:val="00391F50"/>
    <w:rsid w:val="003949BB"/>
    <w:rsid w:val="00395FA1"/>
    <w:rsid w:val="00396707"/>
    <w:rsid w:val="003974B6"/>
    <w:rsid w:val="003A21A3"/>
    <w:rsid w:val="003A3A09"/>
    <w:rsid w:val="003A6C12"/>
    <w:rsid w:val="003A7D8A"/>
    <w:rsid w:val="003B01BD"/>
    <w:rsid w:val="003B034F"/>
    <w:rsid w:val="003B147F"/>
    <w:rsid w:val="003B2454"/>
    <w:rsid w:val="003B2F72"/>
    <w:rsid w:val="003B31D0"/>
    <w:rsid w:val="003B408C"/>
    <w:rsid w:val="003B43A2"/>
    <w:rsid w:val="003B498A"/>
    <w:rsid w:val="003C064C"/>
    <w:rsid w:val="003C0AA9"/>
    <w:rsid w:val="003C3093"/>
    <w:rsid w:val="003C3BBE"/>
    <w:rsid w:val="003C67FB"/>
    <w:rsid w:val="003D45C7"/>
    <w:rsid w:val="003D5ADA"/>
    <w:rsid w:val="003D743C"/>
    <w:rsid w:val="003E3147"/>
    <w:rsid w:val="003E4208"/>
    <w:rsid w:val="003E517A"/>
    <w:rsid w:val="003E57FB"/>
    <w:rsid w:val="003E7D4C"/>
    <w:rsid w:val="003F326F"/>
    <w:rsid w:val="003F3426"/>
    <w:rsid w:val="003F62C2"/>
    <w:rsid w:val="003F6507"/>
    <w:rsid w:val="003F6FF3"/>
    <w:rsid w:val="00400916"/>
    <w:rsid w:val="00402A58"/>
    <w:rsid w:val="00404E3B"/>
    <w:rsid w:val="00405D27"/>
    <w:rsid w:val="00407A55"/>
    <w:rsid w:val="00412283"/>
    <w:rsid w:val="00413363"/>
    <w:rsid w:val="00415CF3"/>
    <w:rsid w:val="0042498F"/>
    <w:rsid w:val="00424CEB"/>
    <w:rsid w:val="00430358"/>
    <w:rsid w:val="0043241F"/>
    <w:rsid w:val="004325DB"/>
    <w:rsid w:val="00433654"/>
    <w:rsid w:val="004362F7"/>
    <w:rsid w:val="00437CFC"/>
    <w:rsid w:val="00441AF9"/>
    <w:rsid w:val="004433B1"/>
    <w:rsid w:val="00444D96"/>
    <w:rsid w:val="0045519B"/>
    <w:rsid w:val="00457166"/>
    <w:rsid w:val="00457C85"/>
    <w:rsid w:val="00457C89"/>
    <w:rsid w:val="004614DA"/>
    <w:rsid w:val="00467DB2"/>
    <w:rsid w:val="00470CC7"/>
    <w:rsid w:val="00475AF3"/>
    <w:rsid w:val="00475DF7"/>
    <w:rsid w:val="0047653D"/>
    <w:rsid w:val="00484335"/>
    <w:rsid w:val="00485A90"/>
    <w:rsid w:val="00486609"/>
    <w:rsid w:val="00487953"/>
    <w:rsid w:val="0049020B"/>
    <w:rsid w:val="004956C3"/>
    <w:rsid w:val="004A0DBF"/>
    <w:rsid w:val="004A2F67"/>
    <w:rsid w:val="004A665F"/>
    <w:rsid w:val="004A7095"/>
    <w:rsid w:val="004B00F2"/>
    <w:rsid w:val="004B0726"/>
    <w:rsid w:val="004B1698"/>
    <w:rsid w:val="004B3B14"/>
    <w:rsid w:val="004B43A1"/>
    <w:rsid w:val="004B44EF"/>
    <w:rsid w:val="004B5C39"/>
    <w:rsid w:val="004B71B5"/>
    <w:rsid w:val="004B71C6"/>
    <w:rsid w:val="004C1111"/>
    <w:rsid w:val="004C193E"/>
    <w:rsid w:val="004C323E"/>
    <w:rsid w:val="004C3348"/>
    <w:rsid w:val="004C450B"/>
    <w:rsid w:val="004C74BD"/>
    <w:rsid w:val="004D336A"/>
    <w:rsid w:val="004D753A"/>
    <w:rsid w:val="004E0AF6"/>
    <w:rsid w:val="004E48C4"/>
    <w:rsid w:val="004F01A1"/>
    <w:rsid w:val="004F2BB8"/>
    <w:rsid w:val="004F2FCF"/>
    <w:rsid w:val="004F77CE"/>
    <w:rsid w:val="005000F7"/>
    <w:rsid w:val="00501503"/>
    <w:rsid w:val="0050467F"/>
    <w:rsid w:val="005055BD"/>
    <w:rsid w:val="00506F81"/>
    <w:rsid w:val="0050702E"/>
    <w:rsid w:val="00507E9E"/>
    <w:rsid w:val="00511723"/>
    <w:rsid w:val="00511C0A"/>
    <w:rsid w:val="0051368C"/>
    <w:rsid w:val="005163EC"/>
    <w:rsid w:val="00520AD9"/>
    <w:rsid w:val="00531606"/>
    <w:rsid w:val="005336EE"/>
    <w:rsid w:val="005349FB"/>
    <w:rsid w:val="0053578D"/>
    <w:rsid w:val="005359D3"/>
    <w:rsid w:val="00535AA5"/>
    <w:rsid w:val="00535FE5"/>
    <w:rsid w:val="005366DD"/>
    <w:rsid w:val="00536FA3"/>
    <w:rsid w:val="00540BC2"/>
    <w:rsid w:val="005423A1"/>
    <w:rsid w:val="00544D53"/>
    <w:rsid w:val="00545D22"/>
    <w:rsid w:val="00550B87"/>
    <w:rsid w:val="00550D36"/>
    <w:rsid w:val="005513E1"/>
    <w:rsid w:val="005526E8"/>
    <w:rsid w:val="00552EB3"/>
    <w:rsid w:val="00553E99"/>
    <w:rsid w:val="00554F87"/>
    <w:rsid w:val="005556E5"/>
    <w:rsid w:val="00556036"/>
    <w:rsid w:val="00557220"/>
    <w:rsid w:val="00557AB2"/>
    <w:rsid w:val="00557EB7"/>
    <w:rsid w:val="00557FE3"/>
    <w:rsid w:val="005604F9"/>
    <w:rsid w:val="0056102C"/>
    <w:rsid w:val="00565766"/>
    <w:rsid w:val="005713BB"/>
    <w:rsid w:val="005718E4"/>
    <w:rsid w:val="00571D0F"/>
    <w:rsid w:val="00573B6E"/>
    <w:rsid w:val="005752D3"/>
    <w:rsid w:val="0057554B"/>
    <w:rsid w:val="00577C64"/>
    <w:rsid w:val="00580321"/>
    <w:rsid w:val="00582B27"/>
    <w:rsid w:val="005830CF"/>
    <w:rsid w:val="00591657"/>
    <w:rsid w:val="00595040"/>
    <w:rsid w:val="00595518"/>
    <w:rsid w:val="005A0DA2"/>
    <w:rsid w:val="005A1FBD"/>
    <w:rsid w:val="005A3352"/>
    <w:rsid w:val="005A3CD9"/>
    <w:rsid w:val="005A6A44"/>
    <w:rsid w:val="005A712E"/>
    <w:rsid w:val="005A7BA5"/>
    <w:rsid w:val="005B0DED"/>
    <w:rsid w:val="005B248F"/>
    <w:rsid w:val="005B2980"/>
    <w:rsid w:val="005B4AC3"/>
    <w:rsid w:val="005B5F7D"/>
    <w:rsid w:val="005B6A88"/>
    <w:rsid w:val="005C0015"/>
    <w:rsid w:val="005C2A9F"/>
    <w:rsid w:val="005C58BD"/>
    <w:rsid w:val="005C5D33"/>
    <w:rsid w:val="005C7B30"/>
    <w:rsid w:val="005D2A96"/>
    <w:rsid w:val="005D39E2"/>
    <w:rsid w:val="005D54AF"/>
    <w:rsid w:val="005D57A9"/>
    <w:rsid w:val="005D7B72"/>
    <w:rsid w:val="005D7BE9"/>
    <w:rsid w:val="005E0ED3"/>
    <w:rsid w:val="005E12A5"/>
    <w:rsid w:val="005E1B35"/>
    <w:rsid w:val="005E22B6"/>
    <w:rsid w:val="005E2A7A"/>
    <w:rsid w:val="005E4059"/>
    <w:rsid w:val="005E6BBB"/>
    <w:rsid w:val="005F06EB"/>
    <w:rsid w:val="005F26D2"/>
    <w:rsid w:val="005F2DBC"/>
    <w:rsid w:val="005F3472"/>
    <w:rsid w:val="005F6034"/>
    <w:rsid w:val="005F675A"/>
    <w:rsid w:val="005F6A88"/>
    <w:rsid w:val="0060346C"/>
    <w:rsid w:val="006038BC"/>
    <w:rsid w:val="00603F02"/>
    <w:rsid w:val="00604351"/>
    <w:rsid w:val="006052AF"/>
    <w:rsid w:val="006052BC"/>
    <w:rsid w:val="00605694"/>
    <w:rsid w:val="0060585A"/>
    <w:rsid w:val="00607EFA"/>
    <w:rsid w:val="006101DC"/>
    <w:rsid w:val="00611597"/>
    <w:rsid w:val="00612DCB"/>
    <w:rsid w:val="00613D00"/>
    <w:rsid w:val="006142F1"/>
    <w:rsid w:val="00616FF3"/>
    <w:rsid w:val="00622377"/>
    <w:rsid w:val="00623C63"/>
    <w:rsid w:val="00624B52"/>
    <w:rsid w:val="00625C6F"/>
    <w:rsid w:val="00626324"/>
    <w:rsid w:val="00627726"/>
    <w:rsid w:val="00631D55"/>
    <w:rsid w:val="00631E55"/>
    <w:rsid w:val="006369AA"/>
    <w:rsid w:val="00640C4E"/>
    <w:rsid w:val="00641FF9"/>
    <w:rsid w:val="00642D87"/>
    <w:rsid w:val="00650448"/>
    <w:rsid w:val="00651A7A"/>
    <w:rsid w:val="0065263F"/>
    <w:rsid w:val="00652F51"/>
    <w:rsid w:val="00653598"/>
    <w:rsid w:val="00653C7E"/>
    <w:rsid w:val="00656CFE"/>
    <w:rsid w:val="00657536"/>
    <w:rsid w:val="006612ED"/>
    <w:rsid w:val="006630F5"/>
    <w:rsid w:val="0066380C"/>
    <w:rsid w:val="0066575E"/>
    <w:rsid w:val="006657CA"/>
    <w:rsid w:val="006659DB"/>
    <w:rsid w:val="00677582"/>
    <w:rsid w:val="006816C6"/>
    <w:rsid w:val="00681918"/>
    <w:rsid w:val="006834C1"/>
    <w:rsid w:val="00684E61"/>
    <w:rsid w:val="00685861"/>
    <w:rsid w:val="00685DA1"/>
    <w:rsid w:val="0068703D"/>
    <w:rsid w:val="0068727C"/>
    <w:rsid w:val="006877F1"/>
    <w:rsid w:val="00690D48"/>
    <w:rsid w:val="006937BD"/>
    <w:rsid w:val="00693CA8"/>
    <w:rsid w:val="00696F04"/>
    <w:rsid w:val="006B12F4"/>
    <w:rsid w:val="006B1B15"/>
    <w:rsid w:val="006B221A"/>
    <w:rsid w:val="006B2931"/>
    <w:rsid w:val="006B4367"/>
    <w:rsid w:val="006C008B"/>
    <w:rsid w:val="006C21A0"/>
    <w:rsid w:val="006C559E"/>
    <w:rsid w:val="006D0BB9"/>
    <w:rsid w:val="006D2F8B"/>
    <w:rsid w:val="006D3B1D"/>
    <w:rsid w:val="006D727A"/>
    <w:rsid w:val="006D7789"/>
    <w:rsid w:val="006D798E"/>
    <w:rsid w:val="006E1833"/>
    <w:rsid w:val="006E21F7"/>
    <w:rsid w:val="006E5ACF"/>
    <w:rsid w:val="006F492E"/>
    <w:rsid w:val="006F6219"/>
    <w:rsid w:val="006F67B0"/>
    <w:rsid w:val="00703978"/>
    <w:rsid w:val="0070442C"/>
    <w:rsid w:val="00705128"/>
    <w:rsid w:val="007073CC"/>
    <w:rsid w:val="00710238"/>
    <w:rsid w:val="00711EA0"/>
    <w:rsid w:val="00714E67"/>
    <w:rsid w:val="00720D5B"/>
    <w:rsid w:val="00722A1B"/>
    <w:rsid w:val="00723B9C"/>
    <w:rsid w:val="00724232"/>
    <w:rsid w:val="00724BE3"/>
    <w:rsid w:val="00725348"/>
    <w:rsid w:val="00733B25"/>
    <w:rsid w:val="0073568A"/>
    <w:rsid w:val="00737843"/>
    <w:rsid w:val="0074236F"/>
    <w:rsid w:val="00744108"/>
    <w:rsid w:val="0074425F"/>
    <w:rsid w:val="00744820"/>
    <w:rsid w:val="00744D47"/>
    <w:rsid w:val="00744EAC"/>
    <w:rsid w:val="007459EB"/>
    <w:rsid w:val="00751254"/>
    <w:rsid w:val="00752139"/>
    <w:rsid w:val="00756142"/>
    <w:rsid w:val="00756C30"/>
    <w:rsid w:val="00756E59"/>
    <w:rsid w:val="00756F2E"/>
    <w:rsid w:val="007639E6"/>
    <w:rsid w:val="00765F89"/>
    <w:rsid w:val="007669CF"/>
    <w:rsid w:val="00767970"/>
    <w:rsid w:val="00772B42"/>
    <w:rsid w:val="00785C05"/>
    <w:rsid w:val="00785FE8"/>
    <w:rsid w:val="0078790A"/>
    <w:rsid w:val="007918AA"/>
    <w:rsid w:val="00792232"/>
    <w:rsid w:val="00794A6B"/>
    <w:rsid w:val="007963D4"/>
    <w:rsid w:val="007A06B8"/>
    <w:rsid w:val="007A083E"/>
    <w:rsid w:val="007A084C"/>
    <w:rsid w:val="007A1226"/>
    <w:rsid w:val="007A2AE5"/>
    <w:rsid w:val="007A34E2"/>
    <w:rsid w:val="007A73A9"/>
    <w:rsid w:val="007A7807"/>
    <w:rsid w:val="007A79D8"/>
    <w:rsid w:val="007B1E72"/>
    <w:rsid w:val="007B469B"/>
    <w:rsid w:val="007B5C2F"/>
    <w:rsid w:val="007B609B"/>
    <w:rsid w:val="007B7694"/>
    <w:rsid w:val="007B7DC9"/>
    <w:rsid w:val="007C001E"/>
    <w:rsid w:val="007C0249"/>
    <w:rsid w:val="007C1BF1"/>
    <w:rsid w:val="007C30DA"/>
    <w:rsid w:val="007C6206"/>
    <w:rsid w:val="007C7C21"/>
    <w:rsid w:val="007D075B"/>
    <w:rsid w:val="007D4594"/>
    <w:rsid w:val="007D59A9"/>
    <w:rsid w:val="007E51F1"/>
    <w:rsid w:val="007E74CE"/>
    <w:rsid w:val="007F64D7"/>
    <w:rsid w:val="00801A4B"/>
    <w:rsid w:val="00803767"/>
    <w:rsid w:val="00807FBB"/>
    <w:rsid w:val="00815D62"/>
    <w:rsid w:val="00821D91"/>
    <w:rsid w:val="00823136"/>
    <w:rsid w:val="00827DDE"/>
    <w:rsid w:val="008312F3"/>
    <w:rsid w:val="0083266F"/>
    <w:rsid w:val="00835900"/>
    <w:rsid w:val="00841B2D"/>
    <w:rsid w:val="00842D91"/>
    <w:rsid w:val="00845B5D"/>
    <w:rsid w:val="00855381"/>
    <w:rsid w:val="00856299"/>
    <w:rsid w:val="00861AA8"/>
    <w:rsid w:val="008622D3"/>
    <w:rsid w:val="00871FAF"/>
    <w:rsid w:val="0087534E"/>
    <w:rsid w:val="00875394"/>
    <w:rsid w:val="00877224"/>
    <w:rsid w:val="008808D6"/>
    <w:rsid w:val="00890362"/>
    <w:rsid w:val="00890A12"/>
    <w:rsid w:val="0089326A"/>
    <w:rsid w:val="00894CAF"/>
    <w:rsid w:val="008A1372"/>
    <w:rsid w:val="008A34E2"/>
    <w:rsid w:val="008B2BFE"/>
    <w:rsid w:val="008B3576"/>
    <w:rsid w:val="008B3B0A"/>
    <w:rsid w:val="008B4B67"/>
    <w:rsid w:val="008B4C98"/>
    <w:rsid w:val="008B4D26"/>
    <w:rsid w:val="008B517F"/>
    <w:rsid w:val="008B5F59"/>
    <w:rsid w:val="008C0588"/>
    <w:rsid w:val="008C0F8F"/>
    <w:rsid w:val="008C20C6"/>
    <w:rsid w:val="008C71D0"/>
    <w:rsid w:val="008C73E5"/>
    <w:rsid w:val="008C7685"/>
    <w:rsid w:val="008C78B9"/>
    <w:rsid w:val="008D1089"/>
    <w:rsid w:val="008D393B"/>
    <w:rsid w:val="008D6E09"/>
    <w:rsid w:val="008E131C"/>
    <w:rsid w:val="008E2BDF"/>
    <w:rsid w:val="008E2CB6"/>
    <w:rsid w:val="008E6EF0"/>
    <w:rsid w:val="008E73D8"/>
    <w:rsid w:val="008E747C"/>
    <w:rsid w:val="008F1527"/>
    <w:rsid w:val="008F3A03"/>
    <w:rsid w:val="008F4389"/>
    <w:rsid w:val="009026B1"/>
    <w:rsid w:val="00903E18"/>
    <w:rsid w:val="00914750"/>
    <w:rsid w:val="00915100"/>
    <w:rsid w:val="00917CD8"/>
    <w:rsid w:val="00920302"/>
    <w:rsid w:val="00932D58"/>
    <w:rsid w:val="0094115E"/>
    <w:rsid w:val="009434AA"/>
    <w:rsid w:val="009436AF"/>
    <w:rsid w:val="00946FF4"/>
    <w:rsid w:val="009501DD"/>
    <w:rsid w:val="00950570"/>
    <w:rsid w:val="0095612E"/>
    <w:rsid w:val="009567A3"/>
    <w:rsid w:val="0095790D"/>
    <w:rsid w:val="00960B1E"/>
    <w:rsid w:val="0096634F"/>
    <w:rsid w:val="0096664D"/>
    <w:rsid w:val="00970735"/>
    <w:rsid w:val="0097345D"/>
    <w:rsid w:val="00980BEE"/>
    <w:rsid w:val="00985450"/>
    <w:rsid w:val="00986A4C"/>
    <w:rsid w:val="00986B34"/>
    <w:rsid w:val="00987E65"/>
    <w:rsid w:val="00987E79"/>
    <w:rsid w:val="00987FD7"/>
    <w:rsid w:val="009908F8"/>
    <w:rsid w:val="009A01D7"/>
    <w:rsid w:val="009A1A0A"/>
    <w:rsid w:val="009A2703"/>
    <w:rsid w:val="009A5B66"/>
    <w:rsid w:val="009A6136"/>
    <w:rsid w:val="009A7C34"/>
    <w:rsid w:val="009B0FC4"/>
    <w:rsid w:val="009B2AFE"/>
    <w:rsid w:val="009B4A94"/>
    <w:rsid w:val="009B57DF"/>
    <w:rsid w:val="009B5E1B"/>
    <w:rsid w:val="009B6043"/>
    <w:rsid w:val="009B6427"/>
    <w:rsid w:val="009B73AA"/>
    <w:rsid w:val="009B7485"/>
    <w:rsid w:val="009C18E8"/>
    <w:rsid w:val="009C431B"/>
    <w:rsid w:val="009C4988"/>
    <w:rsid w:val="009C517C"/>
    <w:rsid w:val="009C6F76"/>
    <w:rsid w:val="009D0C5E"/>
    <w:rsid w:val="009D3B34"/>
    <w:rsid w:val="009D6808"/>
    <w:rsid w:val="009D71E0"/>
    <w:rsid w:val="009E0986"/>
    <w:rsid w:val="009E24E5"/>
    <w:rsid w:val="009E3C30"/>
    <w:rsid w:val="009E42A9"/>
    <w:rsid w:val="009E4573"/>
    <w:rsid w:val="009E5503"/>
    <w:rsid w:val="009E5E55"/>
    <w:rsid w:val="009E66B6"/>
    <w:rsid w:val="009E777F"/>
    <w:rsid w:val="009E7E19"/>
    <w:rsid w:val="009F05E3"/>
    <w:rsid w:val="009F0757"/>
    <w:rsid w:val="009F22A3"/>
    <w:rsid w:val="009F34EB"/>
    <w:rsid w:val="009F415E"/>
    <w:rsid w:val="00A01077"/>
    <w:rsid w:val="00A158A4"/>
    <w:rsid w:val="00A15D02"/>
    <w:rsid w:val="00A17F12"/>
    <w:rsid w:val="00A210A0"/>
    <w:rsid w:val="00A24DC5"/>
    <w:rsid w:val="00A251F9"/>
    <w:rsid w:val="00A37EE5"/>
    <w:rsid w:val="00A40252"/>
    <w:rsid w:val="00A409F2"/>
    <w:rsid w:val="00A4131E"/>
    <w:rsid w:val="00A424DE"/>
    <w:rsid w:val="00A4419E"/>
    <w:rsid w:val="00A45DD0"/>
    <w:rsid w:val="00A47330"/>
    <w:rsid w:val="00A533E1"/>
    <w:rsid w:val="00A61F83"/>
    <w:rsid w:val="00A61FB2"/>
    <w:rsid w:val="00A63214"/>
    <w:rsid w:val="00A6514B"/>
    <w:rsid w:val="00A65443"/>
    <w:rsid w:val="00A66853"/>
    <w:rsid w:val="00A671EB"/>
    <w:rsid w:val="00A7497E"/>
    <w:rsid w:val="00A759E6"/>
    <w:rsid w:val="00A85670"/>
    <w:rsid w:val="00A86923"/>
    <w:rsid w:val="00A928D1"/>
    <w:rsid w:val="00AA0101"/>
    <w:rsid w:val="00AA5BA5"/>
    <w:rsid w:val="00AA5CD5"/>
    <w:rsid w:val="00AB2FB4"/>
    <w:rsid w:val="00AB4C94"/>
    <w:rsid w:val="00AB5047"/>
    <w:rsid w:val="00AC04A2"/>
    <w:rsid w:val="00AC2F33"/>
    <w:rsid w:val="00AC3C55"/>
    <w:rsid w:val="00AC47AF"/>
    <w:rsid w:val="00AC59EE"/>
    <w:rsid w:val="00AD1576"/>
    <w:rsid w:val="00AD33B2"/>
    <w:rsid w:val="00AD390A"/>
    <w:rsid w:val="00AD4736"/>
    <w:rsid w:val="00AE1C14"/>
    <w:rsid w:val="00AE3A85"/>
    <w:rsid w:val="00AE492B"/>
    <w:rsid w:val="00AE55A6"/>
    <w:rsid w:val="00AE5F2A"/>
    <w:rsid w:val="00AF0DC3"/>
    <w:rsid w:val="00AF602A"/>
    <w:rsid w:val="00B01D35"/>
    <w:rsid w:val="00B02910"/>
    <w:rsid w:val="00B0483E"/>
    <w:rsid w:val="00B06806"/>
    <w:rsid w:val="00B11837"/>
    <w:rsid w:val="00B172B7"/>
    <w:rsid w:val="00B20A1D"/>
    <w:rsid w:val="00B26D29"/>
    <w:rsid w:val="00B311BE"/>
    <w:rsid w:val="00B314F7"/>
    <w:rsid w:val="00B322BB"/>
    <w:rsid w:val="00B34C90"/>
    <w:rsid w:val="00B3565B"/>
    <w:rsid w:val="00B36F41"/>
    <w:rsid w:val="00B3704F"/>
    <w:rsid w:val="00B410AE"/>
    <w:rsid w:val="00B4329E"/>
    <w:rsid w:val="00B43AEF"/>
    <w:rsid w:val="00B44B45"/>
    <w:rsid w:val="00B47ED3"/>
    <w:rsid w:val="00B53BBA"/>
    <w:rsid w:val="00B5426D"/>
    <w:rsid w:val="00B56CE4"/>
    <w:rsid w:val="00B570E0"/>
    <w:rsid w:val="00B575BD"/>
    <w:rsid w:val="00B57B84"/>
    <w:rsid w:val="00B60BE6"/>
    <w:rsid w:val="00B62728"/>
    <w:rsid w:val="00B642AB"/>
    <w:rsid w:val="00B64703"/>
    <w:rsid w:val="00B64BEF"/>
    <w:rsid w:val="00B674A8"/>
    <w:rsid w:val="00B72A32"/>
    <w:rsid w:val="00B73228"/>
    <w:rsid w:val="00B73ADD"/>
    <w:rsid w:val="00B74B3A"/>
    <w:rsid w:val="00B75527"/>
    <w:rsid w:val="00B773D2"/>
    <w:rsid w:val="00B80FFE"/>
    <w:rsid w:val="00B816F0"/>
    <w:rsid w:val="00B81CFC"/>
    <w:rsid w:val="00B83914"/>
    <w:rsid w:val="00B84BCF"/>
    <w:rsid w:val="00B856AD"/>
    <w:rsid w:val="00B85AF7"/>
    <w:rsid w:val="00B86B2F"/>
    <w:rsid w:val="00B87448"/>
    <w:rsid w:val="00B90714"/>
    <w:rsid w:val="00B90949"/>
    <w:rsid w:val="00B90D45"/>
    <w:rsid w:val="00B93C06"/>
    <w:rsid w:val="00B96664"/>
    <w:rsid w:val="00B97D6F"/>
    <w:rsid w:val="00BA3E75"/>
    <w:rsid w:val="00BA57FF"/>
    <w:rsid w:val="00BA5E32"/>
    <w:rsid w:val="00BA6556"/>
    <w:rsid w:val="00BB2D64"/>
    <w:rsid w:val="00BB43C8"/>
    <w:rsid w:val="00BC0F5B"/>
    <w:rsid w:val="00BC15D0"/>
    <w:rsid w:val="00BC227E"/>
    <w:rsid w:val="00BC3960"/>
    <w:rsid w:val="00BC494A"/>
    <w:rsid w:val="00BC4F72"/>
    <w:rsid w:val="00BC735D"/>
    <w:rsid w:val="00BC7D4E"/>
    <w:rsid w:val="00BD0F77"/>
    <w:rsid w:val="00BD3BA7"/>
    <w:rsid w:val="00BD64DE"/>
    <w:rsid w:val="00BD75E0"/>
    <w:rsid w:val="00BD77F0"/>
    <w:rsid w:val="00BE2287"/>
    <w:rsid w:val="00BE2F3B"/>
    <w:rsid w:val="00BE3F49"/>
    <w:rsid w:val="00BE5B7C"/>
    <w:rsid w:val="00BF4574"/>
    <w:rsid w:val="00BF6CA1"/>
    <w:rsid w:val="00C04ADD"/>
    <w:rsid w:val="00C04CC8"/>
    <w:rsid w:val="00C10561"/>
    <w:rsid w:val="00C11C79"/>
    <w:rsid w:val="00C12DC9"/>
    <w:rsid w:val="00C131FC"/>
    <w:rsid w:val="00C20469"/>
    <w:rsid w:val="00C20C9F"/>
    <w:rsid w:val="00C21100"/>
    <w:rsid w:val="00C22284"/>
    <w:rsid w:val="00C2249B"/>
    <w:rsid w:val="00C22605"/>
    <w:rsid w:val="00C264B5"/>
    <w:rsid w:val="00C2766D"/>
    <w:rsid w:val="00C301BD"/>
    <w:rsid w:val="00C31607"/>
    <w:rsid w:val="00C367C9"/>
    <w:rsid w:val="00C40577"/>
    <w:rsid w:val="00C450C5"/>
    <w:rsid w:val="00C57CB7"/>
    <w:rsid w:val="00C613C5"/>
    <w:rsid w:val="00C6688A"/>
    <w:rsid w:val="00C70AAF"/>
    <w:rsid w:val="00C70CBD"/>
    <w:rsid w:val="00C710FE"/>
    <w:rsid w:val="00C75143"/>
    <w:rsid w:val="00C75A74"/>
    <w:rsid w:val="00C75CA7"/>
    <w:rsid w:val="00C807AF"/>
    <w:rsid w:val="00C825CA"/>
    <w:rsid w:val="00C8373E"/>
    <w:rsid w:val="00C83F43"/>
    <w:rsid w:val="00C85336"/>
    <w:rsid w:val="00C85539"/>
    <w:rsid w:val="00C85854"/>
    <w:rsid w:val="00C9539B"/>
    <w:rsid w:val="00C95411"/>
    <w:rsid w:val="00C97055"/>
    <w:rsid w:val="00CA0014"/>
    <w:rsid w:val="00CA409C"/>
    <w:rsid w:val="00CA5411"/>
    <w:rsid w:val="00CB0358"/>
    <w:rsid w:val="00CB13A3"/>
    <w:rsid w:val="00CB149E"/>
    <w:rsid w:val="00CB291E"/>
    <w:rsid w:val="00CB514F"/>
    <w:rsid w:val="00CB6676"/>
    <w:rsid w:val="00CC16C0"/>
    <w:rsid w:val="00CC17CA"/>
    <w:rsid w:val="00CC285A"/>
    <w:rsid w:val="00CC6C91"/>
    <w:rsid w:val="00CC7580"/>
    <w:rsid w:val="00CD0ABB"/>
    <w:rsid w:val="00CD2A6E"/>
    <w:rsid w:val="00CD3C75"/>
    <w:rsid w:val="00CD4D49"/>
    <w:rsid w:val="00CD5638"/>
    <w:rsid w:val="00CD5715"/>
    <w:rsid w:val="00CD720E"/>
    <w:rsid w:val="00CE36D0"/>
    <w:rsid w:val="00CE5B2C"/>
    <w:rsid w:val="00CE6571"/>
    <w:rsid w:val="00CF25FF"/>
    <w:rsid w:val="00CF5113"/>
    <w:rsid w:val="00D00E3A"/>
    <w:rsid w:val="00D01A48"/>
    <w:rsid w:val="00D01FC9"/>
    <w:rsid w:val="00D02CD9"/>
    <w:rsid w:val="00D033E0"/>
    <w:rsid w:val="00D0355B"/>
    <w:rsid w:val="00D20914"/>
    <w:rsid w:val="00D20E15"/>
    <w:rsid w:val="00D24DE6"/>
    <w:rsid w:val="00D25D7A"/>
    <w:rsid w:val="00D30075"/>
    <w:rsid w:val="00D40F72"/>
    <w:rsid w:val="00D4138A"/>
    <w:rsid w:val="00D4161F"/>
    <w:rsid w:val="00D42564"/>
    <w:rsid w:val="00D47E50"/>
    <w:rsid w:val="00D50232"/>
    <w:rsid w:val="00D50985"/>
    <w:rsid w:val="00D52ECD"/>
    <w:rsid w:val="00D53392"/>
    <w:rsid w:val="00D542C8"/>
    <w:rsid w:val="00D54306"/>
    <w:rsid w:val="00D57041"/>
    <w:rsid w:val="00D57E78"/>
    <w:rsid w:val="00D61822"/>
    <w:rsid w:val="00D66CFB"/>
    <w:rsid w:val="00D67023"/>
    <w:rsid w:val="00D67BE6"/>
    <w:rsid w:val="00D74433"/>
    <w:rsid w:val="00D76C0E"/>
    <w:rsid w:val="00D777DD"/>
    <w:rsid w:val="00D778D7"/>
    <w:rsid w:val="00D8283E"/>
    <w:rsid w:val="00D84160"/>
    <w:rsid w:val="00D90B9D"/>
    <w:rsid w:val="00D93118"/>
    <w:rsid w:val="00D957B4"/>
    <w:rsid w:val="00D96843"/>
    <w:rsid w:val="00D9748D"/>
    <w:rsid w:val="00DA394C"/>
    <w:rsid w:val="00DB0D97"/>
    <w:rsid w:val="00DB129F"/>
    <w:rsid w:val="00DB21C2"/>
    <w:rsid w:val="00DB37BF"/>
    <w:rsid w:val="00DB571B"/>
    <w:rsid w:val="00DC0200"/>
    <w:rsid w:val="00DC3DB9"/>
    <w:rsid w:val="00DD130B"/>
    <w:rsid w:val="00DD30BA"/>
    <w:rsid w:val="00DD34CA"/>
    <w:rsid w:val="00DD5F05"/>
    <w:rsid w:val="00DD6A32"/>
    <w:rsid w:val="00DD72F4"/>
    <w:rsid w:val="00DD7ECC"/>
    <w:rsid w:val="00DE0AF5"/>
    <w:rsid w:val="00DF39F9"/>
    <w:rsid w:val="00DF6C1A"/>
    <w:rsid w:val="00E00F9E"/>
    <w:rsid w:val="00E029F3"/>
    <w:rsid w:val="00E04566"/>
    <w:rsid w:val="00E10197"/>
    <w:rsid w:val="00E10CB9"/>
    <w:rsid w:val="00E1608D"/>
    <w:rsid w:val="00E16DFD"/>
    <w:rsid w:val="00E2271C"/>
    <w:rsid w:val="00E26BE6"/>
    <w:rsid w:val="00E270CA"/>
    <w:rsid w:val="00E2792E"/>
    <w:rsid w:val="00E31ABD"/>
    <w:rsid w:val="00E3297A"/>
    <w:rsid w:val="00E32E11"/>
    <w:rsid w:val="00E333C9"/>
    <w:rsid w:val="00E3362D"/>
    <w:rsid w:val="00E3488A"/>
    <w:rsid w:val="00E36DF4"/>
    <w:rsid w:val="00E41BA7"/>
    <w:rsid w:val="00E44473"/>
    <w:rsid w:val="00E46054"/>
    <w:rsid w:val="00E4696B"/>
    <w:rsid w:val="00E53766"/>
    <w:rsid w:val="00E5571A"/>
    <w:rsid w:val="00E5610F"/>
    <w:rsid w:val="00E569A3"/>
    <w:rsid w:val="00E56ADB"/>
    <w:rsid w:val="00E6057B"/>
    <w:rsid w:val="00E64180"/>
    <w:rsid w:val="00E64FD3"/>
    <w:rsid w:val="00E67E45"/>
    <w:rsid w:val="00E72F99"/>
    <w:rsid w:val="00E776EF"/>
    <w:rsid w:val="00E828ED"/>
    <w:rsid w:val="00E85553"/>
    <w:rsid w:val="00E871F6"/>
    <w:rsid w:val="00E915E2"/>
    <w:rsid w:val="00E940D6"/>
    <w:rsid w:val="00EA077A"/>
    <w:rsid w:val="00EA12B1"/>
    <w:rsid w:val="00EA19A8"/>
    <w:rsid w:val="00EA2AA1"/>
    <w:rsid w:val="00EA2CF4"/>
    <w:rsid w:val="00EA3A03"/>
    <w:rsid w:val="00EA4B1A"/>
    <w:rsid w:val="00EA4BC2"/>
    <w:rsid w:val="00EA5443"/>
    <w:rsid w:val="00EC02D3"/>
    <w:rsid w:val="00EC2E21"/>
    <w:rsid w:val="00EC69A9"/>
    <w:rsid w:val="00EC754E"/>
    <w:rsid w:val="00ED0635"/>
    <w:rsid w:val="00ED2B2E"/>
    <w:rsid w:val="00ED2CE4"/>
    <w:rsid w:val="00ED5010"/>
    <w:rsid w:val="00ED56D0"/>
    <w:rsid w:val="00ED7DB2"/>
    <w:rsid w:val="00EE0062"/>
    <w:rsid w:val="00EE194E"/>
    <w:rsid w:val="00EE215C"/>
    <w:rsid w:val="00EE6D0D"/>
    <w:rsid w:val="00EE70A7"/>
    <w:rsid w:val="00EF4709"/>
    <w:rsid w:val="00EF5481"/>
    <w:rsid w:val="00EF7CEF"/>
    <w:rsid w:val="00F00BA4"/>
    <w:rsid w:val="00F017CC"/>
    <w:rsid w:val="00F04F46"/>
    <w:rsid w:val="00F0560A"/>
    <w:rsid w:val="00F07B4F"/>
    <w:rsid w:val="00F07D93"/>
    <w:rsid w:val="00F10C7F"/>
    <w:rsid w:val="00F135A5"/>
    <w:rsid w:val="00F1364D"/>
    <w:rsid w:val="00F159D3"/>
    <w:rsid w:val="00F23126"/>
    <w:rsid w:val="00F24E30"/>
    <w:rsid w:val="00F3114F"/>
    <w:rsid w:val="00F36A71"/>
    <w:rsid w:val="00F36BD9"/>
    <w:rsid w:val="00F36C6C"/>
    <w:rsid w:val="00F37EA7"/>
    <w:rsid w:val="00F4152B"/>
    <w:rsid w:val="00F42BD8"/>
    <w:rsid w:val="00F436AC"/>
    <w:rsid w:val="00F453B6"/>
    <w:rsid w:val="00F533C8"/>
    <w:rsid w:val="00F5378D"/>
    <w:rsid w:val="00F53E34"/>
    <w:rsid w:val="00F54015"/>
    <w:rsid w:val="00F56667"/>
    <w:rsid w:val="00F627A5"/>
    <w:rsid w:val="00F627DD"/>
    <w:rsid w:val="00F63D5A"/>
    <w:rsid w:val="00F643BC"/>
    <w:rsid w:val="00F64A0E"/>
    <w:rsid w:val="00F64DC8"/>
    <w:rsid w:val="00F67C5F"/>
    <w:rsid w:val="00F72F9D"/>
    <w:rsid w:val="00F73B12"/>
    <w:rsid w:val="00F76F73"/>
    <w:rsid w:val="00F77D0F"/>
    <w:rsid w:val="00F80B7D"/>
    <w:rsid w:val="00F80BAF"/>
    <w:rsid w:val="00F87C84"/>
    <w:rsid w:val="00F92C5D"/>
    <w:rsid w:val="00F95F5B"/>
    <w:rsid w:val="00F96205"/>
    <w:rsid w:val="00FA231C"/>
    <w:rsid w:val="00FA2B17"/>
    <w:rsid w:val="00FA5FFD"/>
    <w:rsid w:val="00FA7121"/>
    <w:rsid w:val="00FB0179"/>
    <w:rsid w:val="00FB2E18"/>
    <w:rsid w:val="00FB50C5"/>
    <w:rsid w:val="00FB50D6"/>
    <w:rsid w:val="00FB5B84"/>
    <w:rsid w:val="00FB5E34"/>
    <w:rsid w:val="00FB6761"/>
    <w:rsid w:val="00FB798F"/>
    <w:rsid w:val="00FC19ED"/>
    <w:rsid w:val="00FC43A5"/>
    <w:rsid w:val="00FD2772"/>
    <w:rsid w:val="00FD48B0"/>
    <w:rsid w:val="00FE1556"/>
    <w:rsid w:val="00FE51AA"/>
    <w:rsid w:val="00FE791D"/>
    <w:rsid w:val="00FF03D7"/>
    <w:rsid w:val="00FF773D"/>
    <w:rsid w:val="00FF7B78"/>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581C6F"/>
  <w15:docId w15:val="{25D569ED-ADF4-4538-B50F-0BCA398E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AE3"/>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1"/>
    <w:uiPriority w:val="99"/>
    <w:qFormat/>
    <w:rsid w:val="00657B47"/>
  </w:style>
  <w:style w:type="character" w:customStyle="1" w:styleId="PiedepginaCar">
    <w:name w:val="Pie de página Car"/>
    <w:basedOn w:val="Fuentedeprrafopredeter"/>
    <w:link w:val="Piedepgina1"/>
    <w:uiPriority w:val="99"/>
    <w:qFormat/>
    <w:rsid w:val="00657B47"/>
  </w:style>
  <w:style w:type="character" w:styleId="Refdecomentario">
    <w:name w:val="annotation reference"/>
    <w:basedOn w:val="Fuentedeprrafopredeter"/>
    <w:uiPriority w:val="99"/>
    <w:semiHidden/>
    <w:unhideWhenUsed/>
    <w:qFormat/>
    <w:rsid w:val="00657B47"/>
    <w:rPr>
      <w:sz w:val="18"/>
      <w:szCs w:val="18"/>
    </w:rPr>
  </w:style>
  <w:style w:type="character" w:customStyle="1" w:styleId="TextocomentarioCar">
    <w:name w:val="Texto comentario Car"/>
    <w:basedOn w:val="Fuentedeprrafopredeter"/>
    <w:link w:val="Textocomentario"/>
    <w:uiPriority w:val="99"/>
    <w:semiHidden/>
    <w:qFormat/>
    <w:rsid w:val="00657B47"/>
    <w:rPr>
      <w:sz w:val="24"/>
      <w:szCs w:val="24"/>
    </w:rPr>
  </w:style>
  <w:style w:type="character" w:customStyle="1" w:styleId="AsuntodelcomentarioCar">
    <w:name w:val="Asunto del comentario Car"/>
    <w:basedOn w:val="TextocomentarioCar"/>
    <w:link w:val="Asuntodelcomentario"/>
    <w:uiPriority w:val="99"/>
    <w:semiHidden/>
    <w:qFormat/>
    <w:rsid w:val="00657B47"/>
    <w:rPr>
      <w:b/>
      <w:bCs/>
      <w:sz w:val="20"/>
      <w:szCs w:val="20"/>
    </w:rPr>
  </w:style>
  <w:style w:type="character" w:customStyle="1" w:styleId="TextodegloboCar">
    <w:name w:val="Texto de globo Car"/>
    <w:basedOn w:val="Fuentedeprrafopredeter"/>
    <w:link w:val="Textodeglobo"/>
    <w:uiPriority w:val="99"/>
    <w:semiHidden/>
    <w:qFormat/>
    <w:rsid w:val="00657B47"/>
    <w:rPr>
      <w:rFonts w:ascii="Lucida Grande" w:hAnsi="Lucida Grande" w:cs="Lucida Grande"/>
      <w:sz w:val="18"/>
      <w:szCs w:val="18"/>
    </w:rPr>
  </w:style>
  <w:style w:type="character" w:customStyle="1" w:styleId="ListLabel1">
    <w:name w:val="ListLabel 1"/>
    <w:qFormat/>
    <w:rsid w:val="008E1BD1"/>
    <w:rPr>
      <w:rFonts w:cs="Courier New"/>
    </w:rPr>
  </w:style>
  <w:style w:type="character" w:customStyle="1" w:styleId="ListLabel2">
    <w:name w:val="ListLabel 2"/>
    <w:qFormat/>
    <w:rsid w:val="008E1BD1"/>
    <w:rPr>
      <w:rFonts w:cs="Courier New"/>
    </w:rPr>
  </w:style>
  <w:style w:type="character" w:customStyle="1" w:styleId="ListLabel3">
    <w:name w:val="ListLabel 3"/>
    <w:qFormat/>
    <w:rsid w:val="008E1BD1"/>
    <w:rPr>
      <w:rFonts w:cs="Courier New"/>
    </w:rPr>
  </w:style>
  <w:style w:type="character" w:customStyle="1" w:styleId="ListLabel4">
    <w:name w:val="ListLabel 4"/>
    <w:qFormat/>
    <w:rsid w:val="008E1BD1"/>
    <w:rPr>
      <w:rFonts w:cs="Courier New"/>
    </w:rPr>
  </w:style>
  <w:style w:type="character" w:customStyle="1" w:styleId="ListLabel5">
    <w:name w:val="ListLabel 5"/>
    <w:qFormat/>
    <w:rsid w:val="008E1BD1"/>
    <w:rPr>
      <w:rFonts w:cs="Courier New"/>
    </w:rPr>
  </w:style>
  <w:style w:type="character" w:customStyle="1" w:styleId="ListLabel6">
    <w:name w:val="ListLabel 6"/>
    <w:qFormat/>
    <w:rsid w:val="008E1BD1"/>
    <w:rPr>
      <w:rFonts w:cs="Courier New"/>
    </w:rPr>
  </w:style>
  <w:style w:type="character" w:customStyle="1" w:styleId="ListLabel7">
    <w:name w:val="ListLabel 7"/>
    <w:qFormat/>
    <w:rsid w:val="008E1BD1"/>
    <w:rPr>
      <w:rFonts w:cs="Courier New"/>
    </w:rPr>
  </w:style>
  <w:style w:type="character" w:customStyle="1" w:styleId="ListLabel8">
    <w:name w:val="ListLabel 8"/>
    <w:qFormat/>
    <w:rsid w:val="008E1BD1"/>
    <w:rPr>
      <w:rFonts w:cs="Courier New"/>
    </w:rPr>
  </w:style>
  <w:style w:type="character" w:customStyle="1" w:styleId="ListLabel9">
    <w:name w:val="ListLabel 9"/>
    <w:qFormat/>
    <w:rsid w:val="008E1BD1"/>
    <w:rPr>
      <w:rFonts w:cs="Courier New"/>
    </w:rPr>
  </w:style>
  <w:style w:type="character" w:customStyle="1" w:styleId="ListLabel10">
    <w:name w:val="ListLabel 10"/>
    <w:qFormat/>
    <w:rsid w:val="008E1BD1"/>
    <w:rPr>
      <w:rFonts w:cs="Courier New"/>
    </w:rPr>
  </w:style>
  <w:style w:type="character" w:customStyle="1" w:styleId="ListLabel11">
    <w:name w:val="ListLabel 11"/>
    <w:qFormat/>
    <w:rsid w:val="008E1BD1"/>
    <w:rPr>
      <w:rFonts w:cs="Courier New"/>
    </w:rPr>
  </w:style>
  <w:style w:type="character" w:customStyle="1" w:styleId="ListLabel12">
    <w:name w:val="ListLabel 12"/>
    <w:qFormat/>
    <w:rsid w:val="008E1BD1"/>
    <w:rPr>
      <w:rFonts w:cs="Courier New"/>
    </w:rPr>
  </w:style>
  <w:style w:type="character" w:customStyle="1" w:styleId="ListLabel13">
    <w:name w:val="ListLabel 13"/>
    <w:qFormat/>
    <w:rsid w:val="008E1BD1"/>
    <w:rPr>
      <w:rFonts w:cs="Courier New"/>
    </w:rPr>
  </w:style>
  <w:style w:type="character" w:customStyle="1" w:styleId="ListLabel14">
    <w:name w:val="ListLabel 14"/>
    <w:qFormat/>
    <w:rsid w:val="008E1BD1"/>
    <w:rPr>
      <w:rFonts w:cs="Courier New"/>
    </w:rPr>
  </w:style>
  <w:style w:type="character" w:customStyle="1" w:styleId="ListLabel15">
    <w:name w:val="ListLabel 15"/>
    <w:qFormat/>
    <w:rsid w:val="008E1BD1"/>
    <w:rPr>
      <w:rFonts w:cs="Courier New"/>
    </w:rPr>
  </w:style>
  <w:style w:type="character" w:customStyle="1" w:styleId="ListLabel16">
    <w:name w:val="ListLabel 16"/>
    <w:qFormat/>
    <w:rsid w:val="008E1BD1"/>
    <w:rPr>
      <w:rFonts w:cs="Courier New"/>
    </w:rPr>
  </w:style>
  <w:style w:type="character" w:customStyle="1" w:styleId="ListLabel17">
    <w:name w:val="ListLabel 17"/>
    <w:qFormat/>
    <w:rsid w:val="008E1BD1"/>
    <w:rPr>
      <w:rFonts w:cs="Courier New"/>
    </w:rPr>
  </w:style>
  <w:style w:type="character" w:customStyle="1" w:styleId="ListLabel18">
    <w:name w:val="ListLabel 18"/>
    <w:qFormat/>
    <w:rsid w:val="008E1BD1"/>
    <w:rPr>
      <w:rFonts w:cs="Courier New"/>
    </w:rPr>
  </w:style>
  <w:style w:type="character" w:customStyle="1" w:styleId="ListLabel19">
    <w:name w:val="ListLabel 19"/>
    <w:qFormat/>
    <w:rsid w:val="008E1BD1"/>
    <w:rPr>
      <w:rFonts w:cs="Courier New"/>
    </w:rPr>
  </w:style>
  <w:style w:type="character" w:customStyle="1" w:styleId="ListLabel20">
    <w:name w:val="ListLabel 20"/>
    <w:qFormat/>
    <w:rsid w:val="008E1BD1"/>
    <w:rPr>
      <w:rFonts w:cs="Courier New"/>
    </w:rPr>
  </w:style>
  <w:style w:type="character" w:customStyle="1" w:styleId="ListLabel21">
    <w:name w:val="ListLabel 21"/>
    <w:qFormat/>
    <w:rsid w:val="008E1BD1"/>
    <w:rPr>
      <w:rFonts w:cs="Courier New"/>
    </w:rPr>
  </w:style>
  <w:style w:type="character" w:customStyle="1" w:styleId="ListLabel22">
    <w:name w:val="ListLabel 22"/>
    <w:qFormat/>
    <w:rsid w:val="008E1BD1"/>
    <w:rPr>
      <w:rFonts w:cs="Courier New"/>
    </w:rPr>
  </w:style>
  <w:style w:type="character" w:customStyle="1" w:styleId="ListLabel23">
    <w:name w:val="ListLabel 23"/>
    <w:qFormat/>
    <w:rsid w:val="008E1BD1"/>
    <w:rPr>
      <w:rFonts w:cs="Courier New"/>
    </w:rPr>
  </w:style>
  <w:style w:type="character" w:customStyle="1" w:styleId="ListLabel24">
    <w:name w:val="ListLabel 24"/>
    <w:qFormat/>
    <w:rsid w:val="008E1BD1"/>
    <w:rPr>
      <w:rFonts w:cs="Courier New"/>
    </w:rPr>
  </w:style>
  <w:style w:type="character" w:customStyle="1" w:styleId="ListLabel25">
    <w:name w:val="ListLabel 25"/>
    <w:qFormat/>
    <w:rsid w:val="008E1BD1"/>
    <w:rPr>
      <w:rFonts w:cs="Courier New"/>
    </w:rPr>
  </w:style>
  <w:style w:type="character" w:customStyle="1" w:styleId="ListLabel26">
    <w:name w:val="ListLabel 26"/>
    <w:qFormat/>
    <w:rsid w:val="008E1BD1"/>
    <w:rPr>
      <w:rFonts w:cs="Courier New"/>
    </w:rPr>
  </w:style>
  <w:style w:type="character" w:customStyle="1" w:styleId="ListLabel27">
    <w:name w:val="ListLabel 27"/>
    <w:qFormat/>
    <w:rsid w:val="008E1BD1"/>
    <w:rPr>
      <w:rFonts w:cs="Courier New"/>
    </w:rPr>
  </w:style>
  <w:style w:type="character" w:customStyle="1" w:styleId="ListLabel28">
    <w:name w:val="ListLabel 28"/>
    <w:qFormat/>
    <w:rsid w:val="008E1BD1"/>
    <w:rPr>
      <w:rFonts w:cs="Courier New"/>
    </w:rPr>
  </w:style>
  <w:style w:type="character" w:customStyle="1" w:styleId="ListLabel29">
    <w:name w:val="ListLabel 29"/>
    <w:qFormat/>
    <w:rsid w:val="008E1BD1"/>
    <w:rPr>
      <w:rFonts w:cs="Courier New"/>
    </w:rPr>
  </w:style>
  <w:style w:type="character" w:customStyle="1" w:styleId="ListLabel30">
    <w:name w:val="ListLabel 30"/>
    <w:qFormat/>
    <w:rsid w:val="008E1BD1"/>
    <w:rPr>
      <w:rFonts w:cs="Courier New"/>
    </w:rPr>
  </w:style>
  <w:style w:type="character" w:customStyle="1" w:styleId="ListLabel31">
    <w:name w:val="ListLabel 31"/>
    <w:qFormat/>
    <w:rsid w:val="008E1BD1"/>
    <w:rPr>
      <w:rFonts w:cs="Courier New"/>
    </w:rPr>
  </w:style>
  <w:style w:type="character" w:customStyle="1" w:styleId="ListLabel32">
    <w:name w:val="ListLabel 32"/>
    <w:qFormat/>
    <w:rsid w:val="008E1BD1"/>
    <w:rPr>
      <w:rFonts w:cs="Courier New"/>
    </w:rPr>
  </w:style>
  <w:style w:type="character" w:customStyle="1" w:styleId="ListLabel33">
    <w:name w:val="ListLabel 33"/>
    <w:qFormat/>
    <w:rsid w:val="008E1BD1"/>
    <w:rPr>
      <w:rFonts w:cs="Courier New"/>
    </w:rPr>
  </w:style>
  <w:style w:type="character" w:customStyle="1" w:styleId="ListLabel34">
    <w:name w:val="ListLabel 34"/>
    <w:qFormat/>
    <w:rsid w:val="008E1BD1"/>
    <w:rPr>
      <w:rFonts w:cs="Courier New"/>
    </w:rPr>
  </w:style>
  <w:style w:type="character" w:customStyle="1" w:styleId="ListLabel35">
    <w:name w:val="ListLabel 35"/>
    <w:qFormat/>
    <w:rsid w:val="008E1BD1"/>
    <w:rPr>
      <w:rFonts w:cs="Courier New"/>
    </w:rPr>
  </w:style>
  <w:style w:type="character" w:customStyle="1" w:styleId="ListLabel36">
    <w:name w:val="ListLabel 36"/>
    <w:qFormat/>
    <w:rsid w:val="008E1BD1"/>
    <w:rPr>
      <w:rFonts w:cs="Courier New"/>
    </w:rPr>
  </w:style>
  <w:style w:type="character" w:customStyle="1" w:styleId="ListLabel37">
    <w:name w:val="ListLabel 37"/>
    <w:qFormat/>
    <w:rsid w:val="008E1BD1"/>
    <w:rPr>
      <w:rFonts w:cs="Courier New"/>
    </w:rPr>
  </w:style>
  <w:style w:type="character" w:customStyle="1" w:styleId="ListLabel38">
    <w:name w:val="ListLabel 38"/>
    <w:qFormat/>
    <w:rsid w:val="008E1BD1"/>
    <w:rPr>
      <w:rFonts w:cs="Courier New"/>
    </w:rPr>
  </w:style>
  <w:style w:type="character" w:customStyle="1" w:styleId="ListLabel39">
    <w:name w:val="ListLabel 39"/>
    <w:qFormat/>
    <w:rsid w:val="008E1BD1"/>
    <w:rPr>
      <w:rFonts w:cs="Courier New"/>
    </w:rPr>
  </w:style>
  <w:style w:type="character" w:customStyle="1" w:styleId="ListLabel40">
    <w:name w:val="ListLabel 40"/>
    <w:qFormat/>
    <w:rsid w:val="008E1BD1"/>
    <w:rPr>
      <w:rFonts w:cs="Courier New"/>
    </w:rPr>
  </w:style>
  <w:style w:type="character" w:customStyle="1" w:styleId="ListLabel41">
    <w:name w:val="ListLabel 41"/>
    <w:qFormat/>
    <w:rsid w:val="008E1BD1"/>
    <w:rPr>
      <w:rFonts w:cs="Courier New"/>
    </w:rPr>
  </w:style>
  <w:style w:type="character" w:customStyle="1" w:styleId="ListLabel42">
    <w:name w:val="ListLabel 42"/>
    <w:qFormat/>
    <w:rsid w:val="008E1BD1"/>
    <w:rPr>
      <w:rFonts w:cs="Courier New"/>
    </w:rPr>
  </w:style>
  <w:style w:type="character" w:customStyle="1" w:styleId="ListLabel43">
    <w:name w:val="ListLabel 43"/>
    <w:qFormat/>
    <w:rsid w:val="008E1BD1"/>
    <w:rPr>
      <w:sz w:val="20"/>
    </w:rPr>
  </w:style>
  <w:style w:type="character" w:customStyle="1" w:styleId="ListLabel44">
    <w:name w:val="ListLabel 44"/>
    <w:qFormat/>
    <w:rsid w:val="008E1BD1"/>
    <w:rPr>
      <w:sz w:val="20"/>
    </w:rPr>
  </w:style>
  <w:style w:type="character" w:customStyle="1" w:styleId="ListLabel45">
    <w:name w:val="ListLabel 45"/>
    <w:qFormat/>
    <w:rsid w:val="008E1BD1"/>
    <w:rPr>
      <w:sz w:val="20"/>
    </w:rPr>
  </w:style>
  <w:style w:type="character" w:customStyle="1" w:styleId="ListLabel46">
    <w:name w:val="ListLabel 46"/>
    <w:qFormat/>
    <w:rsid w:val="008E1BD1"/>
    <w:rPr>
      <w:sz w:val="20"/>
    </w:rPr>
  </w:style>
  <w:style w:type="character" w:customStyle="1" w:styleId="ListLabel47">
    <w:name w:val="ListLabel 47"/>
    <w:qFormat/>
    <w:rsid w:val="008E1BD1"/>
    <w:rPr>
      <w:sz w:val="20"/>
    </w:rPr>
  </w:style>
  <w:style w:type="character" w:customStyle="1" w:styleId="ListLabel48">
    <w:name w:val="ListLabel 48"/>
    <w:qFormat/>
    <w:rsid w:val="008E1BD1"/>
    <w:rPr>
      <w:sz w:val="20"/>
    </w:rPr>
  </w:style>
  <w:style w:type="character" w:customStyle="1" w:styleId="ListLabel49">
    <w:name w:val="ListLabel 49"/>
    <w:qFormat/>
    <w:rsid w:val="008E1BD1"/>
    <w:rPr>
      <w:sz w:val="20"/>
    </w:rPr>
  </w:style>
  <w:style w:type="character" w:customStyle="1" w:styleId="ListLabel50">
    <w:name w:val="ListLabel 50"/>
    <w:qFormat/>
    <w:rsid w:val="008E1BD1"/>
    <w:rPr>
      <w:sz w:val="20"/>
    </w:rPr>
  </w:style>
  <w:style w:type="character" w:customStyle="1" w:styleId="ListLabel51">
    <w:name w:val="ListLabel 51"/>
    <w:qFormat/>
    <w:rsid w:val="008E1BD1"/>
    <w:rPr>
      <w:sz w:val="20"/>
    </w:rPr>
  </w:style>
  <w:style w:type="character" w:customStyle="1" w:styleId="ListLabel52">
    <w:name w:val="ListLabel 52"/>
    <w:qFormat/>
    <w:rsid w:val="008E1BD1"/>
    <w:rPr>
      <w:rFonts w:eastAsia="Calibri" w:cs="Times New Roman"/>
      <w:color w:val="auto"/>
    </w:rPr>
  </w:style>
  <w:style w:type="character" w:customStyle="1" w:styleId="ListLabel53">
    <w:name w:val="ListLabel 53"/>
    <w:qFormat/>
    <w:rsid w:val="008E1BD1"/>
    <w:rPr>
      <w:rFonts w:cs="Courier New"/>
    </w:rPr>
  </w:style>
  <w:style w:type="character" w:customStyle="1" w:styleId="ListLabel54">
    <w:name w:val="ListLabel 54"/>
    <w:qFormat/>
    <w:rsid w:val="008E1BD1"/>
    <w:rPr>
      <w:rFonts w:cs="Courier New"/>
    </w:rPr>
  </w:style>
  <w:style w:type="character" w:customStyle="1" w:styleId="ListLabel55">
    <w:name w:val="ListLabel 55"/>
    <w:qFormat/>
    <w:rsid w:val="008E1BD1"/>
    <w:rPr>
      <w:rFonts w:cs="Courier New"/>
    </w:rPr>
  </w:style>
  <w:style w:type="character" w:customStyle="1" w:styleId="ListLabel56">
    <w:name w:val="ListLabel 56"/>
    <w:qFormat/>
    <w:rsid w:val="008E1BD1"/>
    <w:rPr>
      <w:rFonts w:cs="Courier New"/>
    </w:rPr>
  </w:style>
  <w:style w:type="character" w:customStyle="1" w:styleId="ListLabel57">
    <w:name w:val="ListLabel 57"/>
    <w:qFormat/>
    <w:rsid w:val="008E1BD1"/>
    <w:rPr>
      <w:rFonts w:cs="Courier New"/>
    </w:rPr>
  </w:style>
  <w:style w:type="character" w:customStyle="1" w:styleId="ListLabel58">
    <w:name w:val="ListLabel 58"/>
    <w:qFormat/>
    <w:rsid w:val="008E1BD1"/>
    <w:rPr>
      <w:rFonts w:cs="Courier New"/>
    </w:rPr>
  </w:style>
  <w:style w:type="character" w:customStyle="1" w:styleId="ListLabel59">
    <w:name w:val="ListLabel 59"/>
    <w:qFormat/>
    <w:rsid w:val="008E1BD1"/>
    <w:rPr>
      <w:rFonts w:cs="Courier New"/>
    </w:rPr>
  </w:style>
  <w:style w:type="character" w:customStyle="1" w:styleId="ListLabel60">
    <w:name w:val="ListLabel 60"/>
    <w:qFormat/>
    <w:rsid w:val="008E1BD1"/>
    <w:rPr>
      <w:rFonts w:cs="Courier New"/>
    </w:rPr>
  </w:style>
  <w:style w:type="character" w:customStyle="1" w:styleId="ListLabel61">
    <w:name w:val="ListLabel 61"/>
    <w:qFormat/>
    <w:rsid w:val="008E1BD1"/>
    <w:rPr>
      <w:rFonts w:cs="Courier New"/>
    </w:rPr>
  </w:style>
  <w:style w:type="character" w:customStyle="1" w:styleId="ListLabel62">
    <w:name w:val="ListLabel 62"/>
    <w:qFormat/>
    <w:rsid w:val="008E1BD1"/>
    <w:rPr>
      <w:rFonts w:cs="Courier New"/>
    </w:rPr>
  </w:style>
  <w:style w:type="character" w:customStyle="1" w:styleId="ListLabel63">
    <w:name w:val="ListLabel 63"/>
    <w:qFormat/>
    <w:rsid w:val="008E1BD1"/>
    <w:rPr>
      <w:rFonts w:cs="Courier New"/>
    </w:rPr>
  </w:style>
  <w:style w:type="character" w:customStyle="1" w:styleId="ListLabel64">
    <w:name w:val="ListLabel 64"/>
    <w:qFormat/>
    <w:rsid w:val="008E1BD1"/>
    <w:rPr>
      <w:rFonts w:cs="Courier New"/>
    </w:rPr>
  </w:style>
  <w:style w:type="character" w:customStyle="1" w:styleId="ListLabel65">
    <w:name w:val="ListLabel 65"/>
    <w:qFormat/>
    <w:rsid w:val="008E1BD1"/>
    <w:rPr>
      <w:rFonts w:cs="Courier New"/>
    </w:rPr>
  </w:style>
  <w:style w:type="character" w:customStyle="1" w:styleId="ListLabel66">
    <w:name w:val="ListLabel 66"/>
    <w:qFormat/>
    <w:rsid w:val="008E1BD1"/>
    <w:rPr>
      <w:rFonts w:cs="Courier New"/>
    </w:rPr>
  </w:style>
  <w:style w:type="character" w:customStyle="1" w:styleId="ListLabel67">
    <w:name w:val="ListLabel 67"/>
    <w:qFormat/>
    <w:rsid w:val="008E1BD1"/>
    <w:rPr>
      <w:rFonts w:cs="Courier New"/>
    </w:rPr>
  </w:style>
  <w:style w:type="character" w:customStyle="1" w:styleId="ListLabel68">
    <w:name w:val="ListLabel 68"/>
    <w:qFormat/>
    <w:rsid w:val="008E1BD1"/>
    <w:rPr>
      <w:rFonts w:cs="Courier New"/>
    </w:rPr>
  </w:style>
  <w:style w:type="character" w:customStyle="1" w:styleId="ListLabel69">
    <w:name w:val="ListLabel 69"/>
    <w:qFormat/>
    <w:rsid w:val="008E1BD1"/>
    <w:rPr>
      <w:rFonts w:cs="Courier New"/>
    </w:rPr>
  </w:style>
  <w:style w:type="character" w:customStyle="1" w:styleId="ListLabel70">
    <w:name w:val="ListLabel 70"/>
    <w:qFormat/>
    <w:rsid w:val="008E1BD1"/>
    <w:rPr>
      <w:rFonts w:cs="Courier New"/>
    </w:rPr>
  </w:style>
  <w:style w:type="character" w:customStyle="1" w:styleId="ListLabel71">
    <w:name w:val="ListLabel 71"/>
    <w:qFormat/>
    <w:rsid w:val="008E1BD1"/>
    <w:rPr>
      <w:rFonts w:cs="Courier New"/>
    </w:rPr>
  </w:style>
  <w:style w:type="character" w:customStyle="1" w:styleId="ListLabel72">
    <w:name w:val="ListLabel 72"/>
    <w:qFormat/>
    <w:rPr>
      <w:rFonts w:cs="Symbol"/>
      <w:b/>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b/>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paragraph" w:customStyle="1" w:styleId="Ttulo1">
    <w:name w:val="Título1"/>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rsid w:val="008E1BD1"/>
    <w:pPr>
      <w:spacing w:after="140" w:line="276" w:lineRule="auto"/>
    </w:pPr>
  </w:style>
  <w:style w:type="paragraph" w:styleId="Lista">
    <w:name w:val="List"/>
    <w:basedOn w:val="Textoindependiente"/>
    <w:rsid w:val="008E1BD1"/>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qFormat/>
    <w:rsid w:val="008E1BD1"/>
    <w:pPr>
      <w:suppressLineNumbers/>
    </w:pPr>
    <w:rPr>
      <w:rFonts w:cs="Mangal"/>
    </w:rPr>
  </w:style>
  <w:style w:type="paragraph" w:styleId="Ttulo">
    <w:name w:val="Title"/>
    <w:basedOn w:val="Normal"/>
    <w:next w:val="Textoindependiente"/>
    <w:qFormat/>
    <w:rsid w:val="008E1BD1"/>
    <w:pPr>
      <w:keepNext/>
      <w:spacing w:before="240" w:after="120"/>
    </w:pPr>
    <w:rPr>
      <w:rFonts w:ascii="Liberation Sans" w:eastAsia="Microsoft YaHei" w:hAnsi="Liberation Sans" w:cs="Mangal"/>
      <w:sz w:val="28"/>
      <w:szCs w:val="28"/>
    </w:rPr>
  </w:style>
  <w:style w:type="paragraph" w:customStyle="1" w:styleId="Descripcin1">
    <w:name w:val="Descripción1"/>
    <w:basedOn w:val="Normal"/>
    <w:qFormat/>
    <w:rsid w:val="008E1BD1"/>
    <w:pPr>
      <w:suppressLineNumbers/>
      <w:spacing w:before="120" w:after="120"/>
    </w:pPr>
    <w:rPr>
      <w:rFonts w:cs="Mangal"/>
      <w:i/>
      <w:iCs/>
      <w:sz w:val="24"/>
      <w:szCs w:val="24"/>
    </w:rPr>
  </w:style>
  <w:style w:type="paragraph" w:customStyle="1" w:styleId="Encabezado1">
    <w:name w:val="Encabezado1"/>
    <w:basedOn w:val="Normal"/>
    <w:link w:val="EncabezadoCar"/>
    <w:uiPriority w:val="99"/>
    <w:unhideWhenUsed/>
    <w:qFormat/>
    <w:rsid w:val="00657B47"/>
    <w:pPr>
      <w:tabs>
        <w:tab w:val="center" w:pos="4419"/>
        <w:tab w:val="right" w:pos="8838"/>
      </w:tabs>
      <w:spacing w:after="0" w:line="240" w:lineRule="auto"/>
    </w:pPr>
  </w:style>
  <w:style w:type="paragraph" w:customStyle="1" w:styleId="Piedepgina1">
    <w:name w:val="Pie de página1"/>
    <w:basedOn w:val="Normal"/>
    <w:link w:val="PiedepginaCar"/>
    <w:uiPriority w:val="99"/>
    <w:unhideWhenUsed/>
    <w:qFormat/>
    <w:rsid w:val="00657B47"/>
    <w:pPr>
      <w:tabs>
        <w:tab w:val="center" w:pos="4419"/>
        <w:tab w:val="right" w:pos="8838"/>
      </w:tabs>
      <w:spacing w:after="0" w:line="240" w:lineRule="auto"/>
    </w:pPr>
  </w:style>
  <w:style w:type="paragraph" w:styleId="Prrafodelista">
    <w:name w:val="List Paragraph"/>
    <w:aliases w:val="Párrafo de lista SUBCAPITULO,Capítulo,TIT 2 IND,Párrafo de lista1"/>
    <w:basedOn w:val="Normal"/>
    <w:link w:val="PrrafodelistaCar"/>
    <w:uiPriority w:val="34"/>
    <w:qFormat/>
    <w:rsid w:val="00657B47"/>
    <w:pPr>
      <w:spacing w:after="200" w:line="276" w:lineRule="auto"/>
      <w:ind w:left="720"/>
      <w:contextualSpacing/>
    </w:pPr>
  </w:style>
  <w:style w:type="paragraph" w:styleId="Textocomentario">
    <w:name w:val="annotation text"/>
    <w:basedOn w:val="Normal"/>
    <w:link w:val="TextocomentarioCar"/>
    <w:uiPriority w:val="99"/>
    <w:semiHidden/>
    <w:unhideWhenUsed/>
    <w:qFormat/>
    <w:rsid w:val="00657B47"/>
    <w:pPr>
      <w:spacing w:after="200" w:line="240" w:lineRule="auto"/>
    </w:pPr>
    <w:rPr>
      <w:sz w:val="24"/>
      <w:szCs w:val="24"/>
    </w:rPr>
  </w:style>
  <w:style w:type="paragraph" w:styleId="Asuntodelcomentario">
    <w:name w:val="annotation subject"/>
    <w:basedOn w:val="Textocomentario"/>
    <w:next w:val="Textocomentario"/>
    <w:link w:val="AsuntodelcomentarioCar"/>
    <w:uiPriority w:val="99"/>
    <w:semiHidden/>
    <w:unhideWhenUsed/>
    <w:qFormat/>
    <w:rsid w:val="00657B47"/>
    <w:rPr>
      <w:b/>
      <w:bCs/>
      <w:sz w:val="20"/>
      <w:szCs w:val="20"/>
    </w:rPr>
  </w:style>
  <w:style w:type="paragraph" w:styleId="Textodeglobo">
    <w:name w:val="Balloon Text"/>
    <w:basedOn w:val="Normal"/>
    <w:link w:val="TextodegloboCar"/>
    <w:uiPriority w:val="99"/>
    <w:semiHidden/>
    <w:unhideWhenUsed/>
    <w:qFormat/>
    <w:rsid w:val="00657B47"/>
    <w:pPr>
      <w:spacing w:after="0" w:line="240" w:lineRule="auto"/>
    </w:pPr>
    <w:rPr>
      <w:rFonts w:ascii="Lucida Grande" w:hAnsi="Lucida Grande" w:cs="Lucida Grande"/>
      <w:sz w:val="18"/>
      <w:szCs w:val="18"/>
    </w:rPr>
  </w:style>
  <w:style w:type="paragraph" w:styleId="NormalWeb">
    <w:name w:val="Normal (Web)"/>
    <w:basedOn w:val="Normal"/>
    <w:uiPriority w:val="99"/>
    <w:unhideWhenUsed/>
    <w:qFormat/>
    <w:rsid w:val="00657B47"/>
    <w:pPr>
      <w:spacing w:beforeAutospacing="1" w:afterAutospacing="1" w:line="240" w:lineRule="auto"/>
    </w:pPr>
    <w:rPr>
      <w:rFonts w:ascii="Times" w:eastAsiaTheme="minorEastAsia" w:hAnsi="Times" w:cs="Times New Roman"/>
      <w:sz w:val="20"/>
      <w:szCs w:val="20"/>
      <w:lang w:eastAsia="es-ES"/>
    </w:rPr>
  </w:style>
  <w:style w:type="paragraph" w:styleId="Revisin">
    <w:name w:val="Revision"/>
    <w:uiPriority w:val="99"/>
    <w:semiHidden/>
    <w:qFormat/>
    <w:rsid w:val="0096684B"/>
  </w:style>
  <w:style w:type="paragraph" w:customStyle="1" w:styleId="Contenidodelmarco">
    <w:name w:val="Contenido del marco"/>
    <w:basedOn w:val="Normal"/>
    <w:qFormat/>
    <w:rsid w:val="008E1BD1"/>
  </w:style>
  <w:style w:type="paragraph" w:styleId="Piedepgina">
    <w:name w:val="footer"/>
    <w:basedOn w:val="Normal"/>
    <w:uiPriority w:val="99"/>
  </w:style>
  <w:style w:type="table" w:styleId="Tablaconcuadrcula">
    <w:name w:val="Table Grid"/>
    <w:basedOn w:val="Tablanormal"/>
    <w:uiPriority w:val="59"/>
    <w:rsid w:val="00657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59"/>
    <w:rsid w:val="00657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1"/>
    <w:uiPriority w:val="99"/>
    <w:unhideWhenUsed/>
    <w:rsid w:val="005055BD"/>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5055BD"/>
  </w:style>
  <w:style w:type="paragraph" w:styleId="Textosinformato">
    <w:name w:val="Plain Text"/>
    <w:basedOn w:val="Normal"/>
    <w:link w:val="TextosinformatoCar"/>
    <w:rsid w:val="00C613C5"/>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C613C5"/>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C613C5"/>
    <w:pPr>
      <w:spacing w:after="0" w:line="240" w:lineRule="auto"/>
    </w:pPr>
    <w:rPr>
      <w:rFonts w:ascii="Times New Roman" w:eastAsia="Times New Roman" w:hAnsi="Times New Roman" w:cs="Times New Roman"/>
      <w:sz w:val="24"/>
      <w:szCs w:val="20"/>
      <w:lang w:val="es-ES_tradnl" w:eastAsia="es-ES"/>
    </w:rPr>
  </w:style>
  <w:style w:type="paragraph" w:customStyle="1" w:styleId="Default">
    <w:name w:val="Default"/>
    <w:rsid w:val="007918AA"/>
    <w:pPr>
      <w:autoSpaceDE w:val="0"/>
      <w:autoSpaceDN w:val="0"/>
      <w:adjustRightInd w:val="0"/>
    </w:pPr>
    <w:rPr>
      <w:rFonts w:ascii="Arial" w:hAnsi="Arial" w:cs="Arial"/>
      <w:color w:val="000000"/>
      <w:sz w:val="24"/>
      <w:szCs w:val="24"/>
      <w:lang w:val="es-ES"/>
    </w:rPr>
  </w:style>
  <w:style w:type="character" w:customStyle="1" w:styleId="PrrafodelistaCar">
    <w:name w:val="Párrafo de lista Car"/>
    <w:aliases w:val="Párrafo de lista SUBCAPITULO Car,Capítulo Car,TIT 2 IND Car,Párrafo de lista1 Car"/>
    <w:basedOn w:val="Fuentedeprrafopredeter"/>
    <w:link w:val="Prrafodelista"/>
    <w:uiPriority w:val="34"/>
    <w:rsid w:val="006369AA"/>
  </w:style>
  <w:style w:type="paragraph" w:styleId="Textonotapie">
    <w:name w:val="footnote text"/>
    <w:basedOn w:val="Normal"/>
    <w:link w:val="TextonotapieCar"/>
    <w:uiPriority w:val="99"/>
    <w:semiHidden/>
    <w:unhideWhenUsed/>
    <w:rsid w:val="006369AA"/>
    <w:pPr>
      <w:spacing w:after="0" w:line="240" w:lineRule="auto"/>
    </w:pPr>
    <w:rPr>
      <w:rFonts w:eastAsiaTheme="minorEastAsia"/>
      <w:sz w:val="20"/>
      <w:szCs w:val="20"/>
      <w:lang w:eastAsia="es-EC"/>
    </w:rPr>
  </w:style>
  <w:style w:type="character" w:customStyle="1" w:styleId="TextonotapieCar">
    <w:name w:val="Texto nota pie Car"/>
    <w:basedOn w:val="Fuentedeprrafopredeter"/>
    <w:link w:val="Textonotapie"/>
    <w:uiPriority w:val="99"/>
    <w:semiHidden/>
    <w:rsid w:val="006369AA"/>
    <w:rPr>
      <w:rFonts w:eastAsiaTheme="minorEastAsia"/>
      <w:sz w:val="20"/>
      <w:szCs w:val="20"/>
      <w:lang w:eastAsia="es-EC"/>
    </w:rPr>
  </w:style>
  <w:style w:type="character" w:styleId="Refdenotaalpie">
    <w:name w:val="footnote reference"/>
    <w:basedOn w:val="Fuentedeprrafopredeter"/>
    <w:uiPriority w:val="99"/>
    <w:semiHidden/>
    <w:unhideWhenUsed/>
    <w:rsid w:val="006369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31910">
      <w:bodyDiv w:val="1"/>
      <w:marLeft w:val="0"/>
      <w:marRight w:val="0"/>
      <w:marTop w:val="0"/>
      <w:marBottom w:val="0"/>
      <w:divBdr>
        <w:top w:val="none" w:sz="0" w:space="0" w:color="auto"/>
        <w:left w:val="none" w:sz="0" w:space="0" w:color="auto"/>
        <w:bottom w:val="none" w:sz="0" w:space="0" w:color="auto"/>
        <w:right w:val="none" w:sz="0" w:space="0" w:color="auto"/>
      </w:divBdr>
      <w:divsChild>
        <w:div w:id="976911670">
          <w:marLeft w:val="0"/>
          <w:marRight w:val="0"/>
          <w:marTop w:val="0"/>
          <w:marBottom w:val="0"/>
          <w:divBdr>
            <w:top w:val="none" w:sz="0" w:space="0" w:color="auto"/>
            <w:left w:val="none" w:sz="0" w:space="0" w:color="auto"/>
            <w:bottom w:val="none" w:sz="0" w:space="0" w:color="auto"/>
            <w:right w:val="none" w:sz="0" w:space="0" w:color="auto"/>
          </w:divBdr>
          <w:divsChild>
            <w:div w:id="2006669389">
              <w:marLeft w:val="0"/>
              <w:marRight w:val="0"/>
              <w:marTop w:val="0"/>
              <w:marBottom w:val="0"/>
              <w:divBdr>
                <w:top w:val="none" w:sz="0" w:space="0" w:color="auto"/>
                <w:left w:val="none" w:sz="0" w:space="0" w:color="auto"/>
                <w:bottom w:val="none" w:sz="0" w:space="0" w:color="auto"/>
                <w:right w:val="none" w:sz="0" w:space="0" w:color="auto"/>
              </w:divBdr>
              <w:divsChild>
                <w:div w:id="599293410">
                  <w:marLeft w:val="0"/>
                  <w:marRight w:val="0"/>
                  <w:marTop w:val="0"/>
                  <w:marBottom w:val="0"/>
                  <w:divBdr>
                    <w:top w:val="none" w:sz="0" w:space="0" w:color="auto"/>
                    <w:left w:val="none" w:sz="0" w:space="0" w:color="auto"/>
                    <w:bottom w:val="none" w:sz="0" w:space="0" w:color="auto"/>
                    <w:right w:val="none" w:sz="0" w:space="0" w:color="auto"/>
                  </w:divBdr>
                </w:div>
              </w:divsChild>
            </w:div>
            <w:div w:id="1475104711">
              <w:marLeft w:val="0"/>
              <w:marRight w:val="0"/>
              <w:marTop w:val="0"/>
              <w:marBottom w:val="0"/>
              <w:divBdr>
                <w:top w:val="none" w:sz="0" w:space="0" w:color="auto"/>
                <w:left w:val="none" w:sz="0" w:space="0" w:color="auto"/>
                <w:bottom w:val="none" w:sz="0" w:space="0" w:color="auto"/>
                <w:right w:val="none" w:sz="0" w:space="0" w:color="auto"/>
              </w:divBdr>
              <w:divsChild>
                <w:div w:id="501623716">
                  <w:marLeft w:val="0"/>
                  <w:marRight w:val="0"/>
                  <w:marTop w:val="0"/>
                  <w:marBottom w:val="0"/>
                  <w:divBdr>
                    <w:top w:val="none" w:sz="0" w:space="0" w:color="auto"/>
                    <w:left w:val="none" w:sz="0" w:space="0" w:color="auto"/>
                    <w:bottom w:val="none" w:sz="0" w:space="0" w:color="auto"/>
                    <w:right w:val="none" w:sz="0" w:space="0" w:color="auto"/>
                  </w:divBdr>
                </w:div>
              </w:divsChild>
            </w:div>
            <w:div w:id="983003399">
              <w:marLeft w:val="0"/>
              <w:marRight w:val="0"/>
              <w:marTop w:val="0"/>
              <w:marBottom w:val="0"/>
              <w:divBdr>
                <w:top w:val="none" w:sz="0" w:space="0" w:color="auto"/>
                <w:left w:val="none" w:sz="0" w:space="0" w:color="auto"/>
                <w:bottom w:val="none" w:sz="0" w:space="0" w:color="auto"/>
                <w:right w:val="none" w:sz="0" w:space="0" w:color="auto"/>
              </w:divBdr>
              <w:divsChild>
                <w:div w:id="32775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F:\MUNICIPIO\BASES%20DE%20DATOS\IPC%202021-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MUNICIPIO\CONVENIOS\AEI%20FEDES%202022-002\INFORMES\AEI-FEDES\COMPONENTE%203%20Y%204\EDITABLES\COMPONENTE%203\GRAFICOS%20Y%20TABLAS\Gr&#225;ficos%20y%20tablas%20Agend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MUNICIPIO\CONVENIOS\AEI%20FEDES%202022-002\INFORMES\AEI-FEDES\COMPONENTE%203%20Y%204\EDITABLES\COMPONENTE%203\GRAFICOS%20Y%20TABLAS\Gr&#225;ficos%20y%20tablas%20Agend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MUNICIPIO\CONVENIOS\AEI%20FEDES%202022-002\INFORMES\AEI-FEDES\COMPONENTE%203%20Y%204\EDITABLES\COMPONENTE%203\GRAFICOS%20Y%20TABLAS\Gr&#225;ficos%20y%20tablas%20Agenda.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'ipc - Quito'!$A$2</c:f>
              <c:strCache>
                <c:ptCount val="1"/>
                <c:pt idx="0">
                  <c:v>IPC</c:v>
                </c:pt>
              </c:strCache>
            </c:strRef>
          </c:tx>
          <c:spPr>
            <a:solidFill>
              <a:schemeClr val="bg1">
                <a:lumMod val="75000"/>
              </a:schemeClr>
            </a:solidFill>
            <a:ln>
              <a:solidFill>
                <a:schemeClr val="bg1">
                  <a:lumMod val="75000"/>
                </a:schemeClr>
              </a:solidFill>
            </a:ln>
            <a:effectLst/>
          </c:spPr>
          <c:invertIfNegative val="0"/>
          <c:cat>
            <c:strRef>
              <c:f>'ipc - Quito'!$B$1:$AX$1</c:f>
              <c:strCache>
                <c:ptCount val="49"/>
                <c:pt idx="0">
                  <c:v>ene-19</c:v>
                </c:pt>
                <c:pt idx="1">
                  <c:v>feb-19</c:v>
                </c:pt>
                <c:pt idx="2">
                  <c:v>mar-19</c:v>
                </c:pt>
                <c:pt idx="3">
                  <c:v>abr-19</c:v>
                </c:pt>
                <c:pt idx="4">
                  <c:v>may-19</c:v>
                </c:pt>
                <c:pt idx="5">
                  <c:v>jun-19</c:v>
                </c:pt>
                <c:pt idx="6">
                  <c:v>jul-19</c:v>
                </c:pt>
                <c:pt idx="7">
                  <c:v>ago-19</c:v>
                </c:pt>
                <c:pt idx="8">
                  <c:v>sep-19</c:v>
                </c:pt>
                <c:pt idx="9">
                  <c:v>oct-19</c:v>
                </c:pt>
                <c:pt idx="10">
                  <c:v>nov-19</c:v>
                </c:pt>
                <c:pt idx="11">
                  <c:v>dic-19</c:v>
                </c:pt>
                <c:pt idx="12">
                  <c:v>ene-20</c:v>
                </c:pt>
                <c:pt idx="13">
                  <c:v>feb-20</c:v>
                </c:pt>
                <c:pt idx="14">
                  <c:v>mar-20</c:v>
                </c:pt>
                <c:pt idx="15">
                  <c:v>abr-20</c:v>
                </c:pt>
                <c:pt idx="16">
                  <c:v>may-20</c:v>
                </c:pt>
                <c:pt idx="17">
                  <c:v>jun-20</c:v>
                </c:pt>
                <c:pt idx="18">
                  <c:v>jul-20</c:v>
                </c:pt>
                <c:pt idx="19">
                  <c:v>ago-20</c:v>
                </c:pt>
                <c:pt idx="20">
                  <c:v>sep-20</c:v>
                </c:pt>
                <c:pt idx="21">
                  <c:v>oct-20</c:v>
                </c:pt>
                <c:pt idx="22">
                  <c:v>nov-20</c:v>
                </c:pt>
                <c:pt idx="23">
                  <c:v>dic-20</c:v>
                </c:pt>
                <c:pt idx="24">
                  <c:v>ene-21</c:v>
                </c:pt>
                <c:pt idx="25">
                  <c:v>feb-21</c:v>
                </c:pt>
                <c:pt idx="26">
                  <c:v>mar-21</c:v>
                </c:pt>
                <c:pt idx="27">
                  <c:v>abr-21</c:v>
                </c:pt>
                <c:pt idx="28">
                  <c:v>may-21</c:v>
                </c:pt>
                <c:pt idx="29">
                  <c:v>jun-21</c:v>
                </c:pt>
                <c:pt idx="30">
                  <c:v>jul-21</c:v>
                </c:pt>
                <c:pt idx="31">
                  <c:v>ago-21</c:v>
                </c:pt>
                <c:pt idx="32">
                  <c:v>sep-21</c:v>
                </c:pt>
                <c:pt idx="33">
                  <c:v>oct-21</c:v>
                </c:pt>
                <c:pt idx="34">
                  <c:v>nov-21</c:v>
                </c:pt>
                <c:pt idx="35">
                  <c:v>dic-21</c:v>
                </c:pt>
                <c:pt idx="36">
                  <c:v>ene-22</c:v>
                </c:pt>
                <c:pt idx="37">
                  <c:v>feb-22</c:v>
                </c:pt>
                <c:pt idx="38">
                  <c:v>mar-22</c:v>
                </c:pt>
                <c:pt idx="39">
                  <c:v>abr-22</c:v>
                </c:pt>
                <c:pt idx="40">
                  <c:v>may-22</c:v>
                </c:pt>
                <c:pt idx="41">
                  <c:v>jun-22</c:v>
                </c:pt>
                <c:pt idx="42">
                  <c:v>jul-22</c:v>
                </c:pt>
                <c:pt idx="43">
                  <c:v>ago-22</c:v>
                </c:pt>
                <c:pt idx="44">
                  <c:v>sep-22</c:v>
                </c:pt>
                <c:pt idx="45">
                  <c:v>oct-22</c:v>
                </c:pt>
                <c:pt idx="46">
                  <c:v>nov-22</c:v>
                </c:pt>
                <c:pt idx="47">
                  <c:v>dic-22</c:v>
                </c:pt>
                <c:pt idx="48">
                  <c:v>ene-23</c:v>
                </c:pt>
              </c:strCache>
            </c:strRef>
          </c:cat>
          <c:val>
            <c:numRef>
              <c:f>'ipc - Quito'!$B$2:$AX$2</c:f>
              <c:numCache>
                <c:formatCode>General</c:formatCode>
                <c:ptCount val="49"/>
                <c:pt idx="0">
                  <c:v>105.84271829400646</c:v>
                </c:pt>
                <c:pt idx="1">
                  <c:v>105.51215459526706</c:v>
                </c:pt>
                <c:pt idx="2">
                  <c:v>105.26850684079916</c:v>
                </c:pt>
                <c:pt idx="3">
                  <c:v>105.38869730240248</c:v>
                </c:pt>
                <c:pt idx="4">
                  <c:v>105.44223903836809</c:v>
                </c:pt>
                <c:pt idx="5">
                  <c:v>105.4789371141738</c:v>
                </c:pt>
                <c:pt idx="6">
                  <c:v>105.7643059683255</c:v>
                </c:pt>
                <c:pt idx="7">
                  <c:v>105.6437756228662</c:v>
                </c:pt>
                <c:pt idx="8">
                  <c:v>105.74656609474818</c:v>
                </c:pt>
                <c:pt idx="9">
                  <c:v>106.12002996978411</c:v>
                </c:pt>
                <c:pt idx="10">
                  <c:v>105.3817217011588</c:v>
                </c:pt>
                <c:pt idx="11">
                  <c:v>105.28013514740714</c:v>
                </c:pt>
                <c:pt idx="12">
                  <c:v>105.47164231968124</c:v>
                </c:pt>
                <c:pt idx="13">
                  <c:v>105.34464627132816</c:v>
                </c:pt>
                <c:pt idx="14">
                  <c:v>105.66010930680228</c:v>
                </c:pt>
                <c:pt idx="15">
                  <c:v>105.46963322391171</c:v>
                </c:pt>
                <c:pt idx="16">
                  <c:v>105.54296318398472</c:v>
                </c:pt>
                <c:pt idx="17">
                  <c:v>105.29479395565971</c:v>
                </c:pt>
                <c:pt idx="18">
                  <c:v>104.6721733925622</c:v>
                </c:pt>
                <c:pt idx="19">
                  <c:v>104.52843428736684</c:v>
                </c:pt>
                <c:pt idx="20">
                  <c:v>104.2961107495809</c:v>
                </c:pt>
                <c:pt idx="21">
                  <c:v>103.95709806266366</c:v>
                </c:pt>
                <c:pt idx="22">
                  <c:v>103.98096721411784</c:v>
                </c:pt>
                <c:pt idx="23">
                  <c:v>103.98096721411784</c:v>
                </c:pt>
                <c:pt idx="24">
                  <c:v>104.05</c:v>
                </c:pt>
                <c:pt idx="25">
                  <c:v>103.99</c:v>
                </c:pt>
                <c:pt idx="26">
                  <c:v>104.21</c:v>
                </c:pt>
                <c:pt idx="27">
                  <c:v>104.42</c:v>
                </c:pt>
                <c:pt idx="28">
                  <c:v>104.36</c:v>
                </c:pt>
                <c:pt idx="29">
                  <c:v>104.39</c:v>
                </c:pt>
                <c:pt idx="30">
                  <c:v>104.82</c:v>
                </c:pt>
                <c:pt idx="31">
                  <c:v>105.06</c:v>
                </c:pt>
                <c:pt idx="32">
                  <c:v>105</c:v>
                </c:pt>
                <c:pt idx="33">
                  <c:v>105.21</c:v>
                </c:pt>
                <c:pt idx="34">
                  <c:v>105.98</c:v>
                </c:pt>
                <c:pt idx="35">
                  <c:v>106.1</c:v>
                </c:pt>
                <c:pt idx="36" formatCode="0.00">
                  <c:v>106.6275862258244</c:v>
                </c:pt>
                <c:pt idx="37" formatCode="0.00">
                  <c:v>106.92250368893606</c:v>
                </c:pt>
                <c:pt idx="38" formatCode="0.00">
                  <c:v>106.94</c:v>
                </c:pt>
                <c:pt idx="39">
                  <c:v>107.36</c:v>
                </c:pt>
                <c:pt idx="40">
                  <c:v>107.81</c:v>
                </c:pt>
                <c:pt idx="41">
                  <c:v>108.36</c:v>
                </c:pt>
                <c:pt idx="42">
                  <c:v>108.83</c:v>
                </c:pt>
                <c:pt idx="43">
                  <c:v>109.15</c:v>
                </c:pt>
                <c:pt idx="44">
                  <c:v>109.81</c:v>
                </c:pt>
                <c:pt idx="45">
                  <c:v>110.05</c:v>
                </c:pt>
                <c:pt idx="46" formatCode="0.00">
                  <c:v>110</c:v>
                </c:pt>
                <c:pt idx="47">
                  <c:v>110.15</c:v>
                </c:pt>
                <c:pt idx="48">
                  <c:v>110.33</c:v>
                </c:pt>
              </c:numCache>
            </c:numRef>
          </c:val>
          <c:extLst>
            <c:ext xmlns:c16="http://schemas.microsoft.com/office/drawing/2014/chart" uri="{C3380CC4-5D6E-409C-BE32-E72D297353CC}">
              <c16:uniqueId val="{00000000-B4FC-4508-9F62-7C7DB3026377}"/>
            </c:ext>
          </c:extLst>
        </c:ser>
        <c:dLbls>
          <c:showLegendKey val="0"/>
          <c:showVal val="0"/>
          <c:showCatName val="0"/>
          <c:showSerName val="0"/>
          <c:showPercent val="0"/>
          <c:showBubbleSize val="0"/>
        </c:dLbls>
        <c:gapWidth val="219"/>
        <c:axId val="383548104"/>
        <c:axId val="383550456"/>
      </c:barChart>
      <c:lineChart>
        <c:grouping val="standard"/>
        <c:varyColors val="0"/>
        <c:ser>
          <c:idx val="1"/>
          <c:order val="1"/>
          <c:tx>
            <c:strRef>
              <c:f>'ipc - Quito'!$A$3</c:f>
              <c:strCache>
                <c:ptCount val="1"/>
                <c:pt idx="0">
                  <c:v>Variación mensual </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cat>
            <c:strRef>
              <c:f>'ipc - Quito'!$B$1:$AX$1</c:f>
              <c:strCache>
                <c:ptCount val="49"/>
                <c:pt idx="0">
                  <c:v>ene-19</c:v>
                </c:pt>
                <c:pt idx="1">
                  <c:v>feb-19</c:v>
                </c:pt>
                <c:pt idx="2">
                  <c:v>mar-19</c:v>
                </c:pt>
                <c:pt idx="3">
                  <c:v>abr-19</c:v>
                </c:pt>
                <c:pt idx="4">
                  <c:v>may-19</c:v>
                </c:pt>
                <c:pt idx="5">
                  <c:v>jun-19</c:v>
                </c:pt>
                <c:pt idx="6">
                  <c:v>jul-19</c:v>
                </c:pt>
                <c:pt idx="7">
                  <c:v>ago-19</c:v>
                </c:pt>
                <c:pt idx="8">
                  <c:v>sep-19</c:v>
                </c:pt>
                <c:pt idx="9">
                  <c:v>oct-19</c:v>
                </c:pt>
                <c:pt idx="10">
                  <c:v>nov-19</c:v>
                </c:pt>
                <c:pt idx="11">
                  <c:v>dic-19</c:v>
                </c:pt>
                <c:pt idx="12">
                  <c:v>ene-20</c:v>
                </c:pt>
                <c:pt idx="13">
                  <c:v>feb-20</c:v>
                </c:pt>
                <c:pt idx="14">
                  <c:v>mar-20</c:v>
                </c:pt>
                <c:pt idx="15">
                  <c:v>abr-20</c:v>
                </c:pt>
                <c:pt idx="16">
                  <c:v>may-20</c:v>
                </c:pt>
                <c:pt idx="17">
                  <c:v>jun-20</c:v>
                </c:pt>
                <c:pt idx="18">
                  <c:v>jul-20</c:v>
                </c:pt>
                <c:pt idx="19">
                  <c:v>ago-20</c:v>
                </c:pt>
                <c:pt idx="20">
                  <c:v>sep-20</c:v>
                </c:pt>
                <c:pt idx="21">
                  <c:v>oct-20</c:v>
                </c:pt>
                <c:pt idx="22">
                  <c:v>nov-20</c:v>
                </c:pt>
                <c:pt idx="23">
                  <c:v>dic-20</c:v>
                </c:pt>
                <c:pt idx="24">
                  <c:v>ene-21</c:v>
                </c:pt>
                <c:pt idx="25">
                  <c:v>feb-21</c:v>
                </c:pt>
                <c:pt idx="26">
                  <c:v>mar-21</c:v>
                </c:pt>
                <c:pt idx="27">
                  <c:v>abr-21</c:v>
                </c:pt>
                <c:pt idx="28">
                  <c:v>may-21</c:v>
                </c:pt>
                <c:pt idx="29">
                  <c:v>jun-21</c:v>
                </c:pt>
                <c:pt idx="30">
                  <c:v>jul-21</c:v>
                </c:pt>
                <c:pt idx="31">
                  <c:v>ago-21</c:v>
                </c:pt>
                <c:pt idx="32">
                  <c:v>sep-21</c:v>
                </c:pt>
                <c:pt idx="33">
                  <c:v>oct-21</c:v>
                </c:pt>
                <c:pt idx="34">
                  <c:v>nov-21</c:v>
                </c:pt>
                <c:pt idx="35">
                  <c:v>dic-21</c:v>
                </c:pt>
                <c:pt idx="36">
                  <c:v>ene-22</c:v>
                </c:pt>
                <c:pt idx="37">
                  <c:v>feb-22</c:v>
                </c:pt>
                <c:pt idx="38">
                  <c:v>mar-22</c:v>
                </c:pt>
                <c:pt idx="39">
                  <c:v>abr-22</c:v>
                </c:pt>
                <c:pt idx="40">
                  <c:v>may-22</c:v>
                </c:pt>
                <c:pt idx="41">
                  <c:v>jun-22</c:v>
                </c:pt>
                <c:pt idx="42">
                  <c:v>jul-22</c:v>
                </c:pt>
                <c:pt idx="43">
                  <c:v>ago-22</c:v>
                </c:pt>
                <c:pt idx="44">
                  <c:v>sep-22</c:v>
                </c:pt>
                <c:pt idx="45">
                  <c:v>oct-22</c:v>
                </c:pt>
                <c:pt idx="46">
                  <c:v>nov-22</c:v>
                </c:pt>
                <c:pt idx="47">
                  <c:v>dic-22</c:v>
                </c:pt>
                <c:pt idx="48">
                  <c:v>ene-23</c:v>
                </c:pt>
              </c:strCache>
            </c:strRef>
          </c:cat>
          <c:val>
            <c:numRef>
              <c:f>'ipc - Quito'!$B$3:$AX$3</c:f>
              <c:numCache>
                <c:formatCode>0.00%</c:formatCode>
                <c:ptCount val="49"/>
                <c:pt idx="1">
                  <c:v>-3.1231595717445826E-3</c:v>
                </c:pt>
                <c:pt idx="2">
                  <c:v>-2.3091913476935844E-3</c:v>
                </c:pt>
                <c:pt idx="3">
                  <c:v>1.1417513671498902E-3</c:v>
                </c:pt>
                <c:pt idx="4">
                  <c:v>5.0804059008324742E-4</c:v>
                </c:pt>
                <c:pt idx="5">
                  <c:v>3.4803961050533516E-4</c:v>
                </c:pt>
                <c:pt idx="6">
                  <c:v>2.705458188707377E-3</c:v>
                </c:pt>
                <c:pt idx="7">
                  <c:v>-1.1396126921628946E-3</c:v>
                </c:pt>
                <c:pt idx="8">
                  <c:v>9.7299127445915623E-4</c:v>
                </c:pt>
                <c:pt idx="9">
                  <c:v>3.531687967071262E-3</c:v>
                </c:pt>
                <c:pt idx="10">
                  <c:v>-6.9572941963504942E-3</c:v>
                </c:pt>
                <c:pt idx="11">
                  <c:v>-9.6398646854278791E-4</c:v>
                </c:pt>
                <c:pt idx="12">
                  <c:v>1.8190247571963081E-3</c:v>
                </c:pt>
                <c:pt idx="13">
                  <c:v>-1.2040776606868642E-3</c:v>
                </c:pt>
                <c:pt idx="14">
                  <c:v>2.9945806136328912E-3</c:v>
                </c:pt>
                <c:pt idx="15">
                  <c:v>-1.8027246435784461E-3</c:v>
                </c:pt>
                <c:pt idx="16">
                  <c:v>6.9527083608345031E-4</c:v>
                </c:pt>
                <c:pt idx="17">
                  <c:v>-2.3513574078112276E-3</c:v>
                </c:pt>
                <c:pt idx="18">
                  <c:v>-5.9131182056323395E-3</c:v>
                </c:pt>
                <c:pt idx="19">
                  <c:v>-1.3732313043341993E-3</c:v>
                </c:pt>
                <c:pt idx="20">
                  <c:v>-2.2225869866875358E-3</c:v>
                </c:pt>
                <c:pt idx="21">
                  <c:v>-3.250482539384647E-3</c:v>
                </c:pt>
                <c:pt idx="22">
                  <c:v>2.2960578833952638E-4</c:v>
                </c:pt>
                <c:pt idx="23">
                  <c:v>0</c:v>
                </c:pt>
                <c:pt idx="24">
                  <c:v>6.6389828573143461E-4</c:v>
                </c:pt>
                <c:pt idx="25">
                  <c:v>-5.7664584334460312E-4</c:v>
                </c:pt>
                <c:pt idx="26">
                  <c:v>2.1155880373113778E-3</c:v>
                </c:pt>
                <c:pt idx="27">
                  <c:v>2.0151616927359672E-3</c:v>
                </c:pt>
                <c:pt idx="28">
                  <c:v>-5.7460256655816888E-4</c:v>
                </c:pt>
                <c:pt idx="29">
                  <c:v>2.8746646224608874E-4</c:v>
                </c:pt>
                <c:pt idx="30">
                  <c:v>4.1191685027299751E-3</c:v>
                </c:pt>
                <c:pt idx="31">
                  <c:v>2.2896393817974925E-3</c:v>
                </c:pt>
                <c:pt idx="32">
                  <c:v>-5.711022272987254E-4</c:v>
                </c:pt>
                <c:pt idx="33">
                  <c:v>2.0000000000000018E-3</c:v>
                </c:pt>
                <c:pt idx="34">
                  <c:v>7.3186959414506259E-3</c:v>
                </c:pt>
                <c:pt idx="35">
                  <c:v>1.1322891111529287E-3</c:v>
                </c:pt>
                <c:pt idx="36">
                  <c:v>4.9725374724260973E-3</c:v>
                </c:pt>
                <c:pt idx="37">
                  <c:v>2.7658645717352215E-3</c:v>
                </c:pt>
                <c:pt idx="38">
                  <c:v>1.636354411866936E-4</c:v>
                </c:pt>
                <c:pt idx="39">
                  <c:v>3.9274359453900232E-3</c:v>
                </c:pt>
                <c:pt idx="40">
                  <c:v>4.1915052160954591E-3</c:v>
                </c:pt>
                <c:pt idx="41">
                  <c:v>5.1015675725814003E-3</c:v>
                </c:pt>
                <c:pt idx="42">
                  <c:v>4.3373938722774952E-3</c:v>
                </c:pt>
                <c:pt idx="43">
                  <c:v>2.9403657079849488E-3</c:v>
                </c:pt>
                <c:pt idx="44">
                  <c:v>6.0467246907924821E-3</c:v>
                </c:pt>
                <c:pt idx="45">
                  <c:v>2.1855932975138881E-3</c:v>
                </c:pt>
                <c:pt idx="46">
                  <c:v>-4.5433893684687643E-4</c:v>
                </c:pt>
                <c:pt idx="47">
                  <c:v>1.3636363636364557E-3</c:v>
                </c:pt>
                <c:pt idx="48">
                  <c:v>1.6341352700861567E-3</c:v>
                </c:pt>
              </c:numCache>
            </c:numRef>
          </c:val>
          <c:smooth val="0"/>
          <c:extLst>
            <c:ext xmlns:c16="http://schemas.microsoft.com/office/drawing/2014/chart" uri="{C3380CC4-5D6E-409C-BE32-E72D297353CC}">
              <c16:uniqueId val="{00000001-B4FC-4508-9F62-7C7DB3026377}"/>
            </c:ext>
          </c:extLst>
        </c:ser>
        <c:ser>
          <c:idx val="2"/>
          <c:order val="2"/>
          <c:tx>
            <c:strRef>
              <c:f>'ipc - Quito'!$A$4</c:f>
              <c:strCache>
                <c:ptCount val="1"/>
                <c:pt idx="0">
                  <c:v>Variación anual</c:v>
                </c:pt>
              </c:strCache>
            </c:strRef>
          </c:tx>
          <c:spPr>
            <a:ln w="19050" cap="rnd">
              <a:solidFill>
                <a:schemeClr val="accent1"/>
              </a:solidFill>
              <a:round/>
            </a:ln>
            <a:effectLst/>
          </c:spPr>
          <c:marker>
            <c:symbol val="circle"/>
            <c:size val="5"/>
            <c:spPr>
              <a:solidFill>
                <a:schemeClr val="accent3"/>
              </a:solidFill>
              <a:ln w="9525">
                <a:solidFill>
                  <a:schemeClr val="accent3"/>
                </a:solidFill>
              </a:ln>
              <a:effectLst/>
            </c:spPr>
          </c:marker>
          <c:dLbls>
            <c:dLbl>
              <c:idx val="35"/>
              <c:layout>
                <c:manualLayout>
                  <c:x val="-3.4703196347031964E-2"/>
                  <c:y val="-7.2222222222222215E-2"/>
                </c:manualLayout>
              </c:layout>
              <c:spPr>
                <a:noFill/>
                <a:ln>
                  <a:solidFill>
                    <a:schemeClr val="bg2"/>
                  </a:solid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4FC-4508-9F62-7C7DB3026377}"/>
                </c:ext>
              </c:extLst>
            </c:dLbl>
            <c:dLbl>
              <c:idx val="47"/>
              <c:layout>
                <c:manualLayout>
                  <c:x val="-2.7397260273972601E-2"/>
                  <c:y val="-7.2222222222222215E-2"/>
                </c:manualLayout>
              </c:layout>
              <c:spPr>
                <a:noFill/>
                <a:ln>
                  <a:solidFill>
                    <a:schemeClr val="bg2"/>
                  </a:solid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4FC-4508-9F62-7C7DB3026377}"/>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'ipc - Quito'!$B$1:$AX$1</c:f>
              <c:strCache>
                <c:ptCount val="49"/>
                <c:pt idx="0">
                  <c:v>ene-19</c:v>
                </c:pt>
                <c:pt idx="1">
                  <c:v>feb-19</c:v>
                </c:pt>
                <c:pt idx="2">
                  <c:v>mar-19</c:v>
                </c:pt>
                <c:pt idx="3">
                  <c:v>abr-19</c:v>
                </c:pt>
                <c:pt idx="4">
                  <c:v>may-19</c:v>
                </c:pt>
                <c:pt idx="5">
                  <c:v>jun-19</c:v>
                </c:pt>
                <c:pt idx="6">
                  <c:v>jul-19</c:v>
                </c:pt>
                <c:pt idx="7">
                  <c:v>ago-19</c:v>
                </c:pt>
                <c:pt idx="8">
                  <c:v>sep-19</c:v>
                </c:pt>
                <c:pt idx="9">
                  <c:v>oct-19</c:v>
                </c:pt>
                <c:pt idx="10">
                  <c:v>nov-19</c:v>
                </c:pt>
                <c:pt idx="11">
                  <c:v>dic-19</c:v>
                </c:pt>
                <c:pt idx="12">
                  <c:v>ene-20</c:v>
                </c:pt>
                <c:pt idx="13">
                  <c:v>feb-20</c:v>
                </c:pt>
                <c:pt idx="14">
                  <c:v>mar-20</c:v>
                </c:pt>
                <c:pt idx="15">
                  <c:v>abr-20</c:v>
                </c:pt>
                <c:pt idx="16">
                  <c:v>may-20</c:v>
                </c:pt>
                <c:pt idx="17">
                  <c:v>jun-20</c:v>
                </c:pt>
                <c:pt idx="18">
                  <c:v>jul-20</c:v>
                </c:pt>
                <c:pt idx="19">
                  <c:v>ago-20</c:v>
                </c:pt>
                <c:pt idx="20">
                  <c:v>sep-20</c:v>
                </c:pt>
                <c:pt idx="21">
                  <c:v>oct-20</c:v>
                </c:pt>
                <c:pt idx="22">
                  <c:v>nov-20</c:v>
                </c:pt>
                <c:pt idx="23">
                  <c:v>dic-20</c:v>
                </c:pt>
                <c:pt idx="24">
                  <c:v>ene-21</c:v>
                </c:pt>
                <c:pt idx="25">
                  <c:v>feb-21</c:v>
                </c:pt>
                <c:pt idx="26">
                  <c:v>mar-21</c:v>
                </c:pt>
                <c:pt idx="27">
                  <c:v>abr-21</c:v>
                </c:pt>
                <c:pt idx="28">
                  <c:v>may-21</c:v>
                </c:pt>
                <c:pt idx="29">
                  <c:v>jun-21</c:v>
                </c:pt>
                <c:pt idx="30">
                  <c:v>jul-21</c:v>
                </c:pt>
                <c:pt idx="31">
                  <c:v>ago-21</c:v>
                </c:pt>
                <c:pt idx="32">
                  <c:v>sep-21</c:v>
                </c:pt>
                <c:pt idx="33">
                  <c:v>oct-21</c:v>
                </c:pt>
                <c:pt idx="34">
                  <c:v>nov-21</c:v>
                </c:pt>
                <c:pt idx="35">
                  <c:v>dic-21</c:v>
                </c:pt>
                <c:pt idx="36">
                  <c:v>ene-22</c:v>
                </c:pt>
                <c:pt idx="37">
                  <c:v>feb-22</c:v>
                </c:pt>
                <c:pt idx="38">
                  <c:v>mar-22</c:v>
                </c:pt>
                <c:pt idx="39">
                  <c:v>abr-22</c:v>
                </c:pt>
                <c:pt idx="40">
                  <c:v>may-22</c:v>
                </c:pt>
                <c:pt idx="41">
                  <c:v>jun-22</c:v>
                </c:pt>
                <c:pt idx="42">
                  <c:v>jul-22</c:v>
                </c:pt>
                <c:pt idx="43">
                  <c:v>ago-22</c:v>
                </c:pt>
                <c:pt idx="44">
                  <c:v>sep-22</c:v>
                </c:pt>
                <c:pt idx="45">
                  <c:v>oct-22</c:v>
                </c:pt>
                <c:pt idx="46">
                  <c:v>nov-22</c:v>
                </c:pt>
                <c:pt idx="47">
                  <c:v>dic-22</c:v>
                </c:pt>
                <c:pt idx="48">
                  <c:v>ene-23</c:v>
                </c:pt>
              </c:strCache>
            </c:strRef>
          </c:cat>
          <c:val>
            <c:numRef>
              <c:f>'ipc - Quito'!$B$4:$AX$4</c:f>
              <c:numCache>
                <c:formatCode>General</c:formatCode>
                <c:ptCount val="49"/>
                <c:pt idx="12" formatCode="0.00%">
                  <c:v>-3.505918785026485E-3</c:v>
                </c:pt>
                <c:pt idx="13" formatCode="0.00%">
                  <c:v>-1.5875737215437224E-3</c:v>
                </c:pt>
                <c:pt idx="14" formatCode="0.00%">
                  <c:v>3.7200343935281932E-3</c:v>
                </c:pt>
                <c:pt idx="15" formatCode="0.00%">
                  <c:v>7.6797534821970714E-4</c:v>
                </c:pt>
                <c:pt idx="16" formatCode="0.00%">
                  <c:v>9.5525423715625557E-4</c:v>
                </c:pt>
                <c:pt idx="17" formatCode="0.00%">
                  <c:v>-1.745781324235085E-3</c:v>
                </c:pt>
                <c:pt idx="18" formatCode="0.00%">
                  <c:v>-1.0326097881173446E-2</c:v>
                </c:pt>
                <c:pt idx="19" formatCode="0.00%">
                  <c:v>-1.0557567910872256E-2</c:v>
                </c:pt>
                <c:pt idx="20" formatCode="0.00%">
                  <c:v>-1.3716335184517203E-2</c:v>
                </c:pt>
                <c:pt idx="21" formatCode="0.00%">
                  <c:v>-2.038193833658275E-2</c:v>
                </c:pt>
                <c:pt idx="22" formatCode="0.00%">
                  <c:v>-1.3292195880166169E-2</c:v>
                </c:pt>
                <c:pt idx="23" formatCode="0.00%">
                  <c:v>-1.2340105105965837E-2</c:v>
                </c:pt>
                <c:pt idx="24" formatCode="0.00%">
                  <c:v>-1.3478905688908194E-2</c:v>
                </c:pt>
                <c:pt idx="25" formatCode="0.00%">
                  <c:v>-1.2859184773748256E-2</c:v>
                </c:pt>
                <c:pt idx="26" formatCode="0.00%">
                  <c:v>-1.3724283613900545E-2</c:v>
                </c:pt>
                <c:pt idx="27" formatCode="0.00%">
                  <c:v>-9.9519946341649623E-3</c:v>
                </c:pt>
                <c:pt idx="28" formatCode="0.00%">
                  <c:v>-1.1208356751577608E-2</c:v>
                </c:pt>
                <c:pt idx="29" formatCode="0.00%">
                  <c:v>-8.5929600284010421E-3</c:v>
                </c:pt>
                <c:pt idx="30" formatCode="0.00%">
                  <c:v>1.4122818190025477E-3</c:v>
                </c:pt>
                <c:pt idx="31" formatCode="0.00%">
                  <c:v>5.0853695098100893E-3</c:v>
                </c:pt>
                <c:pt idx="32" formatCode="0.00%">
                  <c:v>6.748950132082765E-3</c:v>
                </c:pt>
                <c:pt idx="33" formatCode="0.00%">
                  <c:v>1.2052105730972817E-2</c:v>
                </c:pt>
                <c:pt idx="34" formatCode="0.00%">
                  <c:v>1.9224987412992167E-2</c:v>
                </c:pt>
                <c:pt idx="35" formatCode="0.00%">
                  <c:v>2.0379044768054966E-2</c:v>
                </c:pt>
                <c:pt idx="36" formatCode="0.00%">
                  <c:v>2.4772573049729907E-2</c:v>
                </c:pt>
                <c:pt idx="37" formatCode="0.00%">
                  <c:v>2.8199862380383411E-2</c:v>
                </c:pt>
                <c:pt idx="38" formatCode="0.00%">
                  <c:v>2.6197102005565798E-2</c:v>
                </c:pt>
                <c:pt idx="39" formatCode="0.00%">
                  <c:v>2.8155525761348388E-2</c:v>
                </c:pt>
                <c:pt idx="40" formatCode="0.00%">
                  <c:v>3.3058643158298207E-2</c:v>
                </c:pt>
                <c:pt idx="41" formatCode="0.00%">
                  <c:v>3.8030462687996813E-2</c:v>
                </c:pt>
                <c:pt idx="42" formatCode="0.00%">
                  <c:v>3.8256058004197735E-2</c:v>
                </c:pt>
                <c:pt idx="43" formatCode="0.00%">
                  <c:v>3.8930135160860413E-2</c:v>
                </c:pt>
                <c:pt idx="44" formatCode="0.00%">
                  <c:v>4.5809523809523744E-2</c:v>
                </c:pt>
                <c:pt idx="45" formatCode="0.00%">
                  <c:v>4.6003231631974284E-2</c:v>
                </c:pt>
                <c:pt idx="46" formatCode="0.00%">
                  <c:v>3.793168522362711E-2</c:v>
                </c:pt>
                <c:pt idx="47" formatCode="0.00%">
                  <c:v>3.8171536286522256E-2</c:v>
                </c:pt>
                <c:pt idx="48" formatCode="0.00%">
                  <c:v>3.4722850860886334E-2</c:v>
                </c:pt>
              </c:numCache>
            </c:numRef>
          </c:val>
          <c:smooth val="0"/>
          <c:extLst>
            <c:ext xmlns:c16="http://schemas.microsoft.com/office/drawing/2014/chart" uri="{C3380CC4-5D6E-409C-BE32-E72D297353CC}">
              <c16:uniqueId val="{00000004-B4FC-4508-9F62-7C7DB3026377}"/>
            </c:ext>
          </c:extLst>
        </c:ser>
        <c:dLbls>
          <c:showLegendKey val="0"/>
          <c:showVal val="0"/>
          <c:showCatName val="0"/>
          <c:showSerName val="0"/>
          <c:showPercent val="0"/>
          <c:showBubbleSize val="0"/>
        </c:dLbls>
        <c:marker val="1"/>
        <c:smooth val="0"/>
        <c:axId val="449167000"/>
        <c:axId val="383550848"/>
      </c:lineChart>
      <c:catAx>
        <c:axId val="383548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83550456"/>
        <c:crosses val="autoZero"/>
        <c:auto val="1"/>
        <c:lblAlgn val="ctr"/>
        <c:lblOffset val="100"/>
        <c:noMultiLvlLbl val="0"/>
      </c:catAx>
      <c:valAx>
        <c:axId val="383550456"/>
        <c:scaling>
          <c:orientation val="minMax"/>
        </c:scaling>
        <c:delete val="0"/>
        <c:axPos val="l"/>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83548104"/>
        <c:crosses val="autoZero"/>
        <c:crossBetween val="between"/>
      </c:valAx>
      <c:valAx>
        <c:axId val="383550848"/>
        <c:scaling>
          <c:orientation val="minMax"/>
        </c:scaling>
        <c:delete val="0"/>
        <c:axPos val="r"/>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49167000"/>
        <c:crosses val="max"/>
        <c:crossBetween val="between"/>
      </c:valAx>
      <c:catAx>
        <c:axId val="449167000"/>
        <c:scaling>
          <c:orientation val="minMax"/>
        </c:scaling>
        <c:delete val="1"/>
        <c:axPos val="b"/>
        <c:numFmt formatCode="General" sourceLinked="1"/>
        <c:majorTickMark val="out"/>
        <c:minorTickMark val="none"/>
        <c:tickLblPos val="nextTo"/>
        <c:crossAx val="38355084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26181102362205"/>
          <c:y val="2.7777777777777776E-2"/>
          <c:w val="0.82434208223972005"/>
          <c:h val="0.58477981918926802"/>
        </c:manualLayout>
      </c:layout>
      <c:barChart>
        <c:barDir val="col"/>
        <c:grouping val="clustered"/>
        <c:varyColors val="0"/>
        <c:ser>
          <c:idx val="0"/>
          <c:order val="0"/>
          <c:tx>
            <c:strRef>
              <c:f>'G:\Mi unidad\Profitas\clientes\AEI\[Gráficos economía post pandemia (1).xlsx]Gráfico 12'!$C$9</c:f>
              <c:strCache>
                <c:ptCount val="1"/>
                <c:pt idx="0">
                  <c:v>2019</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'G:\Mi unidad\Profitas\clientes\AEI\[Gráficos economía post pandemia (1).xlsx]Gráfico 12'!$D$8:$Q$8</c:f>
              <c:strCache>
                <c:ptCount val="14"/>
                <c:pt idx="0">
                  <c:v>Agricultura, ganadería</c:v>
                </c:pt>
                <c:pt idx="1">
                  <c:v>Minas y canteras</c:v>
                </c:pt>
                <c:pt idx="2">
                  <c:v>Manufactura</c:v>
                </c:pt>
                <c:pt idx="3">
                  <c:v>Electricidad y agua</c:v>
                </c:pt>
                <c:pt idx="4">
                  <c:v>Construcción</c:v>
                </c:pt>
                <c:pt idx="5">
                  <c:v>Comercio</c:v>
                </c:pt>
                <c:pt idx="6">
                  <c:v>Alojamiento y comida</c:v>
                </c:pt>
                <c:pt idx="7">
                  <c:v>Transporte y comunic.</c:v>
                </c:pt>
                <c:pt idx="8">
                  <c:v>Actividades financieras
</c:v>
                </c:pt>
                <c:pt idx="9">
                  <c:v>Actividades profesionales</c:v>
                </c:pt>
                <c:pt idx="10">
                  <c:v>Administración pública 
</c:v>
                </c:pt>
                <c:pt idx="11">
                  <c:v>Enseñanza</c:v>
                </c:pt>
                <c:pt idx="12">
                  <c:v>Salud</c:v>
                </c:pt>
                <c:pt idx="13">
                  <c:v>Otros servicios</c:v>
                </c:pt>
              </c:strCache>
            </c:strRef>
          </c:cat>
          <c:val>
            <c:numRef>
              <c:f>'G:\Mi unidad\Profitas\clientes\AEI\[Gráficos economía post pandemia (1).xlsx]Gráfico 12'!$D$9:$Q$9</c:f>
              <c:numCache>
                <c:formatCode>General</c:formatCode>
                <c:ptCount val="14"/>
                <c:pt idx="0">
                  <c:v>1.8416699906311593E-2</c:v>
                </c:pt>
                <c:pt idx="1">
                  <c:v>3.7002477453930184E-3</c:v>
                </c:pt>
                <c:pt idx="2">
                  <c:v>0.17830539353963754</c:v>
                </c:pt>
                <c:pt idx="3">
                  <c:v>1.5375949558759221E-2</c:v>
                </c:pt>
                <c:pt idx="4">
                  <c:v>9.1110586985526432E-2</c:v>
                </c:pt>
                <c:pt idx="5">
                  <c:v>6.6037508324076732E-2</c:v>
                </c:pt>
                <c:pt idx="6">
                  <c:v>2.1902942794398379E-2</c:v>
                </c:pt>
                <c:pt idx="7">
                  <c:v>7.972315027343807E-2</c:v>
                </c:pt>
                <c:pt idx="8">
                  <c:v>6.7120032518496145E-2</c:v>
                </c:pt>
                <c:pt idx="9">
                  <c:v>0.22907020842622774</c:v>
                </c:pt>
                <c:pt idx="10">
                  <c:v>0.12594932857199281</c:v>
                </c:pt>
                <c:pt idx="11">
                  <c:v>3.7414638815999171E-2</c:v>
                </c:pt>
                <c:pt idx="12">
                  <c:v>3.210586567201925E-2</c:v>
                </c:pt>
                <c:pt idx="13">
                  <c:v>3.3767446867723851E-2</c:v>
                </c:pt>
              </c:numCache>
            </c:numRef>
          </c:val>
          <c:extLst>
            <c:ext xmlns:c16="http://schemas.microsoft.com/office/drawing/2014/chart" uri="{C3380CC4-5D6E-409C-BE32-E72D297353CC}">
              <c16:uniqueId val="{00000000-F73D-4D90-A3AC-090436DD88D8}"/>
            </c:ext>
          </c:extLst>
        </c:ser>
        <c:ser>
          <c:idx val="1"/>
          <c:order val="1"/>
          <c:tx>
            <c:strRef>
              <c:f>'G:\Mi unidad\Profitas\clientes\AEI\[Gráficos economía post pandemia (1).xlsx]Gráfico 12'!$C$10</c:f>
              <c:strCache>
                <c:ptCount val="1"/>
                <c:pt idx="0">
                  <c:v>2020</c:v>
                </c:pt>
              </c:strCache>
            </c:strRef>
          </c:tx>
          <c:spPr>
            <a:solidFill>
              <a:schemeClr val="tx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'G:\Mi unidad\Profitas\clientes\AEI\[Gráficos economía post pandemia (1).xlsx]Gráfico 12'!$D$8:$Q$8</c:f>
              <c:strCache>
                <c:ptCount val="14"/>
                <c:pt idx="0">
                  <c:v>Agricultura, ganadería</c:v>
                </c:pt>
                <c:pt idx="1">
                  <c:v>Minas y canteras</c:v>
                </c:pt>
                <c:pt idx="2">
                  <c:v>Manufactura</c:v>
                </c:pt>
                <c:pt idx="3">
                  <c:v>Electricidad y agua</c:v>
                </c:pt>
                <c:pt idx="4">
                  <c:v>Construcción</c:v>
                </c:pt>
                <c:pt idx="5">
                  <c:v>Comercio</c:v>
                </c:pt>
                <c:pt idx="6">
                  <c:v>Alojamiento y comida</c:v>
                </c:pt>
                <c:pt idx="7">
                  <c:v>Transporte y comunic.</c:v>
                </c:pt>
                <c:pt idx="8">
                  <c:v>Actividades financieras
</c:v>
                </c:pt>
                <c:pt idx="9">
                  <c:v>Actividades profesionales</c:v>
                </c:pt>
                <c:pt idx="10">
                  <c:v>Administración pública 
</c:v>
                </c:pt>
                <c:pt idx="11">
                  <c:v>Enseñanza</c:v>
                </c:pt>
                <c:pt idx="12">
                  <c:v>Salud</c:v>
                </c:pt>
                <c:pt idx="13">
                  <c:v>Otros servicios</c:v>
                </c:pt>
              </c:strCache>
            </c:strRef>
          </c:cat>
          <c:val>
            <c:numRef>
              <c:f>'G:\Mi unidad\Profitas\clientes\AEI\[Gráficos economía post pandemia (1).xlsx]Gráfico 12'!$D$10:$Q$10</c:f>
              <c:numCache>
                <c:formatCode>General</c:formatCode>
                <c:ptCount val="14"/>
                <c:pt idx="0">
                  <c:v>1.7439057303971918E-2</c:v>
                </c:pt>
                <c:pt idx="1">
                  <c:v>4.0101763531303156E-3</c:v>
                </c:pt>
                <c:pt idx="2">
                  <c:v>0.18216130072729506</c:v>
                </c:pt>
                <c:pt idx="3">
                  <c:v>1.5724553236957751E-2</c:v>
                </c:pt>
                <c:pt idx="4">
                  <c:v>7.1521851876342232E-2</c:v>
                </c:pt>
                <c:pt idx="5">
                  <c:v>6.1575229319127227E-2</c:v>
                </c:pt>
                <c:pt idx="6">
                  <c:v>1.8719729465144722E-2</c:v>
                </c:pt>
                <c:pt idx="7">
                  <c:v>7.7135465061803743E-2</c:v>
                </c:pt>
                <c:pt idx="8">
                  <c:v>7.082545450597752E-2</c:v>
                </c:pt>
                <c:pt idx="9">
                  <c:v>0.20489719347254043</c:v>
                </c:pt>
                <c:pt idx="10">
                  <c:v>0.16907795591083141</c:v>
                </c:pt>
                <c:pt idx="11">
                  <c:v>3.8252294320363228E-2</c:v>
                </c:pt>
                <c:pt idx="12">
                  <c:v>3.9841535527086476E-2</c:v>
                </c:pt>
                <c:pt idx="13">
                  <c:v>2.8818202919427952E-2</c:v>
                </c:pt>
              </c:numCache>
            </c:numRef>
          </c:val>
          <c:extLst>
            <c:ext xmlns:c16="http://schemas.microsoft.com/office/drawing/2014/chart" uri="{C3380CC4-5D6E-409C-BE32-E72D297353CC}">
              <c16:uniqueId val="{00000001-F73D-4D90-A3AC-090436DD88D8}"/>
            </c:ext>
          </c:extLst>
        </c:ser>
        <c:dLbls>
          <c:dLblPos val="outEnd"/>
          <c:showLegendKey val="0"/>
          <c:showVal val="1"/>
          <c:showCatName val="0"/>
          <c:showSerName val="0"/>
          <c:showPercent val="0"/>
          <c:showBubbleSize val="0"/>
        </c:dLbls>
        <c:gapWidth val="100"/>
        <c:overlap val="-27"/>
        <c:axId val="46682847"/>
        <c:axId val="46677023"/>
      </c:barChart>
      <c:catAx>
        <c:axId val="46682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677023"/>
        <c:crosses val="autoZero"/>
        <c:auto val="1"/>
        <c:lblAlgn val="ctr"/>
        <c:lblOffset val="100"/>
        <c:noMultiLvlLbl val="0"/>
      </c:catAx>
      <c:valAx>
        <c:axId val="46677023"/>
        <c:scaling>
          <c:orientation val="minMax"/>
          <c:max val="0.30000000000000004"/>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C"/>
                  <a:t>Peso en el VAB cantonal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682847"/>
        <c:crosses val="autoZero"/>
        <c:crossBetween val="between"/>
      </c:valAx>
      <c:spPr>
        <a:noFill/>
        <a:ln>
          <a:noFill/>
        </a:ln>
        <a:effectLst/>
      </c:spPr>
    </c:plotArea>
    <c:legend>
      <c:legendPos val="r"/>
      <c:layout>
        <c:manualLayout>
          <c:xMode val="edge"/>
          <c:yMode val="edge"/>
          <c:x val="0.41075962379702541"/>
          <c:y val="6.076334208223972E-2"/>
          <c:w val="0.19201815398075239"/>
          <c:h val="9.606590842811313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'g38'!$B$1</c:f>
              <c:strCache>
                <c:ptCount val="1"/>
                <c:pt idx="0">
                  <c:v>Ventas</c:v>
                </c:pt>
              </c:strCache>
            </c:strRef>
          </c:tx>
          <c:spPr>
            <a:solidFill>
              <a:schemeClr val="accent1"/>
            </a:solidFill>
            <a:ln>
              <a:noFill/>
            </a:ln>
            <a:effectLst/>
          </c:spPr>
          <c:invertIfNegative val="0"/>
          <c:dPt>
            <c:idx val="2"/>
            <c:invertIfNegative val="0"/>
            <c:bubble3D val="0"/>
            <c:spPr>
              <a:solidFill>
                <a:schemeClr val="tx1"/>
              </a:solidFill>
              <a:ln>
                <a:noFill/>
              </a:ln>
              <a:effectLst/>
            </c:spPr>
            <c:extLst>
              <c:ext xmlns:c16="http://schemas.microsoft.com/office/drawing/2014/chart" uri="{C3380CC4-5D6E-409C-BE32-E72D297353CC}">
                <c16:uniqueId val="{00000001-19F4-41D9-805F-23052FF5CD4D}"/>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'g38'!$A$2:$A$14</c:f>
              <c:strCache>
                <c:ptCount val="13"/>
                <c:pt idx="0">
                  <c:v>turismo</c:v>
                </c:pt>
                <c:pt idx="1">
                  <c:v>construcción</c:v>
                </c:pt>
                <c:pt idx="2">
                  <c:v>total</c:v>
                </c:pt>
                <c:pt idx="3">
                  <c:v>sustancias y productos químicos</c:v>
                </c:pt>
                <c:pt idx="4">
                  <c:v>floricultura </c:v>
                </c:pt>
                <c:pt idx="5">
                  <c:v>servicios financieros</c:v>
                </c:pt>
                <c:pt idx="6">
                  <c:v>productos alimenticios</c:v>
                </c:pt>
                <c:pt idx="7">
                  <c:v>servicios tecnológicos</c:v>
                </c:pt>
                <c:pt idx="8">
                  <c:v>productos de caucho y plástico</c:v>
                </c:pt>
                <c:pt idx="9">
                  <c:v>salud</c:v>
                </c:pt>
                <c:pt idx="10">
                  <c:v>industria forestal</c:v>
                </c:pt>
                <c:pt idx="11">
                  <c:v>productos farmacéuticos</c:v>
                </c:pt>
                <c:pt idx="12">
                  <c:v>comercio electrónico</c:v>
                </c:pt>
              </c:strCache>
            </c:strRef>
          </c:cat>
          <c:val>
            <c:numRef>
              <c:f>'g38'!$B$2:$B$14</c:f>
              <c:numCache>
                <c:formatCode>General</c:formatCode>
                <c:ptCount val="13"/>
                <c:pt idx="0">
                  <c:v>-0.54857472434649579</c:v>
                </c:pt>
                <c:pt idx="1">
                  <c:v>-0.34453322965304045</c:v>
                </c:pt>
                <c:pt idx="2">
                  <c:v>-0.22861972807790665</c:v>
                </c:pt>
                <c:pt idx="3">
                  <c:v>-0.14427873119445356</c:v>
                </c:pt>
                <c:pt idx="4">
                  <c:v>-8.5974918612641171E-2</c:v>
                </c:pt>
                <c:pt idx="5">
                  <c:v>-7.4040466643160441E-2</c:v>
                </c:pt>
                <c:pt idx="6">
                  <c:v>-6.30630169492985E-2</c:v>
                </c:pt>
                <c:pt idx="7">
                  <c:v>-5.0572986739350179E-2</c:v>
                </c:pt>
                <c:pt idx="8">
                  <c:v>-5.0408860391520927E-2</c:v>
                </c:pt>
                <c:pt idx="9">
                  <c:v>-4.5126613171048824E-2</c:v>
                </c:pt>
                <c:pt idx="10">
                  <c:v>3.5000000000000003E-2</c:v>
                </c:pt>
                <c:pt idx="11">
                  <c:v>5.9354738570585042E-2</c:v>
                </c:pt>
                <c:pt idx="12">
                  <c:v>8.5032007631334228E-2</c:v>
                </c:pt>
              </c:numCache>
            </c:numRef>
          </c:val>
          <c:extLst>
            <c:ext xmlns:c16="http://schemas.microsoft.com/office/drawing/2014/chart" uri="{C3380CC4-5D6E-409C-BE32-E72D297353CC}">
              <c16:uniqueId val="{00000002-19F4-41D9-805F-23052FF5CD4D}"/>
            </c:ext>
          </c:extLst>
        </c:ser>
        <c:dLbls>
          <c:dLblPos val="outEnd"/>
          <c:showLegendKey val="0"/>
          <c:showVal val="1"/>
          <c:showCatName val="0"/>
          <c:showSerName val="0"/>
          <c:showPercent val="0"/>
          <c:showBubbleSize val="0"/>
        </c:dLbls>
        <c:gapWidth val="100"/>
        <c:axId val="288457744"/>
        <c:axId val="288459824"/>
      </c:barChart>
      <c:catAx>
        <c:axId val="288457744"/>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459824"/>
        <c:crosses val="autoZero"/>
        <c:auto val="1"/>
        <c:lblAlgn val="ctr"/>
        <c:lblOffset val="100"/>
        <c:noMultiLvlLbl val="0"/>
      </c:catAx>
      <c:valAx>
        <c:axId val="288459824"/>
        <c:scaling>
          <c:orientation val="minMax"/>
          <c:min val="-0.70000000000000007"/>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45774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'g39'!$B$1</c:f>
              <c:strCache>
                <c:ptCount val="1"/>
                <c:pt idx="0">
                  <c:v>IHH</c:v>
                </c:pt>
              </c:strCache>
            </c:strRef>
          </c:tx>
          <c:spPr>
            <a:solidFill>
              <a:schemeClr val="accent5"/>
            </a:solidFill>
            <a:ln>
              <a:noFill/>
            </a:ln>
            <a:effectLst/>
          </c:spPr>
          <c:invertIfNegative val="0"/>
          <c:dPt>
            <c:idx val="1"/>
            <c:invertIfNegative val="0"/>
            <c:bubble3D val="0"/>
            <c:spPr>
              <a:solidFill>
                <a:schemeClr val="tx1"/>
              </a:solidFill>
              <a:ln>
                <a:noFill/>
              </a:ln>
              <a:effectLst/>
            </c:spPr>
            <c:extLst>
              <c:ext xmlns:c16="http://schemas.microsoft.com/office/drawing/2014/chart" uri="{C3380CC4-5D6E-409C-BE32-E72D297353CC}">
                <c16:uniqueId val="{00000001-82D1-41A9-9EF0-212C2F83BE1A}"/>
              </c:ext>
            </c:extLst>
          </c:dPt>
          <c:dPt>
            <c:idx val="2"/>
            <c:invertIfNegative val="0"/>
            <c:bubble3D val="0"/>
            <c:spPr>
              <a:solidFill>
                <a:schemeClr val="accent5"/>
              </a:solidFill>
              <a:ln>
                <a:noFill/>
              </a:ln>
              <a:effectLst/>
            </c:spPr>
            <c:extLst>
              <c:ext xmlns:c16="http://schemas.microsoft.com/office/drawing/2014/chart" uri="{C3380CC4-5D6E-409C-BE32-E72D297353CC}">
                <c16:uniqueId val="{00000003-82D1-41A9-9EF0-212C2F83BE1A}"/>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'g39'!$A$2:$A$10</c:f>
              <c:strCache>
                <c:ptCount val="9"/>
                <c:pt idx="0">
                  <c:v>servicios empresariales</c:v>
                </c:pt>
                <c:pt idx="1">
                  <c:v>total</c:v>
                </c:pt>
                <c:pt idx="2">
                  <c:v>salud</c:v>
                </c:pt>
                <c:pt idx="3">
                  <c:v>construcción</c:v>
                </c:pt>
                <c:pt idx="4">
                  <c:v>transporte y logística</c:v>
                </c:pt>
                <c:pt idx="5">
                  <c:v>industria textil</c:v>
                </c:pt>
                <c:pt idx="6">
                  <c:v>turismo</c:v>
                </c:pt>
                <c:pt idx="7">
                  <c:v>educación</c:v>
                </c:pt>
                <c:pt idx="8">
                  <c:v>floricultura </c:v>
                </c:pt>
              </c:strCache>
            </c:strRef>
          </c:cat>
          <c:val>
            <c:numRef>
              <c:f>'g39'!$B$2:$B$10</c:f>
              <c:numCache>
                <c:formatCode>General</c:formatCode>
                <c:ptCount val="9"/>
                <c:pt idx="0">
                  <c:v>39.523492701844134</c:v>
                </c:pt>
                <c:pt idx="1">
                  <c:v>137.13963530804978</c:v>
                </c:pt>
                <c:pt idx="2">
                  <c:v>204</c:v>
                </c:pt>
                <c:pt idx="3">
                  <c:v>210.10065824808396</c:v>
                </c:pt>
                <c:pt idx="4">
                  <c:v>218.00849914550699</c:v>
                </c:pt>
                <c:pt idx="5">
                  <c:v>253.50405086100625</c:v>
                </c:pt>
                <c:pt idx="6">
                  <c:v>391.34831643716609</c:v>
                </c:pt>
                <c:pt idx="7">
                  <c:v>398.42687042694655</c:v>
                </c:pt>
                <c:pt idx="8">
                  <c:v>442.19508640978751</c:v>
                </c:pt>
              </c:numCache>
            </c:numRef>
          </c:val>
          <c:extLst>
            <c:ext xmlns:c16="http://schemas.microsoft.com/office/drawing/2014/chart" uri="{C3380CC4-5D6E-409C-BE32-E72D297353CC}">
              <c16:uniqueId val="{00000004-82D1-41A9-9EF0-212C2F83BE1A}"/>
            </c:ext>
          </c:extLst>
        </c:ser>
        <c:dLbls>
          <c:dLblPos val="outEnd"/>
          <c:showLegendKey val="0"/>
          <c:showVal val="1"/>
          <c:showCatName val="0"/>
          <c:showSerName val="0"/>
          <c:showPercent val="0"/>
          <c:showBubbleSize val="0"/>
        </c:dLbls>
        <c:gapWidth val="100"/>
        <c:axId val="288457744"/>
        <c:axId val="288459824"/>
      </c:barChart>
      <c:catAx>
        <c:axId val="288457744"/>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459824"/>
        <c:crosses val="autoZero"/>
        <c:auto val="1"/>
        <c:lblAlgn val="ctr"/>
        <c:lblOffset val="100"/>
        <c:noMultiLvlLbl val="0"/>
      </c:catAx>
      <c:valAx>
        <c:axId val="288459824"/>
        <c:scaling>
          <c:orientation val="minMax"/>
          <c:max val="2100"/>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457744"/>
        <c:crosses val="autoZero"/>
        <c:crossBetween val="between"/>
        <c:majorUnit val="30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0.60833</cdr:x>
      <cdr:y>0.05676</cdr:y>
    </cdr:from>
    <cdr:to>
      <cdr:x>0.60833</cdr:x>
      <cdr:y>0.89482</cdr:y>
    </cdr:to>
    <cdr:cxnSp macro="">
      <cdr:nvCxnSpPr>
        <cdr:cNvPr id="3" name="Conector recto 2">
          <a:extLst xmlns:a="http://schemas.openxmlformats.org/drawingml/2006/main">
            <a:ext uri="{FF2B5EF4-FFF2-40B4-BE49-F238E27FC236}">
              <a16:creationId xmlns:a16="http://schemas.microsoft.com/office/drawing/2014/main" id="{A4E43E25-2219-5ADB-9C43-3FCE43D35E72}"/>
            </a:ext>
          </a:extLst>
        </cdr:cNvPr>
        <cdr:cNvCxnSpPr/>
      </cdr:nvCxnSpPr>
      <cdr:spPr>
        <a:xfrm xmlns:a="http://schemas.openxmlformats.org/drawingml/2006/main" flipV="1">
          <a:off x="2781300" y="161925"/>
          <a:ext cx="0" cy="23907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0.42083</cdr:x>
      <cdr:y>0.57763</cdr:y>
    </cdr:from>
    <cdr:to>
      <cdr:x>0.60417</cdr:x>
      <cdr:y>0.7379</cdr:y>
    </cdr:to>
    <cdr:sp macro="" textlink="">
      <cdr:nvSpPr>
        <cdr:cNvPr id="4" name="CuadroTexto 3">
          <a:extLst xmlns:a="http://schemas.openxmlformats.org/drawingml/2006/main">
            <a:ext uri="{FF2B5EF4-FFF2-40B4-BE49-F238E27FC236}">
              <a16:creationId xmlns:a16="http://schemas.microsoft.com/office/drawing/2014/main" id="{0E38D1FA-8D24-F972-E482-01004B2DDBC0}"/>
            </a:ext>
          </a:extLst>
        </cdr:cNvPr>
        <cdr:cNvSpPr txBox="1"/>
      </cdr:nvSpPr>
      <cdr:spPr>
        <a:xfrm xmlns:a="http://schemas.openxmlformats.org/drawingml/2006/main">
          <a:off x="1924050" y="1647825"/>
          <a:ext cx="838200" cy="457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s-EC" sz="700"/>
            <a:t>Mercado competitivo</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0392A-CC89-499F-96B2-2D5876242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4222</Words>
  <Characters>24071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Augusto Espinel Puyol</dc:creator>
  <cp:lastModifiedBy>user</cp:lastModifiedBy>
  <cp:revision>4</cp:revision>
  <cp:lastPrinted>2019-05-09T22:33:00Z</cp:lastPrinted>
  <dcterms:created xsi:type="dcterms:W3CDTF">2023-03-16T18:34:00Z</dcterms:created>
  <dcterms:modified xsi:type="dcterms:W3CDTF">2023-03-21T16:52:00Z</dcterms:modified>
  <dc:language>es-EC</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