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0F53C2"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0F53C2">
        <w:rPr>
          <w:rFonts w:ascii="Palatino Linotype" w:eastAsiaTheme="minorHAnsi" w:hAnsi="Palatino Linotype"/>
          <w:b/>
          <w:sz w:val="22"/>
          <w:szCs w:val="22"/>
          <w:lang w:eastAsia="en-US"/>
        </w:rPr>
        <w:t>EL CONCEJO METROPOLITANO DE QUITO</w:t>
      </w:r>
    </w:p>
    <w:p w:rsidR="00C926A0" w:rsidRPr="000F53C2"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0F53C2"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0F53C2">
        <w:rPr>
          <w:rFonts w:ascii="Palatino Linotype" w:eastAsiaTheme="minorHAnsi" w:hAnsi="Palatino Linotype"/>
          <w:b/>
          <w:sz w:val="22"/>
          <w:szCs w:val="22"/>
          <w:lang w:eastAsia="en-US"/>
        </w:rPr>
        <w:t>CONSIDERANDO:</w:t>
      </w:r>
    </w:p>
    <w:p w:rsidR="00C926A0" w:rsidRPr="000F53C2"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0F53C2">
        <w:rPr>
          <w:rFonts w:ascii="Palatino Linotype" w:eastAsiaTheme="minorHAnsi" w:hAnsi="Palatino Linotype"/>
          <w:b/>
          <w:bCs/>
          <w:sz w:val="22"/>
          <w:szCs w:val="22"/>
          <w:lang w:eastAsia="en-US"/>
        </w:rPr>
        <w:t>Que</w:t>
      </w:r>
      <w:r w:rsidRPr="000F53C2">
        <w:rPr>
          <w:rFonts w:ascii="Palatino Linotype" w:eastAsiaTheme="minorHAnsi" w:hAnsi="Palatino Linotype"/>
          <w:sz w:val="22"/>
          <w:szCs w:val="22"/>
          <w:lang w:eastAsia="en-US"/>
        </w:rPr>
        <w:t xml:space="preserve">, </w:t>
      </w:r>
      <w:r w:rsidRPr="000F53C2">
        <w:rPr>
          <w:rFonts w:ascii="Palatino Linotype" w:eastAsiaTheme="minorHAnsi" w:hAnsi="Palatino Linotype"/>
          <w:sz w:val="22"/>
          <w:szCs w:val="22"/>
          <w:lang w:eastAsia="en-US"/>
        </w:rPr>
        <w:tab/>
        <w:t xml:space="preserve"> el artículo 240 de la Constitución de República del Ecuador, en adelante Constitución, establece: “</w:t>
      </w:r>
      <w:r w:rsidRPr="000F53C2">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0F53C2">
        <w:rPr>
          <w:rFonts w:ascii="Palatino Linotype" w:eastAsiaTheme="minorHAnsi" w:hAnsi="Palatino Linotype"/>
          <w:b/>
          <w:sz w:val="22"/>
          <w:szCs w:val="22"/>
          <w:lang w:eastAsia="en-US"/>
        </w:rPr>
        <w:t>Que,</w:t>
      </w:r>
      <w:r w:rsidRPr="000F53C2">
        <w:rPr>
          <w:rFonts w:ascii="Palatino Linotype" w:eastAsiaTheme="minorHAnsi" w:hAnsi="Palatino Linotype"/>
          <w:sz w:val="22"/>
          <w:szCs w:val="22"/>
          <w:lang w:eastAsia="en-US"/>
        </w:rPr>
        <w:t xml:space="preserve"> </w:t>
      </w:r>
      <w:r w:rsidRPr="000F53C2">
        <w:rPr>
          <w:rFonts w:ascii="Palatino Linotype" w:eastAsiaTheme="minorHAnsi" w:hAnsi="Palatino Linotype"/>
          <w:sz w:val="22"/>
          <w:szCs w:val="22"/>
          <w:lang w:eastAsia="en-US"/>
        </w:rPr>
        <w:tab/>
        <w:t xml:space="preserve">la Constitución de la República del Ecuador en su artículo 266, determina: </w:t>
      </w:r>
      <w:r w:rsidRPr="000F53C2">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0F53C2">
        <w:rPr>
          <w:rFonts w:ascii="Palatino Linotype" w:eastAsiaTheme="minorHAnsi" w:hAnsi="Palatino Linotype"/>
          <w:sz w:val="22"/>
          <w:szCs w:val="22"/>
          <w:lang w:eastAsia="en-US"/>
        </w:rPr>
        <w:t>;</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0F53C2">
        <w:rPr>
          <w:rFonts w:ascii="Palatino Linotype" w:eastAsiaTheme="minorHAnsi" w:hAnsi="Palatino Linotype"/>
          <w:b/>
          <w:bCs/>
          <w:sz w:val="22"/>
          <w:szCs w:val="22"/>
          <w:lang w:eastAsia="en-US"/>
        </w:rPr>
        <w:t>Que,</w:t>
      </w:r>
      <w:r w:rsidRPr="000F53C2">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0F53C2">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0F53C2">
        <w:rPr>
          <w:rFonts w:ascii="Palatino Linotype" w:eastAsiaTheme="minorHAnsi" w:hAnsi="Palatino Linotype"/>
          <w:b/>
          <w:sz w:val="22"/>
          <w:szCs w:val="22"/>
          <w:lang w:eastAsia="en-US"/>
        </w:rPr>
        <w:t>Que,</w:t>
      </w:r>
      <w:r w:rsidRPr="000F53C2">
        <w:rPr>
          <w:rFonts w:ascii="Palatino Linotype" w:eastAsiaTheme="minorHAnsi" w:hAnsi="Palatino Linotype"/>
          <w:sz w:val="22"/>
          <w:szCs w:val="22"/>
          <w:lang w:eastAsia="en-US"/>
        </w:rPr>
        <w:t xml:space="preserve"> </w:t>
      </w:r>
      <w:r w:rsidRPr="000F53C2">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0F53C2">
        <w:rPr>
          <w:rFonts w:ascii="Palatino Linotype" w:eastAsiaTheme="minorHAnsi" w:hAnsi="Palatino Linotype"/>
          <w:b/>
          <w:sz w:val="22"/>
          <w:szCs w:val="22"/>
          <w:lang w:eastAsia="en-US"/>
        </w:rPr>
        <w:t>Que,</w:t>
      </w:r>
      <w:r w:rsidRPr="000F53C2">
        <w:rPr>
          <w:rFonts w:ascii="Palatino Linotype" w:eastAsiaTheme="minorHAnsi" w:hAnsi="Palatino Linotype"/>
          <w:sz w:val="22"/>
          <w:szCs w:val="22"/>
          <w:lang w:eastAsia="en-US"/>
        </w:rPr>
        <w:t xml:space="preserve"> </w:t>
      </w:r>
      <w:r w:rsidRPr="000F53C2">
        <w:rPr>
          <w:rFonts w:ascii="Palatino Linotype" w:eastAsiaTheme="minorHAnsi" w:hAnsi="Palatino Linotype"/>
          <w:sz w:val="22"/>
          <w:szCs w:val="22"/>
          <w:lang w:eastAsia="en-US"/>
        </w:rPr>
        <w:tab/>
        <w:t xml:space="preserve">conforme establece el artículo 87, literal v) del COOTAD, al Concejo Metropolitano le corresponde: </w:t>
      </w:r>
      <w:r w:rsidRPr="000F53C2">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0F53C2">
        <w:rPr>
          <w:rFonts w:ascii="Palatino Linotype" w:eastAsiaTheme="minorHAnsi" w:hAnsi="Palatino Linotype"/>
          <w:sz w:val="22"/>
          <w:szCs w:val="22"/>
          <w:lang w:eastAsia="en-US"/>
        </w:rPr>
        <w:t xml:space="preserve"> </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0F53C2">
        <w:rPr>
          <w:rFonts w:ascii="Palatino Linotype" w:eastAsiaTheme="minorHAnsi" w:hAnsi="Palatino Linotype"/>
          <w:sz w:val="22"/>
          <w:szCs w:val="22"/>
          <w:lang w:eastAsia="en-US"/>
        </w:rPr>
        <w:t xml:space="preserve">Que, </w:t>
      </w:r>
      <w:r w:rsidRPr="000F53C2">
        <w:rPr>
          <w:rFonts w:ascii="Palatino Linotype" w:eastAsiaTheme="minorHAnsi" w:hAnsi="Palatino Linotype"/>
          <w:sz w:val="22"/>
          <w:szCs w:val="22"/>
          <w:lang w:eastAsia="en-US"/>
        </w:rPr>
        <w:tab/>
        <w:t>el artículo 323 del COOTAD establece: “</w:t>
      </w:r>
      <w:r w:rsidRPr="000F53C2">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0F53C2">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0F53C2">
        <w:rPr>
          <w:rFonts w:ascii="Palatino Linotype" w:eastAsiaTheme="minorHAnsi" w:hAnsi="Palatino Linotype"/>
          <w:b/>
          <w:sz w:val="22"/>
          <w:szCs w:val="22"/>
          <w:lang w:eastAsia="en-US"/>
        </w:rPr>
        <w:t>Que,</w:t>
      </w:r>
      <w:r w:rsidR="0099702E" w:rsidRPr="000F53C2">
        <w:rPr>
          <w:rFonts w:ascii="Palatino Linotype" w:eastAsiaTheme="minorHAnsi" w:hAnsi="Palatino Linotype"/>
          <w:sz w:val="22"/>
          <w:szCs w:val="22"/>
          <w:lang w:eastAsia="en-US"/>
        </w:rPr>
        <w:t xml:space="preserve"> </w:t>
      </w:r>
      <w:r w:rsidRPr="000F53C2">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0F53C2">
        <w:rPr>
          <w:rFonts w:ascii="Palatino Linotype" w:eastAsiaTheme="minorHAnsi" w:hAnsi="Palatino Linotype"/>
          <w:b/>
          <w:sz w:val="22"/>
          <w:szCs w:val="22"/>
          <w:lang w:eastAsia="en-US"/>
        </w:rPr>
        <w:t>Que,</w:t>
      </w:r>
      <w:r w:rsidR="0099702E" w:rsidRPr="000F53C2">
        <w:rPr>
          <w:rFonts w:ascii="Palatino Linotype" w:eastAsiaTheme="minorHAnsi" w:hAnsi="Palatino Linotype"/>
          <w:sz w:val="22"/>
          <w:szCs w:val="22"/>
          <w:lang w:eastAsia="en-US"/>
        </w:rPr>
        <w:t xml:space="preserve"> </w:t>
      </w:r>
      <w:r w:rsidRPr="000F53C2">
        <w:rPr>
          <w:rFonts w:ascii="Palatino Linotype" w:eastAsiaTheme="minorHAnsi" w:hAnsi="Palatino Linotype"/>
          <w:sz w:val="22"/>
          <w:szCs w:val="22"/>
          <w:lang w:eastAsia="en-US"/>
        </w:rPr>
        <w:t xml:space="preserve">el artículo 424 del COOTAD señala: </w:t>
      </w:r>
      <w:r w:rsidRPr="000F53C2">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0F53C2">
        <w:rPr>
          <w:rFonts w:ascii="Palatino Linotype" w:eastAsiaTheme="minorHAnsi" w:hAnsi="Palatino Linotype"/>
          <w:b/>
          <w:sz w:val="22"/>
          <w:szCs w:val="22"/>
          <w:lang w:eastAsia="en-US"/>
        </w:rPr>
        <w:t>Que,</w:t>
      </w:r>
      <w:r w:rsidRPr="000F53C2">
        <w:rPr>
          <w:rFonts w:ascii="Palatino Linotype" w:eastAsiaTheme="minorHAnsi" w:hAnsi="Palatino Linotype"/>
          <w:sz w:val="22"/>
          <w:szCs w:val="22"/>
          <w:lang w:eastAsia="en-US"/>
        </w:rPr>
        <w:t xml:space="preserve"> el artículo 472 del COOTAD señala que: </w:t>
      </w:r>
      <w:r w:rsidRPr="000F53C2">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0F53C2">
        <w:rPr>
          <w:rFonts w:ascii="Palatino Linotype" w:eastAsiaTheme="minorHAnsi" w:hAnsi="Palatino Linotype"/>
          <w:sz w:val="22"/>
          <w:szCs w:val="22"/>
          <w:lang w:eastAsia="en-US"/>
        </w:rPr>
        <w:t>;</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0F53C2">
        <w:rPr>
          <w:rFonts w:ascii="Palatino Linotype" w:eastAsiaTheme="minorHAnsi" w:hAnsi="Palatino Linotype"/>
          <w:b/>
          <w:sz w:val="22"/>
          <w:szCs w:val="22"/>
          <w:lang w:eastAsia="en-US"/>
        </w:rPr>
        <w:t>Que,</w:t>
      </w:r>
      <w:r w:rsidR="0099702E" w:rsidRPr="000F53C2">
        <w:rPr>
          <w:rFonts w:ascii="Palatino Linotype" w:eastAsiaTheme="minorHAnsi" w:hAnsi="Palatino Linotype"/>
          <w:sz w:val="22"/>
          <w:szCs w:val="22"/>
          <w:lang w:eastAsia="en-US"/>
        </w:rPr>
        <w:t xml:space="preserve"> </w:t>
      </w:r>
      <w:r w:rsidRPr="000F53C2">
        <w:rPr>
          <w:rFonts w:ascii="Palatino Linotype" w:eastAsiaTheme="minorHAnsi" w:hAnsi="Palatino Linotype"/>
          <w:sz w:val="22"/>
          <w:szCs w:val="22"/>
          <w:lang w:eastAsia="en-US"/>
        </w:rPr>
        <w:t xml:space="preserve">el artículo 2410 del el Código Civil Ecuatoriano determina que: </w:t>
      </w:r>
      <w:r w:rsidRPr="000F53C2">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jc w:val="both"/>
        <w:rPr>
          <w:rFonts w:ascii="Palatino Linotype" w:hAnsi="Palatino Linotype"/>
          <w:sz w:val="22"/>
          <w:szCs w:val="22"/>
        </w:rPr>
      </w:pPr>
    </w:p>
    <w:p w:rsidR="00C926A0" w:rsidRPr="000F53C2"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0F53C2">
        <w:rPr>
          <w:rFonts w:ascii="Palatino Linotype" w:eastAsiaTheme="minorHAnsi" w:hAnsi="Palatino Linotype"/>
          <w:sz w:val="22"/>
          <w:szCs w:val="22"/>
          <w:lang w:eastAsia="en-US"/>
        </w:rPr>
        <w:t>Que,</w:t>
      </w:r>
      <w:r w:rsidRPr="000F53C2">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0F53C2">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0F53C2">
        <w:rPr>
          <w:rFonts w:ascii="Palatino Linotype" w:eastAsiaTheme="minorHAnsi" w:hAnsi="Palatino Linotype"/>
          <w:sz w:val="22"/>
          <w:szCs w:val="22"/>
          <w:lang w:eastAsia="en-US"/>
        </w:rPr>
        <w:t>;</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0F53C2"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0F53C2">
        <w:rPr>
          <w:rFonts w:ascii="Palatino Linotype" w:eastAsiaTheme="minorHAnsi" w:hAnsi="Palatino Linotype"/>
          <w:b/>
          <w:sz w:val="22"/>
          <w:szCs w:val="22"/>
          <w:lang w:eastAsia="en-US"/>
        </w:rPr>
        <w:t>Que,</w:t>
      </w:r>
      <w:r w:rsidRPr="000F53C2">
        <w:rPr>
          <w:rFonts w:ascii="Palatino Linotype" w:eastAsiaTheme="minorHAnsi" w:hAnsi="Palatino Linotype"/>
          <w:sz w:val="22"/>
          <w:szCs w:val="22"/>
          <w:lang w:eastAsia="en-US"/>
        </w:rPr>
        <w:t xml:space="preserve"> </w:t>
      </w:r>
      <w:r w:rsidRPr="000F53C2">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0F53C2">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0F53C2">
        <w:rPr>
          <w:rFonts w:ascii="Palatino Linotype" w:hAnsi="Palatino Linotype"/>
          <w:i/>
          <w:sz w:val="22"/>
          <w:szCs w:val="22"/>
        </w:rPr>
        <w:t>”</w:t>
      </w:r>
      <w:r w:rsidRPr="000F53C2">
        <w:rPr>
          <w:rFonts w:ascii="Palatino Linotype" w:hAnsi="Palatino Linotype"/>
          <w:sz w:val="22"/>
          <w:szCs w:val="22"/>
        </w:rPr>
        <w:t xml:space="preserve">; </w:t>
      </w:r>
    </w:p>
    <w:p w:rsidR="00532857" w:rsidRPr="000F53C2"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0F53C2"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0F53C2">
        <w:rPr>
          <w:rFonts w:ascii="Palatino Linotype" w:eastAsiaTheme="minorHAnsi" w:hAnsi="Palatino Linotype"/>
          <w:b/>
          <w:sz w:val="22"/>
          <w:szCs w:val="22"/>
          <w:lang w:eastAsia="en-US"/>
        </w:rPr>
        <w:t>Que,</w:t>
      </w:r>
      <w:r w:rsidRPr="000F53C2">
        <w:rPr>
          <w:rFonts w:ascii="Palatino Linotype" w:eastAsiaTheme="minorHAnsi" w:hAnsi="Palatino Linotype"/>
          <w:sz w:val="22"/>
          <w:szCs w:val="22"/>
          <w:lang w:eastAsia="en-US"/>
        </w:rPr>
        <w:t xml:space="preserve"> </w:t>
      </w:r>
      <w:r w:rsidRPr="000F53C2">
        <w:rPr>
          <w:rFonts w:ascii="Palatino Linotype" w:eastAsiaTheme="minorHAnsi" w:hAnsi="Palatino Linotype"/>
          <w:sz w:val="22"/>
          <w:szCs w:val="22"/>
          <w:lang w:eastAsia="en-US"/>
        </w:rPr>
        <w:tab/>
        <w:t xml:space="preserve">el Código Municipal en su artículo 2171, establece: </w:t>
      </w:r>
      <w:r w:rsidRPr="000F53C2">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0F53C2"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0F53C2"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0F53C2">
        <w:rPr>
          <w:rFonts w:ascii="Palatino Linotype" w:eastAsiaTheme="minorHAnsi" w:hAnsi="Palatino Linotype"/>
          <w:b/>
          <w:sz w:val="22"/>
          <w:szCs w:val="22"/>
          <w:lang w:eastAsia="en-US"/>
        </w:rPr>
        <w:t>Que,</w:t>
      </w:r>
      <w:r w:rsidRPr="000F53C2">
        <w:rPr>
          <w:rFonts w:ascii="Palatino Linotype" w:eastAsiaTheme="minorHAnsi" w:hAnsi="Palatino Linotype"/>
          <w:sz w:val="22"/>
          <w:szCs w:val="22"/>
          <w:lang w:eastAsia="en-US"/>
        </w:rPr>
        <w:t xml:space="preserve"> mediante oficio Nro.</w:t>
      </w:r>
      <w:r w:rsidRPr="000F53C2">
        <w:rPr>
          <w:rFonts w:ascii="Palatino Linotype" w:hAnsi="Palatino Linotype"/>
          <w:sz w:val="22"/>
          <w:szCs w:val="22"/>
        </w:rPr>
        <w:t xml:space="preserve"> 2950-2010 de 31 de octubre de 2011</w:t>
      </w:r>
      <w:r w:rsidRPr="000F53C2">
        <w:rPr>
          <w:rFonts w:ascii="Palatino Linotype" w:eastAsiaTheme="minorHAnsi" w:hAnsi="Palatino Linotype"/>
          <w:sz w:val="22"/>
          <w:szCs w:val="22"/>
          <w:lang w:eastAsia="en-US"/>
        </w:rPr>
        <w:t xml:space="preserve"> la Procuraduría Metropolitana emitió un </w:t>
      </w:r>
      <w:r w:rsidRPr="000F53C2">
        <w:rPr>
          <w:rFonts w:ascii="Palatino Linotype" w:hAnsi="Palatino Linotype"/>
          <w:sz w:val="22"/>
          <w:szCs w:val="22"/>
        </w:rPr>
        <w:t xml:space="preserve">pronunciamiento en forma general, respecto al marco legal y operativo para todos los casos de </w:t>
      </w:r>
      <w:r w:rsidRPr="000F53C2">
        <w:rPr>
          <w:rFonts w:ascii="Palatino Linotype" w:eastAsiaTheme="minorHAnsi" w:hAnsi="Palatino Linotype"/>
          <w:sz w:val="22"/>
          <w:szCs w:val="22"/>
          <w:lang w:eastAsia="en-US"/>
        </w:rPr>
        <w:t>prescripción extraordinaria adquisitiva de dominio;</w:t>
      </w:r>
    </w:p>
    <w:p w:rsidR="00027D50" w:rsidRPr="000F53C2"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603B6E" w:rsidRPr="000F53C2" w:rsidRDefault="00C926A0" w:rsidP="00603B6E">
      <w:pPr>
        <w:autoSpaceDE w:val="0"/>
        <w:autoSpaceDN w:val="0"/>
        <w:adjustRightInd w:val="0"/>
        <w:ind w:left="708" w:hanging="708"/>
        <w:jc w:val="both"/>
        <w:rPr>
          <w:rStyle w:val="markedcontent"/>
          <w:rFonts w:ascii="Palatino Linotype" w:hAnsi="Palatino Linotype" w:cs="Arial"/>
          <w:i/>
          <w:sz w:val="22"/>
          <w:szCs w:val="22"/>
        </w:rPr>
      </w:pPr>
      <w:r w:rsidRPr="000F53C2">
        <w:rPr>
          <w:rFonts w:ascii="Palatino Linotype" w:eastAsiaTheme="minorHAnsi" w:hAnsi="Palatino Linotype"/>
          <w:b/>
          <w:sz w:val="22"/>
          <w:szCs w:val="22"/>
          <w:lang w:eastAsia="en-US"/>
        </w:rPr>
        <w:t>Que,</w:t>
      </w:r>
      <w:r w:rsidRPr="000F53C2">
        <w:rPr>
          <w:rFonts w:ascii="Palatino Linotype" w:eastAsiaTheme="minorHAnsi" w:hAnsi="Palatino Linotype"/>
          <w:sz w:val="22"/>
          <w:szCs w:val="22"/>
          <w:lang w:eastAsia="en-US"/>
        </w:rPr>
        <w:t xml:space="preserve"> </w:t>
      </w:r>
      <w:r w:rsidRPr="000F53C2">
        <w:rPr>
          <w:rFonts w:ascii="Palatino Linotype" w:eastAsiaTheme="minorHAnsi" w:hAnsi="Palatino Linotype"/>
          <w:sz w:val="22"/>
          <w:szCs w:val="22"/>
          <w:lang w:eastAsia="en-US"/>
        </w:rPr>
        <w:tab/>
      </w:r>
      <w:r w:rsidR="00603B6E" w:rsidRPr="000F53C2">
        <w:rPr>
          <w:rFonts w:ascii="Palatino Linotype" w:hAnsi="Palatino Linotype"/>
          <w:sz w:val="22"/>
          <w:szCs w:val="22"/>
        </w:rPr>
        <w:t xml:space="preserve">conforme se desprende del informe técnico No. </w:t>
      </w:r>
      <w:r w:rsidR="00603B6E" w:rsidRPr="000F53C2">
        <w:rPr>
          <w:rStyle w:val="markedcontent"/>
          <w:rFonts w:ascii="Palatino Linotype" w:hAnsi="Palatino Linotype" w:cs="Arial"/>
          <w:sz w:val="22"/>
          <w:szCs w:val="22"/>
        </w:rPr>
        <w:t>CODIGO: AZCA-</w:t>
      </w:r>
      <w:r w:rsidR="00603B6E" w:rsidRPr="000F53C2">
        <w:rPr>
          <w:rFonts w:ascii="Palatino Linotype" w:hAnsi="Palatino Linotype"/>
          <w:sz w:val="22"/>
          <w:szCs w:val="22"/>
        </w:rPr>
        <w:br/>
      </w:r>
      <w:r w:rsidR="00603B6E" w:rsidRPr="000F53C2">
        <w:rPr>
          <w:rStyle w:val="markedcontent"/>
          <w:rFonts w:ascii="Palatino Linotype" w:hAnsi="Palatino Linotype" w:cs="Arial"/>
          <w:sz w:val="22"/>
          <w:szCs w:val="22"/>
        </w:rPr>
        <w:t>DGT-2022-34, de 19 de agosto de 2022, de la Administración Zonal Calderón,</w:t>
      </w:r>
      <w:r w:rsidR="00603B6E" w:rsidRPr="000F53C2">
        <w:rPr>
          <w:rStyle w:val="markedcontent"/>
          <w:rFonts w:ascii="Palatino Linotype" w:hAnsi="Palatino Linotype" w:cs="Arial"/>
          <w:i/>
          <w:sz w:val="22"/>
          <w:szCs w:val="22"/>
        </w:rPr>
        <w:t xml:space="preserve"> “(…) Con Proceso de Juicio No. 17230-2017-10398, la Unidad Judicial Civil con sede en la Parroquia de Iñaquito del Distrito Metropolitano de Quito, jueves 29 de noviembre de 2018, a las 15:58, en el literal NOVENO DECICIÓN, el juez acepta la demanda a favor de la Sra. Evelin Lemus Villarreal propietaria de la casa No. 097 del conjunto Habitacional </w:t>
      </w:r>
      <w:r w:rsidR="00603B6E" w:rsidRPr="000F53C2">
        <w:rPr>
          <w:rStyle w:val="markedcontent"/>
          <w:rFonts w:ascii="Palatino Linotype" w:hAnsi="Palatino Linotype" w:cs="Arial"/>
          <w:i/>
          <w:sz w:val="22"/>
          <w:szCs w:val="22"/>
        </w:rPr>
        <w:lastRenderedPageBreak/>
        <w:t>Paseos de Calderón Etapa II de la parroquia de Calderón en una superficie total de 91,20 m2.</w:t>
      </w:r>
    </w:p>
    <w:p w:rsidR="00DC5673" w:rsidRPr="000F53C2" w:rsidRDefault="00DC5673" w:rsidP="00DC5673">
      <w:pPr>
        <w:autoSpaceDE w:val="0"/>
        <w:autoSpaceDN w:val="0"/>
        <w:adjustRightInd w:val="0"/>
        <w:ind w:left="708"/>
        <w:jc w:val="both"/>
        <w:rPr>
          <w:rStyle w:val="markedcontent"/>
          <w:rFonts w:ascii="Palatino Linotype" w:hAnsi="Palatino Linotype" w:cs="Arial"/>
          <w:i/>
          <w:sz w:val="22"/>
          <w:szCs w:val="22"/>
        </w:rPr>
      </w:pPr>
      <w:r w:rsidRPr="000F53C2">
        <w:rPr>
          <w:rFonts w:ascii="Palatino Linotype" w:hAnsi="Palatino Linotype"/>
          <w:i/>
          <w:sz w:val="22"/>
          <w:szCs w:val="22"/>
        </w:rPr>
        <w:br/>
      </w:r>
      <w:r w:rsidRPr="000F53C2">
        <w:rPr>
          <w:rStyle w:val="markedcontent"/>
          <w:rFonts w:ascii="Palatino Linotype" w:hAnsi="Palatino Linotype" w:cs="Arial"/>
          <w:i/>
          <w:sz w:val="22"/>
          <w:szCs w:val="22"/>
        </w:rPr>
        <w:t>Sentencia Aclaratoria; dentro del Proceso de Juicio No. 17230-2017-10398, la Unidad Judicial Civil con sede en la Parroquia de Iñaquito del Distrito Metropolitano de Quito, jueves 29 de noviembre de 2018 Según consta  n antecedentes sentencia se agrega aclaratoria con fecha Jueves 03 de marzo de 2022 a 15h20, se aclara textualmente ...() Por un error involuntario, en el numeral NOVENO de la parte resolutiva de la sentencia emitida el 28 de noviembre de 2018; se ha hecho constar como superficie total del bien inmueble 91.20 metros cuadrados, SIENDO LO CORRECTO 84 METROS CUADRADOS, En todo lo demás las partes estén a lo dispuesto en la referida sentencia. “</w:t>
      </w:r>
    </w:p>
    <w:p w:rsidR="00DC5673" w:rsidRPr="000F53C2" w:rsidRDefault="00DC5673" w:rsidP="00603B6E">
      <w:pPr>
        <w:autoSpaceDE w:val="0"/>
        <w:autoSpaceDN w:val="0"/>
        <w:adjustRightInd w:val="0"/>
        <w:ind w:left="708" w:hanging="708"/>
        <w:jc w:val="both"/>
        <w:rPr>
          <w:rStyle w:val="markedcontent"/>
          <w:rFonts w:ascii="Palatino Linotype" w:hAnsi="Palatino Linotype" w:cs="Arial"/>
          <w:i/>
          <w:sz w:val="22"/>
          <w:szCs w:val="22"/>
        </w:rPr>
      </w:pPr>
    </w:p>
    <w:p w:rsidR="001F733D" w:rsidRPr="000F53C2" w:rsidRDefault="0013405F" w:rsidP="0013405F">
      <w:pPr>
        <w:pStyle w:val="Default"/>
        <w:ind w:left="708" w:hanging="708"/>
        <w:jc w:val="both"/>
        <w:rPr>
          <w:sz w:val="22"/>
          <w:szCs w:val="22"/>
        </w:rPr>
      </w:pPr>
      <w:r w:rsidRPr="000F53C2">
        <w:rPr>
          <w:b/>
          <w:sz w:val="22"/>
          <w:szCs w:val="22"/>
        </w:rPr>
        <w:t>Que,</w:t>
      </w:r>
      <w:r w:rsidRPr="000F53C2">
        <w:rPr>
          <w:sz w:val="22"/>
          <w:szCs w:val="22"/>
        </w:rPr>
        <w:t xml:space="preserve"> m</w:t>
      </w:r>
      <w:r w:rsidR="001F733D" w:rsidRPr="000F53C2">
        <w:rPr>
          <w:sz w:val="22"/>
          <w:szCs w:val="22"/>
        </w:rPr>
        <w:t>ediante oficio GADDMQ-PM-2021-03</w:t>
      </w:r>
      <w:r w:rsidR="00AC0982" w:rsidRPr="000F53C2">
        <w:rPr>
          <w:sz w:val="22"/>
          <w:szCs w:val="22"/>
        </w:rPr>
        <w:t>96-O de 29 de enero de 2021, el</w:t>
      </w:r>
      <w:r w:rsidR="001F733D" w:rsidRPr="000F53C2">
        <w:rPr>
          <w:sz w:val="22"/>
          <w:szCs w:val="22"/>
        </w:rPr>
        <w:t xml:space="preserve"> Dr. Edison Yépez Vinueza, Subprocurador Metropolitano, señala: </w:t>
      </w:r>
    </w:p>
    <w:p w:rsidR="001F733D" w:rsidRPr="000F53C2" w:rsidRDefault="001F733D" w:rsidP="001F733D">
      <w:pPr>
        <w:tabs>
          <w:tab w:val="left" w:pos="426"/>
        </w:tabs>
        <w:ind w:left="1416" w:right="566"/>
        <w:jc w:val="both"/>
        <w:rPr>
          <w:rFonts w:ascii="Palatino Linotype" w:hAnsi="Palatino Linotype"/>
          <w:i/>
          <w:sz w:val="22"/>
          <w:szCs w:val="22"/>
        </w:rPr>
      </w:pPr>
    </w:p>
    <w:p w:rsidR="001F733D" w:rsidRPr="000F53C2" w:rsidRDefault="001F733D" w:rsidP="001F733D">
      <w:pPr>
        <w:tabs>
          <w:tab w:val="left" w:pos="284"/>
        </w:tabs>
        <w:ind w:left="708"/>
        <w:jc w:val="both"/>
        <w:rPr>
          <w:rFonts w:ascii="Palatino Linotype" w:hAnsi="Palatino Linotype"/>
          <w:i/>
          <w:sz w:val="22"/>
          <w:szCs w:val="22"/>
        </w:rPr>
      </w:pPr>
      <w:r w:rsidRPr="000F53C2">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0F53C2" w:rsidRDefault="001F733D" w:rsidP="001F733D">
      <w:pPr>
        <w:tabs>
          <w:tab w:val="left" w:pos="284"/>
        </w:tabs>
        <w:ind w:left="708"/>
        <w:jc w:val="both"/>
        <w:rPr>
          <w:rFonts w:ascii="Palatino Linotype" w:hAnsi="Palatino Linotype"/>
          <w:i/>
          <w:sz w:val="22"/>
          <w:szCs w:val="22"/>
        </w:rPr>
      </w:pPr>
      <w:r w:rsidRPr="000F53C2">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0F53C2" w:rsidRDefault="001F733D" w:rsidP="001F733D">
      <w:pPr>
        <w:tabs>
          <w:tab w:val="left" w:pos="284"/>
        </w:tabs>
        <w:ind w:left="708"/>
        <w:jc w:val="both"/>
        <w:rPr>
          <w:rFonts w:ascii="Palatino Linotype" w:hAnsi="Palatino Linotype"/>
          <w:i/>
          <w:sz w:val="22"/>
          <w:szCs w:val="22"/>
        </w:rPr>
      </w:pPr>
      <w:r w:rsidRPr="000F53C2">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0F53C2" w:rsidRDefault="001F733D" w:rsidP="001F733D">
      <w:pPr>
        <w:tabs>
          <w:tab w:val="left" w:pos="284"/>
        </w:tabs>
        <w:ind w:left="708"/>
        <w:jc w:val="both"/>
        <w:rPr>
          <w:rFonts w:ascii="Palatino Linotype" w:hAnsi="Palatino Linotype"/>
          <w:i/>
          <w:sz w:val="22"/>
          <w:szCs w:val="22"/>
        </w:rPr>
      </w:pPr>
      <w:r w:rsidRPr="000F53C2">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0F53C2" w:rsidRDefault="001F733D" w:rsidP="001F733D">
      <w:pPr>
        <w:tabs>
          <w:tab w:val="left" w:pos="284"/>
        </w:tabs>
        <w:jc w:val="both"/>
        <w:rPr>
          <w:rFonts w:ascii="Palatino Linotype" w:hAnsi="Palatino Linotype"/>
          <w:i/>
          <w:sz w:val="22"/>
          <w:szCs w:val="22"/>
        </w:rPr>
      </w:pPr>
    </w:p>
    <w:p w:rsidR="00245074" w:rsidRPr="000F53C2" w:rsidRDefault="000B4CF2" w:rsidP="00245074">
      <w:pPr>
        <w:tabs>
          <w:tab w:val="left" w:pos="1080"/>
        </w:tabs>
        <w:ind w:left="1080" w:hanging="1080"/>
        <w:jc w:val="both"/>
        <w:rPr>
          <w:rFonts w:ascii="Palatino Linotype" w:hAnsi="Palatino Linotype"/>
          <w:sz w:val="22"/>
          <w:szCs w:val="22"/>
        </w:rPr>
      </w:pPr>
      <w:r w:rsidRPr="000F53C2">
        <w:rPr>
          <w:rFonts w:ascii="Palatino Linotype" w:hAnsi="Palatino Linotype"/>
          <w:sz w:val="22"/>
          <w:szCs w:val="22"/>
        </w:rPr>
        <w:t xml:space="preserve">Que, </w:t>
      </w:r>
      <w:r w:rsidR="00245074" w:rsidRPr="000F53C2">
        <w:rPr>
          <w:rFonts w:ascii="Palatino Linotype" w:hAnsi="Palatino Linotype"/>
          <w:sz w:val="22"/>
          <w:szCs w:val="22"/>
        </w:rPr>
        <w:t xml:space="preserve">mediante informe técnico Nro. </w:t>
      </w:r>
      <w:r w:rsidR="00245074" w:rsidRPr="000F53C2">
        <w:rPr>
          <w:rStyle w:val="markedcontent"/>
          <w:rFonts w:ascii="Palatino Linotype" w:hAnsi="Palatino Linotype" w:cs="Arial"/>
          <w:sz w:val="22"/>
          <w:szCs w:val="22"/>
        </w:rPr>
        <w:t>AZCA-DGT-2022-034</w:t>
      </w:r>
      <w:r w:rsidR="00245074" w:rsidRPr="000F53C2">
        <w:rPr>
          <w:rFonts w:ascii="Palatino Linotype" w:hAnsi="Palatino Linotype"/>
          <w:sz w:val="22"/>
          <w:szCs w:val="22"/>
        </w:rPr>
        <w:t xml:space="preserve">, de 19 de agosto de 2022, el Ing. Israel Jiménez, funcionario de la Administración Zonal Calderón, señala: </w:t>
      </w:r>
    </w:p>
    <w:p w:rsidR="00245074" w:rsidRPr="000F53C2" w:rsidRDefault="00245074" w:rsidP="00245074">
      <w:pPr>
        <w:tabs>
          <w:tab w:val="left" w:pos="1080"/>
        </w:tabs>
        <w:jc w:val="both"/>
        <w:rPr>
          <w:rFonts w:ascii="Palatino Linotype" w:hAnsi="Palatino Linotype"/>
          <w:b/>
          <w:sz w:val="22"/>
          <w:szCs w:val="22"/>
        </w:rPr>
      </w:pPr>
    </w:p>
    <w:p w:rsidR="00245074" w:rsidRPr="000F53C2" w:rsidRDefault="00245074" w:rsidP="00245074">
      <w:pPr>
        <w:tabs>
          <w:tab w:val="left" w:pos="1080"/>
        </w:tabs>
        <w:ind w:left="708"/>
        <w:jc w:val="both"/>
        <w:rPr>
          <w:rStyle w:val="markedcontent"/>
          <w:rFonts w:ascii="Palatino Linotype" w:hAnsi="Palatino Linotype" w:cs="Arial"/>
          <w:b/>
          <w:i/>
          <w:sz w:val="22"/>
          <w:szCs w:val="22"/>
        </w:rPr>
      </w:pPr>
      <w:r w:rsidRPr="000F53C2">
        <w:rPr>
          <w:rFonts w:ascii="Palatino Linotype" w:hAnsi="Palatino Linotype"/>
          <w:b/>
          <w:i/>
          <w:sz w:val="22"/>
          <w:szCs w:val="22"/>
        </w:rPr>
        <w:t xml:space="preserve">“(…) </w:t>
      </w:r>
      <w:r w:rsidRPr="000F53C2">
        <w:rPr>
          <w:rStyle w:val="markedcontent"/>
          <w:rFonts w:ascii="Palatino Linotype" w:hAnsi="Palatino Linotype" w:cs="Arial"/>
          <w:b/>
          <w:i/>
          <w:sz w:val="22"/>
          <w:szCs w:val="22"/>
        </w:rPr>
        <w:t>Análisis de la Prescripción Adquisitiva de Dominio</w:t>
      </w:r>
    </w:p>
    <w:p w:rsidR="00245074" w:rsidRPr="000F53C2" w:rsidRDefault="00245074" w:rsidP="00245074">
      <w:pPr>
        <w:tabs>
          <w:tab w:val="left" w:pos="1080"/>
        </w:tabs>
        <w:ind w:left="708"/>
        <w:jc w:val="both"/>
        <w:rPr>
          <w:rStyle w:val="markedcontent"/>
          <w:rFonts w:ascii="Palatino Linotype" w:hAnsi="Palatino Linotype" w:cs="Arial"/>
          <w:b/>
          <w:i/>
          <w:sz w:val="22"/>
          <w:szCs w:val="22"/>
        </w:rPr>
      </w:pPr>
      <w:r w:rsidRPr="000F53C2">
        <w:rPr>
          <w:rStyle w:val="markedcontent"/>
          <w:rFonts w:ascii="Palatino Linotype" w:hAnsi="Palatino Linotype" w:cs="Arial"/>
          <w:b/>
          <w:i/>
          <w:sz w:val="22"/>
          <w:szCs w:val="22"/>
        </w:rPr>
        <w:t>Descripción del Juicio</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Fonts w:ascii="Palatino Linotype" w:hAnsi="Palatino Linotype"/>
          <w:i/>
          <w:sz w:val="22"/>
          <w:szCs w:val="22"/>
        </w:rPr>
        <w:br/>
      </w:r>
      <w:r w:rsidRPr="000F53C2">
        <w:rPr>
          <w:rStyle w:val="markedcontent"/>
          <w:i/>
          <w:sz w:val="22"/>
          <w:szCs w:val="22"/>
        </w:rPr>
        <w:t>̈</w:t>
      </w:r>
      <w:r w:rsidRPr="000F53C2">
        <w:rPr>
          <w:rStyle w:val="markedcontent"/>
          <w:rFonts w:ascii="Palatino Linotype" w:hAnsi="Palatino Linotype" w:cs="Arial"/>
          <w:i/>
          <w:sz w:val="22"/>
          <w:szCs w:val="22"/>
        </w:rPr>
        <w:t xml:space="preserve">(...) ACEPTA la demanda de Prescripción Ordinaria Adquisitiva de Dominio a favor de la señora EVELIN DOROTEA LEMUS VILLARREAL, de la casa No. 97 del Conjunto </w:t>
      </w:r>
      <w:r w:rsidRPr="000F53C2">
        <w:rPr>
          <w:rStyle w:val="markedcontent"/>
          <w:rFonts w:ascii="Palatino Linotype" w:hAnsi="Palatino Linotype" w:cs="Arial"/>
          <w:i/>
          <w:sz w:val="22"/>
          <w:szCs w:val="22"/>
        </w:rPr>
        <w:lastRenderedPageBreak/>
        <w:t xml:space="preserve">Habitacional Paseos de Calderón II Etapa de la parroquia Calderón del Distrito Metropolitano de Quito, misma que se encuentra demarcada por los siguientes linderos: Norte en una longitud de 6.00 metros con cerramiento de Hogar de Ancianos Betania; por el Sur linda en 6.00m con calle Nro. 2; al Este colinda en una longitud de 13.45m con casa 98; y al Oeste colinda en una longitud de 13.45m con la casa 96. El inmueble tiene una superficie de 91,20 metros </w:t>
      </w:r>
      <w:r w:rsidRPr="000F53C2">
        <w:rPr>
          <w:rStyle w:val="markedcontent"/>
          <w:i/>
          <w:sz w:val="22"/>
          <w:szCs w:val="22"/>
        </w:rPr>
        <w:t>̈</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Fonts w:ascii="Palatino Linotype" w:hAnsi="Palatino Linotype"/>
          <w:b/>
          <w:i/>
          <w:sz w:val="22"/>
          <w:szCs w:val="22"/>
        </w:rPr>
        <w:br/>
      </w:r>
      <w:r w:rsidRPr="000F53C2">
        <w:rPr>
          <w:rStyle w:val="markedcontent"/>
          <w:rFonts w:ascii="Palatino Linotype" w:hAnsi="Palatino Linotype" w:cs="Arial"/>
          <w:b/>
          <w:i/>
          <w:sz w:val="22"/>
          <w:szCs w:val="22"/>
        </w:rPr>
        <w:sym w:font="Symbol" w:char="F0B7"/>
      </w:r>
      <w:r w:rsidRPr="000F53C2">
        <w:rPr>
          <w:rStyle w:val="markedcontent"/>
          <w:rFonts w:ascii="Palatino Linotype" w:hAnsi="Palatino Linotype" w:cs="Arial"/>
          <w:b/>
          <w:i/>
          <w:sz w:val="22"/>
          <w:szCs w:val="22"/>
        </w:rPr>
        <w:t xml:space="preserve"> Luego de la sentencia aclaratoria </w:t>
      </w:r>
      <w:r w:rsidRPr="000F53C2">
        <w:rPr>
          <w:rStyle w:val="markedcontent"/>
          <w:rFonts w:ascii="Palatino Linotype" w:hAnsi="Palatino Linotype" w:cs="Arial"/>
          <w:i/>
          <w:sz w:val="22"/>
          <w:szCs w:val="22"/>
        </w:rPr>
        <w:t xml:space="preserve">con fecha jueves 03 de marzo de 2022 a 15h20, se aclara textualmente... () Por un error involuntario, en el numeral NOVENO de la parte resolutiva de la sentencia emitida el 28 de noviembre de 2018; se ha hecho constar como superficie total del bien inmueble 91.20 metros cuadrados, </w:t>
      </w:r>
      <w:r w:rsidRPr="000F53C2">
        <w:rPr>
          <w:rStyle w:val="markedcontent"/>
          <w:rFonts w:ascii="Palatino Linotype" w:hAnsi="Palatino Linotype" w:cs="Arial"/>
          <w:b/>
          <w:i/>
          <w:sz w:val="22"/>
          <w:szCs w:val="22"/>
        </w:rPr>
        <w:t>SIENDO LO CORRECTO 84 METROS CUADRADOS</w:t>
      </w:r>
      <w:r w:rsidRPr="000F53C2">
        <w:rPr>
          <w:rStyle w:val="markedcontent"/>
          <w:rFonts w:ascii="Palatino Linotype" w:hAnsi="Palatino Linotype" w:cs="Arial"/>
          <w:i/>
          <w:sz w:val="22"/>
          <w:szCs w:val="22"/>
        </w:rPr>
        <w:t xml:space="preserve">, En todo lo demás las partes estén a lo dispuesto en la referida sentencia (...) </w:t>
      </w:r>
      <w:r w:rsidRPr="000F53C2">
        <w:rPr>
          <w:rStyle w:val="markedcontent"/>
          <w:i/>
          <w:sz w:val="22"/>
          <w:szCs w:val="22"/>
        </w:rPr>
        <w:t>̈</w:t>
      </w:r>
    </w:p>
    <w:p w:rsidR="00245074" w:rsidRPr="000F53C2" w:rsidRDefault="00245074" w:rsidP="00245074">
      <w:pPr>
        <w:tabs>
          <w:tab w:val="left" w:pos="1080"/>
        </w:tabs>
        <w:ind w:left="708"/>
        <w:jc w:val="both"/>
        <w:rPr>
          <w:rStyle w:val="markedcontent"/>
          <w:rFonts w:ascii="Palatino Linotype" w:hAnsi="Palatino Linotype" w:cs="Arial"/>
          <w:b/>
          <w:i/>
          <w:sz w:val="22"/>
          <w:szCs w:val="22"/>
        </w:rPr>
      </w:pPr>
      <w:r w:rsidRPr="000F53C2">
        <w:rPr>
          <w:rFonts w:ascii="Palatino Linotype" w:hAnsi="Palatino Linotype"/>
          <w:b/>
          <w:i/>
          <w:sz w:val="22"/>
          <w:szCs w:val="22"/>
        </w:rPr>
        <w:br/>
      </w:r>
      <w:r w:rsidRPr="000F53C2">
        <w:rPr>
          <w:rStyle w:val="markedcontent"/>
          <w:rFonts w:ascii="Palatino Linotype" w:hAnsi="Palatino Linotype" w:cs="Arial"/>
          <w:b/>
          <w:i/>
          <w:sz w:val="22"/>
          <w:szCs w:val="22"/>
        </w:rPr>
        <w:t>Prescripción Adquisitiva de Dominio Área Observaciones</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Style w:val="markedcontent"/>
          <w:rFonts w:ascii="Palatino Linotype" w:hAnsi="Palatino Linotype" w:cs="Arial"/>
          <w:i/>
          <w:sz w:val="22"/>
          <w:szCs w:val="22"/>
        </w:rPr>
        <w:t>No. 17230-2017-10398</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Fonts w:ascii="Palatino Linotype" w:hAnsi="Palatino Linotype"/>
          <w:i/>
          <w:sz w:val="22"/>
          <w:szCs w:val="22"/>
        </w:rPr>
        <w:br/>
      </w:r>
      <w:r w:rsidRPr="000F53C2">
        <w:rPr>
          <w:rStyle w:val="markedcontent"/>
          <w:rFonts w:ascii="Palatino Linotype" w:hAnsi="Palatino Linotype" w:cs="Arial"/>
          <w:i/>
          <w:sz w:val="22"/>
          <w:szCs w:val="22"/>
        </w:rPr>
        <w:t xml:space="preserve">Lote = 84,00 m2: </w:t>
      </w:r>
      <w:r w:rsidRPr="000F53C2">
        <w:rPr>
          <w:rStyle w:val="markedcontent"/>
          <w:rFonts w:ascii="Palatino Linotype" w:hAnsi="Palatino Linotype" w:cs="Arial"/>
          <w:b/>
          <w:i/>
          <w:sz w:val="22"/>
          <w:szCs w:val="22"/>
        </w:rPr>
        <w:t>NO Cumple</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Style w:val="markedcontent"/>
          <w:rFonts w:ascii="Palatino Linotype" w:hAnsi="Palatino Linotype" w:cs="Arial"/>
          <w:i/>
          <w:sz w:val="22"/>
          <w:szCs w:val="22"/>
        </w:rPr>
        <w:t xml:space="preserve">Frente = 0 m: </w:t>
      </w:r>
      <w:r w:rsidRPr="000F53C2">
        <w:rPr>
          <w:rStyle w:val="markedcontent"/>
          <w:rFonts w:ascii="Palatino Linotype" w:hAnsi="Palatino Linotype" w:cs="Arial"/>
          <w:b/>
          <w:i/>
          <w:sz w:val="22"/>
          <w:szCs w:val="22"/>
        </w:rPr>
        <w:t>NO Cumple</w:t>
      </w:r>
      <w:r w:rsidRPr="000F53C2">
        <w:rPr>
          <w:rStyle w:val="markedcontent"/>
          <w:rFonts w:ascii="Palatino Linotype" w:hAnsi="Palatino Linotype" w:cs="Arial"/>
          <w:i/>
          <w:sz w:val="22"/>
          <w:szCs w:val="22"/>
        </w:rPr>
        <w:t xml:space="preserve"> calle no aprobada en Plan Parcial Calderón (P.P.C.)</w:t>
      </w:r>
    </w:p>
    <w:p w:rsidR="00245074" w:rsidRPr="000F53C2" w:rsidRDefault="00245074" w:rsidP="00245074">
      <w:pPr>
        <w:tabs>
          <w:tab w:val="left" w:pos="1080"/>
        </w:tabs>
        <w:ind w:left="708"/>
        <w:jc w:val="both"/>
        <w:rPr>
          <w:rStyle w:val="markedcontent"/>
          <w:rFonts w:ascii="Palatino Linotype" w:hAnsi="Palatino Linotype" w:cs="Arial"/>
          <w:sz w:val="22"/>
          <w:szCs w:val="22"/>
        </w:rPr>
      </w:pPr>
    </w:p>
    <w:p w:rsidR="00245074" w:rsidRPr="000F53C2" w:rsidRDefault="00245074" w:rsidP="00245074">
      <w:pPr>
        <w:tabs>
          <w:tab w:val="left" w:pos="1080"/>
        </w:tabs>
        <w:ind w:left="708"/>
        <w:jc w:val="both"/>
        <w:rPr>
          <w:rStyle w:val="markedcontent"/>
          <w:rFonts w:ascii="Palatino Linotype" w:hAnsi="Palatino Linotype" w:cs="Arial"/>
          <w:b/>
          <w:i/>
          <w:sz w:val="22"/>
          <w:szCs w:val="22"/>
        </w:rPr>
      </w:pPr>
      <w:r w:rsidRPr="000F53C2">
        <w:rPr>
          <w:rStyle w:val="markedcontent"/>
          <w:rFonts w:ascii="Palatino Linotype" w:hAnsi="Palatino Linotype" w:cs="Arial"/>
          <w:b/>
          <w:i/>
          <w:sz w:val="22"/>
          <w:szCs w:val="22"/>
        </w:rPr>
        <w:t>Bloque de construcción</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Style w:val="markedcontent"/>
          <w:rFonts w:ascii="Palatino Linotype" w:hAnsi="Palatino Linotype" w:cs="Arial"/>
          <w:i/>
          <w:sz w:val="22"/>
          <w:szCs w:val="22"/>
        </w:rPr>
        <w:t>Área de construcción de 161.28 m2</w:t>
      </w:r>
    </w:p>
    <w:p w:rsidR="00245074" w:rsidRPr="000F53C2" w:rsidRDefault="00245074" w:rsidP="00245074">
      <w:pPr>
        <w:tabs>
          <w:tab w:val="left" w:pos="1080"/>
        </w:tabs>
        <w:ind w:left="708"/>
        <w:jc w:val="both"/>
        <w:rPr>
          <w:rFonts w:ascii="Palatino Linotype" w:hAnsi="Palatino Linotype"/>
          <w:i/>
          <w:sz w:val="22"/>
          <w:szCs w:val="22"/>
        </w:rPr>
      </w:pPr>
    </w:p>
    <w:p w:rsidR="00245074" w:rsidRPr="000F53C2" w:rsidRDefault="00245074" w:rsidP="00245074">
      <w:pPr>
        <w:tabs>
          <w:tab w:val="left" w:pos="1080"/>
        </w:tabs>
        <w:ind w:left="708"/>
        <w:jc w:val="both"/>
        <w:rPr>
          <w:rFonts w:ascii="Palatino Linotype" w:hAnsi="Palatino Linotype"/>
          <w:b/>
          <w:i/>
          <w:sz w:val="22"/>
          <w:szCs w:val="22"/>
        </w:rPr>
      </w:pPr>
      <w:r w:rsidRPr="000F53C2">
        <w:rPr>
          <w:rStyle w:val="markedcontent"/>
          <w:rFonts w:ascii="Palatino Linotype" w:hAnsi="Palatino Linotype" w:cs="Arial"/>
          <w:b/>
          <w:i/>
          <w:sz w:val="22"/>
          <w:szCs w:val="22"/>
        </w:rPr>
        <w:sym w:font="Symbol" w:char="F0B7"/>
      </w:r>
      <w:r w:rsidRPr="000F53C2">
        <w:rPr>
          <w:rStyle w:val="markedcontent"/>
          <w:rFonts w:ascii="Palatino Linotype" w:hAnsi="Palatino Linotype" w:cs="Arial"/>
          <w:b/>
          <w:i/>
          <w:sz w:val="22"/>
          <w:szCs w:val="22"/>
        </w:rPr>
        <w:t xml:space="preserve"> Análisis, contribución del 15% del área útil adjudicada adquirida mediante sentencia.</w:t>
      </w:r>
    </w:p>
    <w:p w:rsidR="00245074" w:rsidRPr="000F53C2" w:rsidRDefault="00245074" w:rsidP="00245074">
      <w:pPr>
        <w:tabs>
          <w:tab w:val="left" w:pos="1080"/>
        </w:tabs>
        <w:ind w:left="708"/>
        <w:jc w:val="both"/>
        <w:rPr>
          <w:rFonts w:ascii="Palatino Linotype" w:hAnsi="Palatino Linotype"/>
          <w:b/>
          <w:i/>
          <w:sz w:val="22"/>
          <w:szCs w:val="22"/>
        </w:rPr>
      </w:pP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Style w:val="markedcontent"/>
          <w:rFonts w:ascii="Palatino Linotype" w:hAnsi="Palatino Linotype" w:cs="Arial"/>
          <w:i/>
          <w:sz w:val="22"/>
          <w:szCs w:val="22"/>
        </w:rPr>
        <w:t>En el caso que nos ocupa, el 15% del área útil prescrita corresponde a 12.60 m2, lo cual es inferior al lote mínimo vigente (600m2), razón por la que el actor de la demanda deberá compensar en valor monetario de acuerdo al avalúo catastral vigente a la fecha de la emisión del título de crédito correspondiente.</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Fonts w:ascii="Palatino Linotype" w:hAnsi="Palatino Linotype"/>
          <w:i/>
          <w:sz w:val="22"/>
          <w:szCs w:val="22"/>
        </w:rPr>
        <w:br/>
      </w:r>
      <w:r w:rsidRPr="000F53C2">
        <w:rPr>
          <w:rStyle w:val="markedcontent"/>
          <w:rFonts w:ascii="Palatino Linotype" w:hAnsi="Palatino Linotype" w:cs="Arial"/>
          <w:i/>
          <w:sz w:val="22"/>
          <w:szCs w:val="22"/>
        </w:rPr>
        <w:t xml:space="preserve">Conforme lo señalado en el Informe Técnico GADDMQ-AZCA-CATASTRO-2022-0008-M de fecha 16 de febrero de 2022, emitida por la Unidad Desconcentrada de Catastros, “(...) revisado el sistema de registro catastral SIREC-Q a la presente fecha, el inmueble identificado con Predio 1296691, Clave Catastral 1271302005, ubicado en la parroquia Calderón y catastrado a nombre de ASOCIACION SOLIDARIDAD Y ACCION A.S.A. RUC: 1791276655001, registra los siguientes datos técnicos: </w:t>
      </w:r>
    </w:p>
    <w:p w:rsidR="00245074" w:rsidRPr="000F53C2" w:rsidRDefault="00245074" w:rsidP="00245074">
      <w:pPr>
        <w:tabs>
          <w:tab w:val="left" w:pos="1080"/>
        </w:tabs>
        <w:ind w:left="708"/>
        <w:jc w:val="center"/>
        <w:rPr>
          <w:rStyle w:val="markedcontent"/>
          <w:rFonts w:ascii="Palatino Linotype" w:hAnsi="Palatino Linotype" w:cs="Arial"/>
          <w:i/>
          <w:sz w:val="22"/>
          <w:szCs w:val="22"/>
        </w:rPr>
      </w:pPr>
    </w:p>
    <w:p w:rsidR="00245074" w:rsidRPr="000F53C2" w:rsidRDefault="00245074" w:rsidP="00245074">
      <w:pPr>
        <w:tabs>
          <w:tab w:val="left" w:pos="1080"/>
        </w:tabs>
        <w:ind w:left="708"/>
        <w:jc w:val="center"/>
        <w:rPr>
          <w:rStyle w:val="markedcontent"/>
          <w:rFonts w:ascii="Palatino Linotype" w:hAnsi="Palatino Linotype" w:cs="Arial"/>
          <w:i/>
          <w:noProof/>
          <w:sz w:val="22"/>
          <w:szCs w:val="22"/>
          <w:lang w:eastAsia="es-EC"/>
        </w:rPr>
      </w:pPr>
      <w:r w:rsidRPr="000F53C2">
        <w:rPr>
          <w:rStyle w:val="markedcontent"/>
          <w:rFonts w:ascii="Palatino Linotype" w:hAnsi="Palatino Linotype" w:cs="Arial"/>
          <w:i/>
          <w:noProof/>
          <w:sz w:val="22"/>
          <w:szCs w:val="22"/>
          <w:lang w:eastAsia="es-EC"/>
        </w:rPr>
        <w:lastRenderedPageBreak/>
        <w:drawing>
          <wp:inline distT="0" distB="0" distL="0" distR="0" wp14:anchorId="43781EFE" wp14:editId="7249D08F">
            <wp:extent cx="4439270" cy="17337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39270" cy="1733792"/>
                    </a:xfrm>
                    <a:prstGeom prst="rect">
                      <a:avLst/>
                    </a:prstGeom>
                  </pic:spPr>
                </pic:pic>
              </a:graphicData>
            </a:graphic>
          </wp:inline>
        </w:drawing>
      </w:r>
    </w:p>
    <w:p w:rsidR="00245074" w:rsidRPr="000F53C2" w:rsidRDefault="00245074" w:rsidP="00245074">
      <w:pPr>
        <w:tabs>
          <w:tab w:val="left" w:pos="1080"/>
        </w:tabs>
        <w:ind w:left="708"/>
        <w:jc w:val="center"/>
        <w:rPr>
          <w:rStyle w:val="markedcontent"/>
          <w:rFonts w:ascii="Palatino Linotype" w:hAnsi="Palatino Linotype" w:cs="Arial"/>
          <w:i/>
          <w:sz w:val="22"/>
          <w:szCs w:val="22"/>
        </w:rPr>
      </w:pP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Fonts w:ascii="Palatino Linotype" w:hAnsi="Palatino Linotype"/>
          <w:b/>
          <w:i/>
          <w:sz w:val="22"/>
          <w:szCs w:val="22"/>
        </w:rPr>
        <w:t>“</w:t>
      </w:r>
      <w:r w:rsidRPr="000F53C2">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p>
    <w:p w:rsidR="00245074" w:rsidRPr="000F53C2" w:rsidRDefault="00245074" w:rsidP="00245074">
      <w:pPr>
        <w:tabs>
          <w:tab w:val="left" w:pos="1080"/>
        </w:tabs>
        <w:ind w:left="708"/>
        <w:jc w:val="both"/>
        <w:rPr>
          <w:rStyle w:val="markedcontent"/>
          <w:rFonts w:ascii="Palatino Linotype" w:hAnsi="Palatino Linotype" w:cs="Arial"/>
          <w:b/>
          <w:i/>
          <w:sz w:val="22"/>
          <w:szCs w:val="22"/>
        </w:rPr>
      </w:pPr>
      <w:r w:rsidRPr="000F53C2">
        <w:rPr>
          <w:rFonts w:ascii="Palatino Linotype" w:hAnsi="Palatino Linotype"/>
          <w:b/>
          <w:i/>
          <w:sz w:val="22"/>
          <w:szCs w:val="22"/>
        </w:rPr>
        <w:br/>
      </w:r>
      <w:r w:rsidRPr="000F53C2">
        <w:rPr>
          <w:rStyle w:val="markedcontent"/>
          <w:rFonts w:ascii="Palatino Linotype" w:hAnsi="Palatino Linotype" w:cs="Arial"/>
          <w:b/>
          <w:i/>
          <w:sz w:val="22"/>
          <w:szCs w:val="22"/>
        </w:rPr>
        <w:t>1.- El cálculo se realiza en función del Avalúo del Terreno y no al AIVA</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Fonts w:ascii="Palatino Linotype" w:hAnsi="Palatino Linotype"/>
          <w:i/>
          <w:sz w:val="22"/>
          <w:szCs w:val="22"/>
        </w:rPr>
        <w:br/>
      </w:r>
      <w:r w:rsidRPr="000F53C2">
        <w:rPr>
          <w:rStyle w:val="markedcontent"/>
          <w:rFonts w:ascii="Palatino Linotype" w:hAnsi="Palatino Linotype" w:cs="Arial"/>
          <w:i/>
          <w:sz w:val="22"/>
          <w:szCs w:val="22"/>
        </w:rPr>
        <w:t>Se utiliza el Avalúo del terreno ya que el sistema SLUM en el cual se ingresa las Subdivisiones por prescripción utiliza los valores de: el Avalúo del Terreno, Área del Terreno y Área Prescrita</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Fonts w:ascii="Palatino Linotype" w:hAnsi="Palatino Linotype"/>
          <w:i/>
          <w:sz w:val="22"/>
          <w:szCs w:val="22"/>
        </w:rPr>
        <w:br/>
      </w:r>
      <w:r w:rsidRPr="000F53C2">
        <w:rPr>
          <w:rStyle w:val="markedcontent"/>
          <w:rFonts w:ascii="Palatino Linotype" w:hAnsi="Palatino Linotype" w:cs="Arial"/>
          <w:i/>
          <w:sz w:val="22"/>
          <w:szCs w:val="22"/>
        </w:rPr>
        <w:t>2.- La fórmula con la cual se calcula la compensación es la siguiente.</w:t>
      </w:r>
      <w:r w:rsidRPr="000F53C2">
        <w:rPr>
          <w:rFonts w:ascii="Palatino Linotype" w:hAnsi="Palatino Linotype"/>
          <w:i/>
          <w:sz w:val="22"/>
          <w:szCs w:val="22"/>
        </w:rPr>
        <w:br/>
      </w:r>
      <w:r w:rsidRPr="000F53C2">
        <w:rPr>
          <w:rStyle w:val="markedcontent"/>
          <w:rFonts w:ascii="Palatino Linotype" w:hAnsi="Palatino Linotype" w:cs="Arial"/>
          <w:i/>
          <w:sz w:val="22"/>
          <w:szCs w:val="22"/>
        </w:rPr>
        <w:t>(Avalúo del Terreno / Área del Terreno) * (Área de prescripción) * (15% Contribución)</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Fonts w:ascii="Palatino Linotype" w:hAnsi="Palatino Linotype"/>
          <w:i/>
          <w:sz w:val="22"/>
          <w:szCs w:val="22"/>
        </w:rPr>
        <w:br/>
      </w:r>
      <w:r w:rsidRPr="000F53C2">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Fonts w:ascii="Palatino Linotype" w:hAnsi="Palatino Linotype"/>
          <w:i/>
          <w:sz w:val="22"/>
          <w:szCs w:val="22"/>
        </w:rPr>
        <w:br/>
      </w:r>
      <w:r w:rsidRPr="000F53C2">
        <w:rPr>
          <w:rStyle w:val="markedcontent"/>
          <w:rFonts w:ascii="Palatino Linotype" w:hAnsi="Palatino Linotype" w:cs="Arial"/>
          <w:i/>
          <w:sz w:val="22"/>
          <w:szCs w:val="22"/>
        </w:rPr>
        <w:t>3.- Con la fórmula mencionada, el área prescrita y los valores emitidos por catastros se realizó el cálculo:</w:t>
      </w:r>
    </w:p>
    <w:p w:rsidR="00245074" w:rsidRPr="000F53C2" w:rsidRDefault="00245074" w:rsidP="00245074">
      <w:pPr>
        <w:tabs>
          <w:tab w:val="left" w:pos="1080"/>
        </w:tabs>
        <w:ind w:left="708"/>
        <w:jc w:val="both"/>
        <w:rPr>
          <w:rStyle w:val="markedcontent"/>
          <w:rFonts w:ascii="Palatino Linotype" w:hAnsi="Palatino Linotype" w:cs="Arial"/>
          <w:i/>
          <w:sz w:val="22"/>
          <w:szCs w:val="22"/>
        </w:rPr>
      </w:pPr>
      <w:r w:rsidRPr="000F53C2">
        <w:rPr>
          <w:rFonts w:ascii="Palatino Linotype" w:hAnsi="Palatino Linotype"/>
          <w:i/>
          <w:sz w:val="22"/>
          <w:szCs w:val="22"/>
        </w:rPr>
        <w:br/>
      </w:r>
      <w:r w:rsidRPr="000F53C2">
        <w:rPr>
          <w:rStyle w:val="markedcontent"/>
          <w:rFonts w:ascii="Palatino Linotype" w:hAnsi="Palatino Linotype" w:cs="Arial"/>
          <w:i/>
          <w:sz w:val="22"/>
          <w:szCs w:val="22"/>
        </w:rPr>
        <w:t>(746.595,67 usd / 15.065,94 m2 ) * (84 m2) * (0,15) = 624.40 usd</w:t>
      </w:r>
    </w:p>
    <w:p w:rsidR="00245074" w:rsidRPr="000F53C2" w:rsidRDefault="00245074" w:rsidP="00245074">
      <w:pPr>
        <w:tabs>
          <w:tab w:val="left" w:pos="1080"/>
        </w:tabs>
        <w:ind w:left="708"/>
        <w:jc w:val="both"/>
        <w:rPr>
          <w:rFonts w:ascii="Palatino Linotype" w:hAnsi="Palatino Linotype"/>
          <w:b/>
          <w:i/>
          <w:sz w:val="22"/>
          <w:szCs w:val="22"/>
        </w:rPr>
      </w:pPr>
    </w:p>
    <w:p w:rsidR="00245074" w:rsidRPr="000F53C2" w:rsidRDefault="00245074" w:rsidP="00245074">
      <w:pPr>
        <w:tabs>
          <w:tab w:val="left" w:pos="1080"/>
        </w:tabs>
        <w:ind w:left="708"/>
        <w:jc w:val="center"/>
        <w:rPr>
          <w:rFonts w:ascii="Palatino Linotype" w:hAnsi="Palatino Linotype"/>
          <w:b/>
          <w:i/>
          <w:sz w:val="22"/>
          <w:szCs w:val="22"/>
        </w:rPr>
      </w:pPr>
      <w:r w:rsidRPr="000F53C2">
        <w:rPr>
          <w:rFonts w:ascii="Palatino Linotype" w:hAnsi="Palatino Linotype"/>
          <w:b/>
          <w:i/>
          <w:noProof/>
          <w:sz w:val="22"/>
          <w:szCs w:val="22"/>
          <w:lang w:eastAsia="es-EC"/>
        </w:rPr>
        <w:drawing>
          <wp:inline distT="0" distB="0" distL="0" distR="0" wp14:anchorId="14D304E6" wp14:editId="7E6FA446">
            <wp:extent cx="4953691" cy="8383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53691" cy="838317"/>
                    </a:xfrm>
                    <a:prstGeom prst="rect">
                      <a:avLst/>
                    </a:prstGeom>
                  </pic:spPr>
                </pic:pic>
              </a:graphicData>
            </a:graphic>
          </wp:inline>
        </w:drawing>
      </w:r>
    </w:p>
    <w:p w:rsidR="00245074" w:rsidRPr="000F53C2" w:rsidRDefault="00245074" w:rsidP="00245074">
      <w:pPr>
        <w:tabs>
          <w:tab w:val="left" w:pos="1080"/>
        </w:tabs>
        <w:ind w:left="708"/>
        <w:jc w:val="both"/>
        <w:rPr>
          <w:rFonts w:ascii="Palatino Linotype" w:hAnsi="Palatino Linotype"/>
          <w:b/>
          <w:i/>
          <w:sz w:val="22"/>
          <w:szCs w:val="22"/>
        </w:rPr>
      </w:pPr>
    </w:p>
    <w:p w:rsidR="00245074" w:rsidRPr="000F53C2" w:rsidRDefault="00245074" w:rsidP="00245074">
      <w:pPr>
        <w:tabs>
          <w:tab w:val="left" w:pos="1080"/>
        </w:tabs>
        <w:ind w:left="708"/>
        <w:jc w:val="both"/>
        <w:rPr>
          <w:rFonts w:ascii="Palatino Linotype" w:hAnsi="Palatino Linotype"/>
          <w:b/>
          <w:i/>
          <w:sz w:val="22"/>
          <w:szCs w:val="22"/>
        </w:rPr>
      </w:pPr>
      <w:r w:rsidRPr="000F53C2">
        <w:rPr>
          <w:rFonts w:ascii="Palatino Linotype" w:hAnsi="Palatino Linotype"/>
          <w:b/>
          <w:i/>
          <w:sz w:val="22"/>
          <w:szCs w:val="22"/>
        </w:rPr>
        <w:t>“CONCLUSIONES</w:t>
      </w:r>
    </w:p>
    <w:p w:rsidR="00245074" w:rsidRPr="000F53C2" w:rsidRDefault="00245074" w:rsidP="00245074">
      <w:pPr>
        <w:tabs>
          <w:tab w:val="left" w:pos="1080"/>
        </w:tabs>
        <w:ind w:left="1080"/>
        <w:jc w:val="both"/>
        <w:rPr>
          <w:rFonts w:ascii="Palatino Linotype" w:hAnsi="Palatino Linotype"/>
          <w:b/>
          <w:i/>
          <w:sz w:val="22"/>
          <w:szCs w:val="22"/>
        </w:rPr>
      </w:pPr>
    </w:p>
    <w:p w:rsidR="00245074" w:rsidRPr="000F53C2" w:rsidRDefault="00245074" w:rsidP="00245074">
      <w:pPr>
        <w:tabs>
          <w:tab w:val="left" w:pos="1080"/>
        </w:tabs>
        <w:ind w:left="1080"/>
        <w:jc w:val="both"/>
        <w:rPr>
          <w:rStyle w:val="markedcontent"/>
          <w:rFonts w:ascii="Palatino Linotype" w:hAnsi="Palatino Linotype" w:cs="Arial"/>
          <w:i/>
          <w:sz w:val="22"/>
          <w:szCs w:val="22"/>
        </w:rPr>
      </w:pPr>
      <w:r w:rsidRPr="000F53C2">
        <w:rPr>
          <w:rStyle w:val="markedcontent"/>
          <w:rFonts w:ascii="Palatino Linotype" w:hAnsi="Palatino Linotype" w:cs="Arial"/>
          <w:i/>
          <w:sz w:val="22"/>
          <w:szCs w:val="22"/>
        </w:rPr>
        <w:lastRenderedPageBreak/>
        <w:t xml:space="preserve">Del análisis técnico se desprende que, la prescripción adquisitiva de dominio de una parte del inmueble del predio No. 1296691, No Cumple con los datos establecidos en la zonificación vigente, tales como, “lote mínimo” y “frente mínimo”, el área prescrita corresponde a 84 m2 menor a 600m2 zonificación vigente; además no tiene frente hacia una vía aprobada razón por la que se emite </w:t>
      </w:r>
      <w:r w:rsidRPr="000F53C2">
        <w:rPr>
          <w:rStyle w:val="markedcontent"/>
          <w:rFonts w:ascii="Palatino Linotype" w:hAnsi="Palatino Linotype" w:cs="Arial"/>
          <w:b/>
          <w:i/>
          <w:sz w:val="22"/>
          <w:szCs w:val="22"/>
        </w:rPr>
        <w:t>Informe Técnico desfavorable.</w:t>
      </w:r>
    </w:p>
    <w:p w:rsidR="00245074" w:rsidRPr="000F53C2" w:rsidRDefault="00245074" w:rsidP="00245074">
      <w:pPr>
        <w:tabs>
          <w:tab w:val="left" w:pos="1080"/>
        </w:tabs>
        <w:ind w:left="1080"/>
        <w:jc w:val="both"/>
        <w:rPr>
          <w:rFonts w:ascii="Palatino Linotype" w:hAnsi="Palatino Linotype"/>
          <w:b/>
          <w:i/>
          <w:sz w:val="22"/>
          <w:szCs w:val="22"/>
        </w:rPr>
      </w:pPr>
      <w:r w:rsidRPr="000F53C2">
        <w:rPr>
          <w:rFonts w:ascii="Palatino Linotype" w:hAnsi="Palatino Linotype"/>
          <w:i/>
          <w:sz w:val="22"/>
          <w:szCs w:val="22"/>
        </w:rPr>
        <w:br/>
      </w:r>
      <w:r w:rsidRPr="000F53C2">
        <w:rPr>
          <w:rStyle w:val="markedcontent"/>
          <w:rFonts w:ascii="Palatino Linotype" w:hAnsi="Palatino Linotype" w:cs="Arial"/>
          <w:i/>
          <w:sz w:val="22"/>
          <w:szCs w:val="22"/>
        </w:rPr>
        <w:sym w:font="Symbol" w:char="F0B7"/>
      </w:r>
      <w:r w:rsidRPr="000F53C2">
        <w:rPr>
          <w:rStyle w:val="markedcontent"/>
          <w:rFonts w:ascii="Palatino Linotype" w:hAnsi="Palatino Linotype" w:cs="Arial"/>
          <w:i/>
          <w:sz w:val="22"/>
          <w:szCs w:val="22"/>
        </w:rPr>
        <w:t xml:space="preserve"> El 15% del área útil prescrita corresponde a 12.60 m2, lo cual es inferior al lote mínimo vigente (600m2), razón por la que el actor de la demanda </w:t>
      </w:r>
      <w:r w:rsidRPr="000F53C2">
        <w:rPr>
          <w:rStyle w:val="markedcontent"/>
          <w:rFonts w:ascii="Palatino Linotype" w:hAnsi="Palatino Linotype" w:cs="Arial"/>
          <w:b/>
          <w:i/>
          <w:sz w:val="22"/>
          <w:szCs w:val="22"/>
        </w:rPr>
        <w:t>deberá compensar en valor monetario</w:t>
      </w:r>
      <w:r w:rsidRPr="000F53C2">
        <w:rPr>
          <w:rStyle w:val="markedcontent"/>
          <w:rFonts w:ascii="Palatino Linotype" w:hAnsi="Palatino Linotype" w:cs="Arial"/>
          <w:i/>
          <w:sz w:val="22"/>
          <w:szCs w:val="22"/>
        </w:rPr>
        <w:t xml:space="preserve"> de acuerdo al avalúo catastral vigente a la fecha de la emisión del título de crédito correspondiente.</w:t>
      </w:r>
      <w:r w:rsidRPr="000F53C2">
        <w:rPr>
          <w:rStyle w:val="markedcontent"/>
          <w:rFonts w:ascii="Palatino Linotype" w:hAnsi="Palatino Linotype" w:cs="Arial"/>
          <w:b/>
          <w:i/>
          <w:sz w:val="22"/>
          <w:szCs w:val="22"/>
        </w:rPr>
        <w:t xml:space="preserve"> "</w:t>
      </w:r>
    </w:p>
    <w:p w:rsidR="006C76D0" w:rsidRPr="000F53C2" w:rsidRDefault="006C76D0" w:rsidP="00245074">
      <w:pPr>
        <w:tabs>
          <w:tab w:val="left" w:pos="1080"/>
        </w:tabs>
        <w:jc w:val="both"/>
        <w:rPr>
          <w:rFonts w:ascii="Palatino Linotype" w:hAnsi="Palatino Linotype"/>
          <w:b/>
          <w:i/>
          <w:sz w:val="22"/>
          <w:szCs w:val="22"/>
        </w:rPr>
      </w:pPr>
    </w:p>
    <w:p w:rsidR="00141056" w:rsidRPr="000F53C2" w:rsidRDefault="00E41B4B" w:rsidP="00141056">
      <w:pPr>
        <w:pStyle w:val="Default"/>
        <w:ind w:left="708" w:hanging="708"/>
        <w:jc w:val="both"/>
        <w:rPr>
          <w:sz w:val="22"/>
          <w:szCs w:val="22"/>
        </w:rPr>
      </w:pPr>
      <w:r w:rsidRPr="000F53C2">
        <w:rPr>
          <w:sz w:val="22"/>
          <w:szCs w:val="22"/>
        </w:rPr>
        <w:t xml:space="preserve">Que, </w:t>
      </w:r>
      <w:r w:rsidR="00141056" w:rsidRPr="000F53C2">
        <w:rPr>
          <w:sz w:val="22"/>
          <w:szCs w:val="22"/>
        </w:rPr>
        <w:t xml:space="preserve">mediante </w:t>
      </w:r>
      <w:r w:rsidR="00141056" w:rsidRPr="000F53C2">
        <w:rPr>
          <w:sz w:val="22"/>
          <w:szCs w:val="22"/>
          <w:lang w:val="es-EC"/>
        </w:rPr>
        <w:t>memorando Nro. G</w:t>
      </w:r>
      <w:r w:rsidR="00141056" w:rsidRPr="000F53C2">
        <w:rPr>
          <w:sz w:val="22"/>
          <w:szCs w:val="22"/>
        </w:rPr>
        <w:t>ADDMQ-AZCA-DAJ-2022-0410-M,</w:t>
      </w:r>
      <w:r w:rsidR="00141056" w:rsidRPr="000F53C2">
        <w:rPr>
          <w:sz w:val="22"/>
          <w:szCs w:val="22"/>
          <w:lang w:val="es-EC"/>
        </w:rPr>
        <w:t xml:space="preserve"> </w:t>
      </w:r>
      <w:r w:rsidR="00141056" w:rsidRPr="000F53C2">
        <w:rPr>
          <w:sz w:val="22"/>
          <w:szCs w:val="22"/>
        </w:rPr>
        <w:t xml:space="preserve">de 06 de septiembre de 2022, la </w:t>
      </w:r>
      <w:r w:rsidR="00141056" w:rsidRPr="000F53C2">
        <w:rPr>
          <w:sz w:val="22"/>
          <w:szCs w:val="22"/>
          <w:lang w:val="es-EC"/>
        </w:rPr>
        <w:t>Abg. Lorena Elizabeth Donoso Rivera</w:t>
      </w:r>
      <w:r w:rsidR="00141056" w:rsidRPr="000F53C2">
        <w:rPr>
          <w:sz w:val="22"/>
          <w:szCs w:val="22"/>
        </w:rPr>
        <w:t>, Subprocuradora Zonal de la Administración Calderón, señala:</w:t>
      </w:r>
    </w:p>
    <w:p w:rsidR="00141056" w:rsidRPr="000F53C2" w:rsidRDefault="00141056" w:rsidP="00141056">
      <w:pPr>
        <w:pStyle w:val="Default"/>
        <w:jc w:val="both"/>
        <w:rPr>
          <w:i/>
          <w:sz w:val="22"/>
          <w:szCs w:val="22"/>
        </w:rPr>
      </w:pPr>
    </w:p>
    <w:p w:rsidR="00141056" w:rsidRPr="000F53C2" w:rsidRDefault="00141056" w:rsidP="00141056">
      <w:pPr>
        <w:tabs>
          <w:tab w:val="left" w:pos="284"/>
        </w:tabs>
        <w:ind w:left="708"/>
        <w:jc w:val="both"/>
        <w:rPr>
          <w:rFonts w:ascii="Palatino Linotype" w:hAnsi="Palatino Linotype"/>
          <w:b/>
          <w:i/>
          <w:sz w:val="22"/>
          <w:szCs w:val="22"/>
        </w:rPr>
      </w:pPr>
      <w:r w:rsidRPr="000F53C2">
        <w:rPr>
          <w:rFonts w:ascii="Palatino Linotype" w:eastAsiaTheme="minorHAnsi" w:hAnsi="Palatino Linotype" w:cs="Palatino Linotype"/>
          <w:b/>
          <w:i/>
          <w:color w:val="000000"/>
          <w:sz w:val="22"/>
          <w:szCs w:val="22"/>
          <w:lang w:eastAsia="en-US"/>
        </w:rPr>
        <w:t xml:space="preserve">“(…) </w:t>
      </w:r>
      <w:r w:rsidRPr="000F53C2">
        <w:rPr>
          <w:rFonts w:ascii="Palatino Linotype" w:hAnsi="Palatino Linotype"/>
          <w:b/>
          <w:i/>
          <w:sz w:val="22"/>
          <w:szCs w:val="22"/>
        </w:rPr>
        <w:t xml:space="preserve">CRITERIO: </w:t>
      </w:r>
    </w:p>
    <w:p w:rsidR="00141056" w:rsidRPr="000F53C2" w:rsidRDefault="00141056" w:rsidP="00141056">
      <w:pPr>
        <w:tabs>
          <w:tab w:val="left" w:pos="284"/>
        </w:tabs>
        <w:jc w:val="both"/>
        <w:rPr>
          <w:rFonts w:ascii="Palatino Linotype" w:hAnsi="Palatino Linotype"/>
          <w:i/>
          <w:sz w:val="22"/>
          <w:szCs w:val="22"/>
        </w:rPr>
      </w:pPr>
    </w:p>
    <w:p w:rsidR="00141056" w:rsidRPr="000F53C2" w:rsidRDefault="00141056" w:rsidP="00141056">
      <w:pPr>
        <w:tabs>
          <w:tab w:val="left" w:pos="284"/>
        </w:tabs>
        <w:ind w:left="708"/>
        <w:jc w:val="both"/>
        <w:rPr>
          <w:rFonts w:ascii="Palatino Linotype" w:hAnsi="Palatino Linotype"/>
          <w:i/>
          <w:sz w:val="22"/>
          <w:szCs w:val="22"/>
        </w:rPr>
      </w:pPr>
      <w:r w:rsidRPr="000F53C2">
        <w:rPr>
          <w:rFonts w:ascii="Palatino Linotype" w:hAnsi="Palatino Linotype"/>
          <w:i/>
          <w:sz w:val="22"/>
          <w:szCs w:val="22"/>
        </w:rPr>
        <w:t>Por lo expuesto, esta Dirección Jurídica acogiendo el informe técnico</w:t>
      </w:r>
      <w:r w:rsidRPr="000F53C2">
        <w:rPr>
          <w:rFonts w:ascii="Palatino Linotype" w:hAnsi="Palatino Linotype"/>
          <w:i/>
          <w:sz w:val="22"/>
          <w:szCs w:val="22"/>
        </w:rPr>
        <w:br/>
        <w:t>AZCA-DGT-2022-34 de 19 de agosto de 2022, del Jefe de Gestión Urbana y aprobado por la Directora de Gestión Territorial de la Administración Zonal Calderón con memorando Nro. GADDMQ-AZCA-DGT-2022-1434-M de la misma fecha, en el que indica que la prescripción adquisitiva de dominio de una parte del inmueble del predio No. 1296691, No Cumple con los datos establecidos en la zonificación vigente, tales como, “lote mínimo” y “frente mínimo”, el área prescrita corresponde a 84 m2 menor a 600m2 zonificación vigente; por lo que se deberá proceder conforme lo establece en el</w:t>
      </w:r>
      <w:r w:rsidRPr="000F53C2">
        <w:rPr>
          <w:rFonts w:ascii="Palatino Linotype" w:hAnsi="Palatino Linotype"/>
          <w:i/>
          <w:sz w:val="22"/>
          <w:szCs w:val="22"/>
        </w:rPr>
        <w:br/>
        <w:t>COOTAD y la Ordenanza 001.</w:t>
      </w:r>
    </w:p>
    <w:p w:rsidR="004014CA" w:rsidRPr="000F53C2" w:rsidRDefault="00141056" w:rsidP="00141056">
      <w:pPr>
        <w:ind w:left="708" w:hanging="708"/>
        <w:jc w:val="both"/>
        <w:rPr>
          <w:rFonts w:ascii="Palatino Linotype" w:hAnsi="Palatino Linotype"/>
          <w:i/>
          <w:sz w:val="22"/>
          <w:szCs w:val="22"/>
        </w:rPr>
      </w:pPr>
      <w:r w:rsidRPr="000F53C2">
        <w:rPr>
          <w:rFonts w:ascii="Palatino Linotype" w:hAnsi="Palatino Linotype"/>
          <w:i/>
          <w:sz w:val="22"/>
          <w:szCs w:val="22"/>
        </w:rPr>
        <w:br/>
        <w:t>Así mismo, en lo referente al área verde, se ceñirá a lo establecido en el artículo 2171 de la Ordenanza 001”.</w:t>
      </w:r>
    </w:p>
    <w:p w:rsidR="0037384C" w:rsidRPr="000F53C2" w:rsidRDefault="0037384C" w:rsidP="00141056">
      <w:pPr>
        <w:ind w:left="708" w:hanging="708"/>
        <w:jc w:val="both"/>
        <w:rPr>
          <w:rFonts w:ascii="Palatino Linotype" w:hAnsi="Palatino Linotype"/>
          <w:i/>
          <w:sz w:val="22"/>
          <w:szCs w:val="22"/>
        </w:rPr>
      </w:pPr>
    </w:p>
    <w:p w:rsidR="00FE1203" w:rsidRPr="000F53C2" w:rsidRDefault="00FE1203" w:rsidP="00FE1203">
      <w:pPr>
        <w:pStyle w:val="Default"/>
        <w:ind w:left="708" w:hanging="708"/>
        <w:jc w:val="both"/>
        <w:rPr>
          <w:sz w:val="22"/>
          <w:szCs w:val="22"/>
        </w:rPr>
      </w:pPr>
      <w:r w:rsidRPr="000F53C2">
        <w:rPr>
          <w:sz w:val="22"/>
          <w:szCs w:val="22"/>
        </w:rPr>
        <w:t xml:space="preserve">Que, </w:t>
      </w:r>
      <w:r w:rsidRPr="000F53C2">
        <w:rPr>
          <w:sz w:val="22"/>
          <w:szCs w:val="22"/>
        </w:rPr>
        <w:tab/>
        <w:t>la Comisión de Uso de Su</w:t>
      </w:r>
      <w:r w:rsidR="00E02AE3" w:rsidRPr="000F53C2">
        <w:rPr>
          <w:sz w:val="22"/>
          <w:szCs w:val="22"/>
        </w:rPr>
        <w:t>elo en sesión ordinaria Nro. 172</w:t>
      </w:r>
      <w:r w:rsidRPr="000F53C2">
        <w:rPr>
          <w:sz w:val="22"/>
          <w:szCs w:val="22"/>
        </w:rPr>
        <w:t xml:space="preserve">, de </w:t>
      </w:r>
      <w:r w:rsidR="00E02AE3" w:rsidRPr="000F53C2">
        <w:rPr>
          <w:sz w:val="22"/>
          <w:szCs w:val="22"/>
        </w:rPr>
        <w:t xml:space="preserve">07 </w:t>
      </w:r>
      <w:r w:rsidRPr="000F53C2">
        <w:rPr>
          <w:sz w:val="22"/>
          <w:szCs w:val="22"/>
        </w:rPr>
        <w:t xml:space="preserve">de </w:t>
      </w:r>
      <w:r w:rsidR="00E02AE3" w:rsidRPr="000F53C2">
        <w:rPr>
          <w:sz w:val="22"/>
          <w:szCs w:val="22"/>
        </w:rPr>
        <w:t xml:space="preserve">noviembre </w:t>
      </w:r>
      <w:r w:rsidRPr="000F53C2">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0F53C2"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0F53C2">
        <w:rPr>
          <w:rFonts w:ascii="Palatino Linotype" w:eastAsiaTheme="minorHAnsi" w:hAnsi="Palatino Linotype"/>
          <w:sz w:val="22"/>
          <w:szCs w:val="22"/>
          <w:lang w:eastAsia="en-US"/>
        </w:rPr>
        <w:t xml:space="preserve">Que, </w:t>
      </w:r>
      <w:r w:rsidRPr="000F53C2">
        <w:rPr>
          <w:rFonts w:ascii="Palatino Linotype" w:eastAsiaTheme="minorHAnsi" w:hAnsi="Palatino Linotype"/>
          <w:sz w:val="22"/>
          <w:szCs w:val="22"/>
          <w:lang w:eastAsia="en-US"/>
        </w:rPr>
        <w:tab/>
        <w:t>el Concejo Metropolitano de Quito, en sesión pública ordinaria r</w:t>
      </w:r>
      <w:r w:rsidR="00AC4B2C" w:rsidRPr="000F53C2">
        <w:rPr>
          <w:rFonts w:ascii="Palatino Linotype" w:eastAsiaTheme="minorHAnsi" w:hAnsi="Palatino Linotype"/>
          <w:sz w:val="22"/>
          <w:szCs w:val="22"/>
          <w:lang w:eastAsia="en-US"/>
        </w:rPr>
        <w:t>ealizada el … de … de 2022</w:t>
      </w:r>
      <w:r w:rsidRPr="000F53C2">
        <w:rPr>
          <w:rFonts w:ascii="Palatino Linotype" w:eastAsiaTheme="minorHAnsi" w:hAnsi="Palatino Linotype"/>
          <w:sz w:val="22"/>
          <w:szCs w:val="22"/>
          <w:lang w:eastAsia="en-US"/>
        </w:rPr>
        <w:t>, ana</w:t>
      </w:r>
      <w:r w:rsidR="00144F8A" w:rsidRPr="000F53C2">
        <w:rPr>
          <w:rFonts w:ascii="Palatino Linotype" w:eastAsiaTheme="minorHAnsi" w:hAnsi="Palatino Linotype"/>
          <w:sz w:val="22"/>
          <w:szCs w:val="22"/>
          <w:lang w:eastAsia="en-US"/>
        </w:rPr>
        <w:t>lizó el informe Nro. IC-CUS-202</w:t>
      </w:r>
      <w:r w:rsidR="00A55032" w:rsidRPr="000F53C2">
        <w:rPr>
          <w:rFonts w:ascii="Palatino Linotype" w:eastAsiaTheme="minorHAnsi" w:hAnsi="Palatino Linotype"/>
          <w:sz w:val="22"/>
          <w:szCs w:val="22"/>
          <w:lang w:eastAsia="en-US"/>
        </w:rPr>
        <w:t>2</w:t>
      </w:r>
      <w:r w:rsidR="00745751" w:rsidRPr="000F53C2">
        <w:rPr>
          <w:rFonts w:ascii="Palatino Linotype" w:eastAsiaTheme="minorHAnsi" w:hAnsi="Palatino Linotype"/>
          <w:sz w:val="22"/>
          <w:szCs w:val="22"/>
          <w:lang w:eastAsia="en-US"/>
        </w:rPr>
        <w:t>-</w:t>
      </w:r>
      <w:r w:rsidR="00E06510" w:rsidRPr="000F53C2">
        <w:rPr>
          <w:rFonts w:ascii="Palatino Linotype" w:eastAsiaTheme="minorHAnsi" w:hAnsi="Palatino Linotype"/>
          <w:sz w:val="22"/>
          <w:szCs w:val="22"/>
          <w:lang w:eastAsia="en-US"/>
        </w:rPr>
        <w:t>093</w:t>
      </w:r>
      <w:r w:rsidR="00DB552C" w:rsidRPr="000F53C2">
        <w:rPr>
          <w:rFonts w:ascii="Palatino Linotype" w:eastAsiaTheme="minorHAnsi" w:hAnsi="Palatino Linotype"/>
          <w:sz w:val="22"/>
          <w:szCs w:val="22"/>
          <w:lang w:eastAsia="en-US"/>
        </w:rPr>
        <w:t>,</w:t>
      </w:r>
      <w:r w:rsidRPr="000F53C2">
        <w:rPr>
          <w:rFonts w:ascii="Palatino Linotype" w:eastAsiaTheme="minorHAnsi" w:hAnsi="Palatino Linotype"/>
          <w:sz w:val="22"/>
          <w:szCs w:val="22"/>
          <w:lang w:eastAsia="en-US"/>
        </w:rPr>
        <w:t xml:space="preserve"> emitido por la Comisión de Uso de Suelo; </w:t>
      </w:r>
    </w:p>
    <w:p w:rsidR="00C926A0" w:rsidRPr="000F53C2"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0F53C2"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0F53C2">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0F53C2"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0F53C2"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0F53C2">
        <w:rPr>
          <w:rFonts w:ascii="Palatino Linotype" w:eastAsiaTheme="minorHAnsi" w:hAnsi="Palatino Linotype"/>
          <w:b/>
          <w:bCs/>
          <w:sz w:val="22"/>
          <w:szCs w:val="22"/>
          <w:lang w:eastAsia="en-US"/>
        </w:rPr>
        <w:t>RESUELVE:</w:t>
      </w:r>
    </w:p>
    <w:p w:rsidR="00755448" w:rsidRPr="000F53C2"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0F53C2" w:rsidRDefault="005F36E3" w:rsidP="00755448">
      <w:pPr>
        <w:autoSpaceDE w:val="0"/>
        <w:autoSpaceDN w:val="0"/>
        <w:adjustRightInd w:val="0"/>
        <w:spacing w:line="276" w:lineRule="auto"/>
        <w:jc w:val="both"/>
        <w:rPr>
          <w:rFonts w:ascii="Palatino Linotype" w:hAnsi="Palatino Linotype" w:cs="Arial"/>
          <w:sz w:val="22"/>
          <w:szCs w:val="22"/>
        </w:rPr>
      </w:pPr>
      <w:r w:rsidRPr="000F53C2">
        <w:rPr>
          <w:rFonts w:ascii="Palatino Linotype" w:hAnsi="Palatino Linotype" w:cs="Arial"/>
          <w:b/>
          <w:sz w:val="22"/>
          <w:szCs w:val="22"/>
        </w:rPr>
        <w:t>Artículo 1.-</w:t>
      </w:r>
      <w:r w:rsidRPr="000F53C2">
        <w:rPr>
          <w:rFonts w:ascii="Palatino Linotype" w:hAnsi="Palatino Linotype" w:cs="Arial"/>
          <w:sz w:val="22"/>
          <w:szCs w:val="22"/>
        </w:rPr>
        <w:t xml:space="preserve"> Autorizar la subdivisión del predio </w:t>
      </w:r>
      <w:r w:rsidR="00B862C7" w:rsidRPr="000F53C2">
        <w:rPr>
          <w:rStyle w:val="markedcontent"/>
          <w:rFonts w:ascii="Palatino Linotype" w:hAnsi="Palatino Linotype" w:cs="Arial"/>
          <w:sz w:val="22"/>
          <w:szCs w:val="22"/>
        </w:rPr>
        <w:t>1296691</w:t>
      </w:r>
      <w:r w:rsidRPr="000F53C2">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E96175" w:rsidRPr="000F53C2">
        <w:rPr>
          <w:rFonts w:ascii="Palatino Linotype" w:hAnsi="Palatino Linotype"/>
        </w:rPr>
        <w:t>17230-2017-10398</w:t>
      </w:r>
      <w:r w:rsidRPr="000F53C2">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0F53C2">
        <w:rPr>
          <w:rFonts w:ascii="Palatino Linotype" w:hAnsi="Palatino Linotype" w:cs="Arial"/>
          <w:sz w:val="22"/>
          <w:szCs w:val="22"/>
        </w:rPr>
        <w:t>minio que ha operado a favor de</w:t>
      </w:r>
      <w:r w:rsidR="00E96175" w:rsidRPr="000F53C2">
        <w:rPr>
          <w:rFonts w:ascii="Palatino Linotype" w:hAnsi="Palatino Linotype" w:cs="Arial"/>
          <w:sz w:val="22"/>
          <w:szCs w:val="22"/>
        </w:rPr>
        <w:t xml:space="preserve"> </w:t>
      </w:r>
      <w:r w:rsidR="00633AF6" w:rsidRPr="000F53C2">
        <w:rPr>
          <w:rFonts w:ascii="Palatino Linotype" w:hAnsi="Palatino Linotype" w:cs="Arial"/>
          <w:sz w:val="22"/>
          <w:szCs w:val="22"/>
        </w:rPr>
        <w:t>l</w:t>
      </w:r>
      <w:r w:rsidR="00E96175" w:rsidRPr="000F53C2">
        <w:rPr>
          <w:rFonts w:ascii="Palatino Linotype" w:hAnsi="Palatino Linotype" w:cs="Arial"/>
          <w:sz w:val="22"/>
          <w:szCs w:val="22"/>
        </w:rPr>
        <w:t>a</w:t>
      </w:r>
      <w:r w:rsidR="00633AF6" w:rsidRPr="000F53C2">
        <w:rPr>
          <w:rFonts w:ascii="Palatino Linotype" w:hAnsi="Palatino Linotype" w:cs="Arial"/>
          <w:sz w:val="22"/>
          <w:szCs w:val="22"/>
        </w:rPr>
        <w:t xml:space="preserve"> Sr</w:t>
      </w:r>
      <w:r w:rsidR="00E96175" w:rsidRPr="000F53C2">
        <w:rPr>
          <w:rFonts w:ascii="Palatino Linotype" w:hAnsi="Palatino Linotype" w:cs="Arial"/>
          <w:sz w:val="22"/>
          <w:szCs w:val="22"/>
        </w:rPr>
        <w:t>a</w:t>
      </w:r>
      <w:r w:rsidRPr="000F53C2">
        <w:rPr>
          <w:rFonts w:ascii="Palatino Linotype" w:hAnsi="Palatino Linotype" w:cs="Arial"/>
          <w:sz w:val="22"/>
          <w:szCs w:val="22"/>
        </w:rPr>
        <w:t xml:space="preserve">. </w:t>
      </w:r>
      <w:r w:rsidR="00E96175" w:rsidRPr="000F53C2">
        <w:rPr>
          <w:rFonts w:ascii="Palatino Linotype" w:hAnsi="Palatino Linotype" w:cs="Arial"/>
          <w:sz w:val="22"/>
          <w:szCs w:val="22"/>
        </w:rPr>
        <w:t>E</w:t>
      </w:r>
      <w:r w:rsidR="00153C5C" w:rsidRPr="000F53C2">
        <w:rPr>
          <w:rFonts w:ascii="Palatino Linotype" w:hAnsi="Palatino Linotype" w:cs="Arial"/>
          <w:sz w:val="22"/>
          <w:szCs w:val="22"/>
        </w:rPr>
        <w:t>vely</w:t>
      </w:r>
      <w:r w:rsidR="00E96175" w:rsidRPr="000F53C2">
        <w:rPr>
          <w:rFonts w:ascii="Palatino Linotype" w:hAnsi="Palatino Linotype" w:cs="Arial"/>
          <w:sz w:val="22"/>
          <w:szCs w:val="22"/>
        </w:rPr>
        <w:t>n Dorotea Lemus Villareal</w:t>
      </w:r>
      <w:r w:rsidRPr="000F53C2">
        <w:rPr>
          <w:rFonts w:ascii="Palatino Linotype" w:hAnsi="Palatino Linotype" w:cs="Arial"/>
          <w:sz w:val="22"/>
          <w:szCs w:val="22"/>
        </w:rPr>
        <w:t xml:space="preserve">, por una superficie de </w:t>
      </w:r>
      <w:r w:rsidR="00CA585E" w:rsidRPr="000F53C2">
        <w:rPr>
          <w:rFonts w:ascii="Palatino Linotype" w:hAnsi="Palatino Linotype"/>
          <w:sz w:val="22"/>
          <w:szCs w:val="22"/>
        </w:rPr>
        <w:t>84</w:t>
      </w:r>
      <w:r w:rsidR="002F2CCA" w:rsidRPr="000F53C2">
        <w:rPr>
          <w:rFonts w:ascii="Palatino Linotype" w:hAnsi="Palatino Linotype"/>
          <w:sz w:val="22"/>
          <w:szCs w:val="22"/>
        </w:rPr>
        <w:t xml:space="preserve"> m2</w:t>
      </w:r>
      <w:r w:rsidRPr="000F53C2">
        <w:rPr>
          <w:rFonts w:ascii="Palatino Linotype" w:hAnsi="Palatino Linotype" w:cs="Arial"/>
          <w:sz w:val="22"/>
          <w:szCs w:val="22"/>
        </w:rPr>
        <w:t xml:space="preserve">. </w:t>
      </w:r>
    </w:p>
    <w:p w:rsidR="005F36E3" w:rsidRPr="000F53C2"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0F53C2" w:rsidRDefault="005F36E3" w:rsidP="00755448">
      <w:pPr>
        <w:autoSpaceDE w:val="0"/>
        <w:autoSpaceDN w:val="0"/>
        <w:adjustRightInd w:val="0"/>
        <w:spacing w:line="276" w:lineRule="auto"/>
        <w:jc w:val="both"/>
        <w:rPr>
          <w:rFonts w:ascii="Palatino Linotype" w:hAnsi="Palatino Linotype" w:cs="Arial"/>
          <w:sz w:val="22"/>
          <w:szCs w:val="22"/>
        </w:rPr>
      </w:pPr>
      <w:r w:rsidRPr="000F53C2">
        <w:rPr>
          <w:rFonts w:ascii="Palatino Linotype" w:hAnsi="Palatino Linotype" w:cs="Arial"/>
          <w:sz w:val="22"/>
          <w:szCs w:val="22"/>
        </w:rPr>
        <w:t xml:space="preserve">De conformidad con lo dispuesto en el artículo 2266.160 del Código Municipal para el Distrito Metropolitano de Quito, </w:t>
      </w:r>
      <w:r w:rsidR="00C411FB" w:rsidRPr="000F53C2">
        <w:rPr>
          <w:rFonts w:ascii="Palatino Linotype" w:hAnsi="Palatino Linotype" w:cs="Arial"/>
          <w:sz w:val="22"/>
          <w:szCs w:val="22"/>
        </w:rPr>
        <w:t xml:space="preserve">la </w:t>
      </w:r>
      <w:r w:rsidR="002F2CCA" w:rsidRPr="000F53C2">
        <w:rPr>
          <w:rFonts w:ascii="Palatino Linotype" w:hAnsi="Palatino Linotype" w:cs="Arial"/>
          <w:sz w:val="22"/>
          <w:szCs w:val="22"/>
        </w:rPr>
        <w:t>Sr</w:t>
      </w:r>
      <w:r w:rsidR="00C411FB" w:rsidRPr="000F53C2">
        <w:rPr>
          <w:rFonts w:ascii="Palatino Linotype" w:hAnsi="Palatino Linotype" w:cs="Arial"/>
          <w:sz w:val="22"/>
          <w:szCs w:val="22"/>
        </w:rPr>
        <w:t>a</w:t>
      </w:r>
      <w:r w:rsidRPr="000F53C2">
        <w:rPr>
          <w:rFonts w:ascii="Palatino Linotype" w:hAnsi="Palatino Linotype" w:cs="Arial"/>
          <w:sz w:val="22"/>
          <w:szCs w:val="22"/>
        </w:rPr>
        <w:t xml:space="preserve">. </w:t>
      </w:r>
      <w:r w:rsidR="00C411FB" w:rsidRPr="000F53C2">
        <w:rPr>
          <w:rFonts w:ascii="Palatino Linotype" w:hAnsi="Palatino Linotype" w:cs="Arial"/>
          <w:sz w:val="22"/>
          <w:szCs w:val="22"/>
        </w:rPr>
        <w:t>Sra. Evelyn Dorotea Lemus Villareal</w:t>
      </w:r>
      <w:r w:rsidRPr="000F53C2">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0F53C2"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0F53C2"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0F53C2">
        <w:rPr>
          <w:rFonts w:ascii="Palatino Linotype" w:eastAsiaTheme="minorHAnsi" w:hAnsi="Palatino Linotype"/>
          <w:b/>
          <w:sz w:val="22"/>
          <w:szCs w:val="22"/>
          <w:lang w:eastAsia="en-US"/>
        </w:rPr>
        <w:t>Disposiciones generales:</w:t>
      </w:r>
    </w:p>
    <w:p w:rsidR="00755448" w:rsidRPr="000F53C2"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0F53C2"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0F53C2">
        <w:rPr>
          <w:rFonts w:ascii="Palatino Linotype" w:eastAsiaTheme="minorHAnsi" w:hAnsi="Palatino Linotype"/>
          <w:b/>
          <w:sz w:val="22"/>
          <w:szCs w:val="22"/>
          <w:lang w:eastAsia="en-US"/>
        </w:rPr>
        <w:t xml:space="preserve">Primera.- </w:t>
      </w:r>
      <w:r w:rsidRPr="000F53C2">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0F53C2"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0F53C2"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0F53C2">
        <w:rPr>
          <w:rFonts w:ascii="Palatino Linotype" w:eastAsiaTheme="minorHAnsi" w:hAnsi="Palatino Linotype"/>
          <w:b/>
          <w:sz w:val="22"/>
          <w:szCs w:val="22"/>
          <w:lang w:eastAsia="en-US"/>
        </w:rPr>
        <w:t>Segunda.-</w:t>
      </w:r>
      <w:r w:rsidRPr="000F53C2">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0F53C2"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0F53C2"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0F53C2">
        <w:rPr>
          <w:rFonts w:ascii="Palatino Linotype" w:eastAsiaTheme="minorHAnsi" w:hAnsi="Palatino Linotype"/>
          <w:b/>
          <w:sz w:val="22"/>
          <w:szCs w:val="22"/>
          <w:lang w:eastAsia="en-US"/>
        </w:rPr>
        <w:t>Disposición Final.-</w:t>
      </w:r>
      <w:r w:rsidRPr="000F53C2">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0F53C2"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0F53C2" w:rsidRDefault="00755448" w:rsidP="00755448">
      <w:pPr>
        <w:spacing w:line="276" w:lineRule="auto"/>
        <w:ind w:left="-5"/>
        <w:jc w:val="both"/>
        <w:rPr>
          <w:rFonts w:ascii="Palatino Linotype" w:hAnsi="Palatino Linotype"/>
          <w:sz w:val="22"/>
          <w:szCs w:val="22"/>
        </w:rPr>
      </w:pPr>
      <w:r w:rsidRPr="000F53C2">
        <w:rPr>
          <w:rFonts w:ascii="Palatino Linotype" w:hAnsi="Palatino Linotype"/>
          <w:sz w:val="22"/>
          <w:szCs w:val="22"/>
        </w:rPr>
        <w:t xml:space="preserve">Dada en la sesión del Concejo Metropolitano de Quito, el ……….. </w:t>
      </w:r>
    </w:p>
    <w:p w:rsidR="00755448" w:rsidRPr="000F53C2" w:rsidRDefault="00755448" w:rsidP="00755448">
      <w:pPr>
        <w:spacing w:line="276" w:lineRule="auto"/>
        <w:ind w:left="-5"/>
        <w:jc w:val="both"/>
        <w:rPr>
          <w:rFonts w:ascii="Palatino Linotype" w:hAnsi="Palatino Linotype"/>
          <w:sz w:val="22"/>
          <w:szCs w:val="22"/>
        </w:rPr>
      </w:pPr>
    </w:p>
    <w:p w:rsidR="00755448" w:rsidRPr="000F53C2" w:rsidRDefault="00755448" w:rsidP="00755448">
      <w:pPr>
        <w:spacing w:line="276" w:lineRule="auto"/>
        <w:ind w:left="-5" w:right="-143"/>
        <w:jc w:val="both"/>
        <w:rPr>
          <w:rFonts w:ascii="Palatino Linotype" w:hAnsi="Palatino Linotype"/>
          <w:sz w:val="22"/>
          <w:szCs w:val="22"/>
        </w:rPr>
      </w:pPr>
      <w:r w:rsidRPr="000F53C2">
        <w:rPr>
          <w:rFonts w:ascii="Palatino Linotype" w:hAnsi="Palatino Linotype"/>
          <w:b/>
          <w:sz w:val="22"/>
          <w:szCs w:val="22"/>
        </w:rPr>
        <w:t xml:space="preserve">Alcaldía del Distrito Metropolitano. - </w:t>
      </w:r>
      <w:r w:rsidRPr="000F53C2">
        <w:rPr>
          <w:rFonts w:ascii="Palatino Linotype" w:hAnsi="Palatino Linotype"/>
          <w:sz w:val="22"/>
          <w:szCs w:val="22"/>
        </w:rPr>
        <w:t>Distrito Metropolitano de Quito, ………..</w:t>
      </w:r>
    </w:p>
    <w:p w:rsidR="00755448" w:rsidRPr="000F53C2" w:rsidRDefault="00755448" w:rsidP="00755448">
      <w:pPr>
        <w:spacing w:line="276" w:lineRule="auto"/>
        <w:jc w:val="both"/>
        <w:rPr>
          <w:rFonts w:ascii="Palatino Linotype" w:hAnsi="Palatino Linotype"/>
          <w:sz w:val="22"/>
          <w:szCs w:val="22"/>
        </w:rPr>
      </w:pPr>
    </w:p>
    <w:p w:rsidR="00755448" w:rsidRPr="000F53C2" w:rsidRDefault="00755448" w:rsidP="00755448">
      <w:pPr>
        <w:spacing w:line="276" w:lineRule="auto"/>
        <w:jc w:val="center"/>
        <w:rPr>
          <w:rFonts w:ascii="Palatino Linotype" w:hAnsi="Palatino Linotype"/>
          <w:sz w:val="22"/>
          <w:szCs w:val="22"/>
        </w:rPr>
      </w:pPr>
      <w:r w:rsidRPr="000F53C2">
        <w:rPr>
          <w:rFonts w:ascii="Palatino Linotype" w:hAnsi="Palatino Linotype"/>
          <w:b/>
          <w:sz w:val="22"/>
          <w:szCs w:val="22"/>
        </w:rPr>
        <w:lastRenderedPageBreak/>
        <w:t>EJECÚTESE:</w:t>
      </w:r>
    </w:p>
    <w:p w:rsidR="00755448" w:rsidRPr="000F53C2" w:rsidRDefault="00755448" w:rsidP="00755448">
      <w:pPr>
        <w:spacing w:line="276" w:lineRule="auto"/>
        <w:ind w:left="51"/>
        <w:jc w:val="center"/>
        <w:rPr>
          <w:rFonts w:ascii="Palatino Linotype" w:hAnsi="Palatino Linotype"/>
          <w:sz w:val="22"/>
          <w:szCs w:val="22"/>
        </w:rPr>
      </w:pPr>
    </w:p>
    <w:p w:rsidR="00755448" w:rsidRPr="000F53C2" w:rsidRDefault="00755448" w:rsidP="00755448">
      <w:pPr>
        <w:spacing w:line="276" w:lineRule="auto"/>
        <w:ind w:left="51"/>
        <w:jc w:val="center"/>
        <w:rPr>
          <w:rFonts w:ascii="Palatino Linotype" w:hAnsi="Palatino Linotype"/>
          <w:sz w:val="22"/>
          <w:szCs w:val="22"/>
        </w:rPr>
      </w:pPr>
    </w:p>
    <w:p w:rsidR="00755448" w:rsidRPr="000F53C2" w:rsidRDefault="00755448" w:rsidP="00755448">
      <w:pPr>
        <w:spacing w:line="276" w:lineRule="auto"/>
        <w:ind w:left="51"/>
        <w:jc w:val="center"/>
        <w:rPr>
          <w:rFonts w:ascii="Palatino Linotype" w:hAnsi="Palatino Linotype"/>
          <w:sz w:val="22"/>
          <w:szCs w:val="22"/>
        </w:rPr>
      </w:pPr>
    </w:p>
    <w:p w:rsidR="00755448" w:rsidRPr="000F53C2" w:rsidRDefault="00755448" w:rsidP="00755448">
      <w:pPr>
        <w:spacing w:line="276" w:lineRule="auto"/>
        <w:ind w:left="51"/>
        <w:jc w:val="center"/>
        <w:rPr>
          <w:rFonts w:ascii="Palatino Linotype" w:hAnsi="Palatino Linotype"/>
          <w:sz w:val="22"/>
          <w:szCs w:val="22"/>
        </w:rPr>
      </w:pPr>
      <w:r w:rsidRPr="000F53C2">
        <w:rPr>
          <w:rFonts w:ascii="Palatino Linotype" w:hAnsi="Palatino Linotype"/>
          <w:sz w:val="22"/>
          <w:szCs w:val="22"/>
        </w:rPr>
        <w:t>Dr. Santiago Guarderas Izquierdo</w:t>
      </w:r>
    </w:p>
    <w:p w:rsidR="00755448" w:rsidRPr="000F53C2"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0F53C2">
        <w:rPr>
          <w:rFonts w:ascii="Palatino Linotype" w:eastAsia="Palatino Linotype" w:hAnsi="Palatino Linotype" w:cs="Palatino Linotype"/>
          <w:b/>
          <w:color w:val="000000"/>
          <w:sz w:val="22"/>
          <w:szCs w:val="22"/>
          <w:lang w:eastAsia="es-EC"/>
        </w:rPr>
        <w:t>ALCALDE DEL DISTRITO METROPOLITANO DE QUITO</w:t>
      </w:r>
    </w:p>
    <w:p w:rsidR="00755448" w:rsidRPr="000F53C2" w:rsidRDefault="00755448" w:rsidP="00755448">
      <w:pPr>
        <w:spacing w:line="276" w:lineRule="auto"/>
        <w:jc w:val="center"/>
        <w:rPr>
          <w:rFonts w:ascii="Palatino Linotype" w:hAnsi="Palatino Linotype"/>
          <w:sz w:val="22"/>
          <w:szCs w:val="22"/>
        </w:rPr>
      </w:pPr>
    </w:p>
    <w:p w:rsidR="00755448" w:rsidRPr="000F53C2" w:rsidRDefault="00755448" w:rsidP="00755448">
      <w:pPr>
        <w:spacing w:line="276" w:lineRule="auto"/>
        <w:ind w:left="-5"/>
        <w:jc w:val="both"/>
        <w:rPr>
          <w:rFonts w:ascii="Palatino Linotype" w:hAnsi="Palatino Linotype"/>
          <w:sz w:val="22"/>
          <w:szCs w:val="22"/>
        </w:rPr>
      </w:pPr>
      <w:r w:rsidRPr="000F53C2">
        <w:rPr>
          <w:rFonts w:ascii="Palatino Linotype" w:hAnsi="Palatino Linotype"/>
          <w:b/>
          <w:sz w:val="22"/>
          <w:szCs w:val="22"/>
        </w:rPr>
        <w:t>CERTIFICO,</w:t>
      </w:r>
      <w:r w:rsidRPr="000F53C2">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0F53C2" w:rsidRDefault="00755448" w:rsidP="00755448">
      <w:pPr>
        <w:spacing w:line="276" w:lineRule="auto"/>
        <w:jc w:val="both"/>
        <w:rPr>
          <w:rFonts w:ascii="Palatino Linotype" w:hAnsi="Palatino Linotype"/>
          <w:sz w:val="22"/>
          <w:szCs w:val="22"/>
        </w:rPr>
      </w:pPr>
      <w:r w:rsidRPr="000F53C2">
        <w:rPr>
          <w:rFonts w:ascii="Palatino Linotype" w:hAnsi="Palatino Linotype"/>
          <w:b/>
          <w:sz w:val="22"/>
          <w:szCs w:val="22"/>
        </w:rPr>
        <w:t xml:space="preserve"> </w:t>
      </w:r>
    </w:p>
    <w:p w:rsidR="00755448" w:rsidRPr="000F53C2" w:rsidRDefault="00755448" w:rsidP="00755448">
      <w:pPr>
        <w:spacing w:line="276" w:lineRule="auto"/>
        <w:ind w:left="-5"/>
        <w:jc w:val="both"/>
        <w:rPr>
          <w:rFonts w:ascii="Palatino Linotype" w:hAnsi="Palatino Linotype"/>
          <w:sz w:val="22"/>
          <w:szCs w:val="22"/>
          <w:highlight w:val="yellow"/>
        </w:rPr>
      </w:pPr>
      <w:r w:rsidRPr="000F53C2">
        <w:rPr>
          <w:rFonts w:ascii="Palatino Linotype" w:hAnsi="Palatino Linotype"/>
          <w:b/>
          <w:sz w:val="22"/>
          <w:szCs w:val="22"/>
        </w:rPr>
        <w:t xml:space="preserve">Lo certifico. - </w:t>
      </w:r>
      <w:r w:rsidRPr="000F53C2">
        <w:rPr>
          <w:rFonts w:ascii="Palatino Linotype" w:hAnsi="Palatino Linotype"/>
          <w:sz w:val="22"/>
          <w:szCs w:val="22"/>
        </w:rPr>
        <w:t xml:space="preserve">Distrito Metropolitano de Quito. </w:t>
      </w:r>
    </w:p>
    <w:p w:rsidR="00755448" w:rsidRPr="000F53C2" w:rsidRDefault="00755448" w:rsidP="00755448">
      <w:pPr>
        <w:spacing w:line="276" w:lineRule="auto"/>
        <w:jc w:val="both"/>
        <w:rPr>
          <w:rFonts w:ascii="Palatino Linotype" w:hAnsi="Palatino Linotype"/>
          <w:sz w:val="22"/>
          <w:szCs w:val="22"/>
          <w:highlight w:val="yellow"/>
        </w:rPr>
      </w:pPr>
      <w:r w:rsidRPr="000F53C2">
        <w:rPr>
          <w:rFonts w:ascii="Palatino Linotype" w:hAnsi="Palatino Linotype"/>
          <w:sz w:val="22"/>
          <w:szCs w:val="22"/>
          <w:highlight w:val="yellow"/>
        </w:rPr>
        <w:t xml:space="preserve"> </w:t>
      </w:r>
    </w:p>
    <w:p w:rsidR="00755448" w:rsidRPr="000F53C2" w:rsidRDefault="00755448" w:rsidP="00755448">
      <w:pPr>
        <w:spacing w:line="276" w:lineRule="auto"/>
        <w:jc w:val="both"/>
        <w:rPr>
          <w:rFonts w:ascii="Palatino Linotype" w:hAnsi="Palatino Linotype"/>
          <w:sz w:val="22"/>
          <w:szCs w:val="22"/>
          <w:highlight w:val="yellow"/>
        </w:rPr>
      </w:pPr>
    </w:p>
    <w:p w:rsidR="00755448" w:rsidRPr="000F53C2" w:rsidRDefault="00755448" w:rsidP="00755448">
      <w:pPr>
        <w:spacing w:line="276" w:lineRule="auto"/>
        <w:jc w:val="both"/>
        <w:rPr>
          <w:rFonts w:ascii="Palatino Linotype" w:hAnsi="Palatino Linotype"/>
          <w:sz w:val="22"/>
          <w:szCs w:val="22"/>
          <w:highlight w:val="yellow"/>
        </w:rPr>
      </w:pPr>
      <w:r w:rsidRPr="000F53C2">
        <w:rPr>
          <w:rFonts w:ascii="Palatino Linotype" w:hAnsi="Palatino Linotype"/>
          <w:sz w:val="22"/>
          <w:szCs w:val="22"/>
          <w:highlight w:val="yellow"/>
        </w:rPr>
        <w:t xml:space="preserve"> </w:t>
      </w:r>
    </w:p>
    <w:p w:rsidR="00755448" w:rsidRPr="000F53C2" w:rsidRDefault="00755448" w:rsidP="00755448">
      <w:pPr>
        <w:spacing w:line="276" w:lineRule="auto"/>
        <w:jc w:val="both"/>
        <w:rPr>
          <w:rFonts w:ascii="Palatino Linotype" w:hAnsi="Palatino Linotype"/>
          <w:sz w:val="22"/>
          <w:szCs w:val="22"/>
          <w:highlight w:val="yellow"/>
        </w:rPr>
      </w:pPr>
      <w:r w:rsidRPr="000F53C2">
        <w:rPr>
          <w:rFonts w:ascii="Palatino Linotype" w:hAnsi="Palatino Linotype"/>
          <w:sz w:val="22"/>
          <w:szCs w:val="22"/>
          <w:highlight w:val="yellow"/>
        </w:rPr>
        <w:t xml:space="preserve"> </w:t>
      </w:r>
    </w:p>
    <w:p w:rsidR="00755448" w:rsidRPr="000F53C2" w:rsidRDefault="00755448" w:rsidP="00755448">
      <w:pPr>
        <w:spacing w:line="276" w:lineRule="auto"/>
        <w:jc w:val="center"/>
        <w:rPr>
          <w:rFonts w:ascii="Palatino Linotype" w:hAnsi="Palatino Linotype"/>
          <w:sz w:val="22"/>
          <w:szCs w:val="22"/>
        </w:rPr>
      </w:pPr>
      <w:r w:rsidRPr="000F53C2">
        <w:rPr>
          <w:rFonts w:ascii="Palatino Linotype" w:hAnsi="Palatino Linotype"/>
          <w:sz w:val="22"/>
          <w:szCs w:val="22"/>
        </w:rPr>
        <w:t>Abg. Pablo Santillán Paredes</w:t>
      </w:r>
    </w:p>
    <w:p w:rsidR="00751D1C" w:rsidRPr="00FD5B31" w:rsidRDefault="00755448" w:rsidP="00FD5B31">
      <w:pPr>
        <w:spacing w:line="276" w:lineRule="auto"/>
        <w:jc w:val="center"/>
        <w:rPr>
          <w:rFonts w:ascii="Palatino Linotype" w:eastAsia="Calibri" w:hAnsi="Palatino Linotype"/>
          <w:b/>
          <w:sz w:val="22"/>
          <w:szCs w:val="22"/>
          <w:lang w:eastAsia="en-US"/>
        </w:rPr>
      </w:pPr>
      <w:r w:rsidRPr="000F53C2">
        <w:rPr>
          <w:rFonts w:ascii="Palatino Linotype" w:eastAsia="Calibri" w:hAnsi="Palatino Linotype"/>
          <w:b/>
          <w:sz w:val="22"/>
          <w:szCs w:val="22"/>
          <w:lang w:eastAsia="en-US"/>
        </w:rPr>
        <w:t>SECRETARIO GENERAL DE</w:t>
      </w:r>
      <w:r w:rsidR="00FD5B31">
        <w:rPr>
          <w:rFonts w:ascii="Palatino Linotype" w:eastAsia="Calibri" w:hAnsi="Palatino Linotype"/>
          <w:b/>
          <w:sz w:val="22"/>
          <w:szCs w:val="22"/>
          <w:lang w:eastAsia="en-US"/>
        </w:rPr>
        <w:t xml:space="preserve">L CONCEJO METROPOLITANO DE QUITO </w:t>
      </w:r>
      <w:bookmarkStart w:id="0" w:name="_GoBack"/>
      <w:bookmarkEnd w:id="0"/>
    </w:p>
    <w:sectPr w:rsidR="00751D1C" w:rsidRPr="00FD5B31" w:rsidSect="005D2467">
      <w:headerReference w:type="default" r:id="rId8"/>
      <w:footerReference w:type="default" r:id="rId9"/>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C2" w:rsidRDefault="009855C2">
      <w:r>
        <w:separator/>
      </w:r>
    </w:p>
  </w:endnote>
  <w:endnote w:type="continuationSeparator" w:id="0">
    <w:p w:rsidR="009855C2" w:rsidRDefault="0098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FD5B31">
              <w:rPr>
                <w:rFonts w:ascii="Palatino Linotype" w:hAnsi="Palatino Linotype"/>
                <w:b/>
                <w:bCs/>
                <w:noProof/>
                <w:sz w:val="20"/>
                <w:szCs w:val="20"/>
              </w:rPr>
              <w:t>9</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FD5B31">
              <w:rPr>
                <w:rFonts w:ascii="Palatino Linotype" w:hAnsi="Palatino Linotype"/>
                <w:b/>
                <w:bCs/>
                <w:noProof/>
                <w:sz w:val="20"/>
                <w:szCs w:val="20"/>
              </w:rPr>
              <w:t>9</w:t>
            </w:r>
            <w:r w:rsidRPr="00707DE5">
              <w:rPr>
                <w:rFonts w:ascii="Palatino Linotype" w:hAnsi="Palatino Linotype"/>
                <w:b/>
                <w:bCs/>
                <w:sz w:val="20"/>
                <w:szCs w:val="20"/>
              </w:rPr>
              <w:fldChar w:fldCharType="end"/>
            </w:r>
          </w:p>
          <w:p w:rsidR="005D2467" w:rsidRPr="008479FB" w:rsidRDefault="009855C2">
            <w:pPr>
              <w:pStyle w:val="Piedepgina"/>
              <w:jc w:val="right"/>
              <w:rPr>
                <w:rFonts w:ascii="Palatino Linotype" w:hAnsi="Palatino Linotype"/>
                <w:sz w:val="20"/>
                <w:szCs w:val="20"/>
              </w:rPr>
            </w:pPr>
          </w:p>
        </w:sdtContent>
      </w:sdt>
    </w:sdtContent>
  </w:sdt>
  <w:p w:rsidR="005D2467" w:rsidRPr="008479FB" w:rsidRDefault="009855C2">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C2" w:rsidRDefault="009855C2">
      <w:r>
        <w:separator/>
      </w:r>
    </w:p>
  </w:footnote>
  <w:footnote w:type="continuationSeparator" w:id="0">
    <w:p w:rsidR="009855C2" w:rsidRDefault="009855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9855C2"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9855C2"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9855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3653"/>
    <w:rsid w:val="00027D50"/>
    <w:rsid w:val="00030386"/>
    <w:rsid w:val="00035E6C"/>
    <w:rsid w:val="0004203F"/>
    <w:rsid w:val="00063D30"/>
    <w:rsid w:val="00067AEE"/>
    <w:rsid w:val="0008033C"/>
    <w:rsid w:val="00090E26"/>
    <w:rsid w:val="000944D7"/>
    <w:rsid w:val="000A17A7"/>
    <w:rsid w:val="000A6FF4"/>
    <w:rsid w:val="000A70A0"/>
    <w:rsid w:val="000B4CF2"/>
    <w:rsid w:val="000E205E"/>
    <w:rsid w:val="000F53C2"/>
    <w:rsid w:val="00115787"/>
    <w:rsid w:val="0013405F"/>
    <w:rsid w:val="00141056"/>
    <w:rsid w:val="00144F8A"/>
    <w:rsid w:val="00153C5C"/>
    <w:rsid w:val="0017481B"/>
    <w:rsid w:val="001A17A7"/>
    <w:rsid w:val="001A2E60"/>
    <w:rsid w:val="001A5724"/>
    <w:rsid w:val="001B2FFD"/>
    <w:rsid w:val="001C1FC7"/>
    <w:rsid w:val="001C7456"/>
    <w:rsid w:val="001F679D"/>
    <w:rsid w:val="001F733D"/>
    <w:rsid w:val="00224DF1"/>
    <w:rsid w:val="002346A7"/>
    <w:rsid w:val="00236DB4"/>
    <w:rsid w:val="0024403E"/>
    <w:rsid w:val="00245074"/>
    <w:rsid w:val="00252078"/>
    <w:rsid w:val="00253AA5"/>
    <w:rsid w:val="0026215F"/>
    <w:rsid w:val="00264155"/>
    <w:rsid w:val="00296140"/>
    <w:rsid w:val="00296D2E"/>
    <w:rsid w:val="002D4C5C"/>
    <w:rsid w:val="002E4C52"/>
    <w:rsid w:val="002F2CCA"/>
    <w:rsid w:val="002F7AF5"/>
    <w:rsid w:val="00306191"/>
    <w:rsid w:val="00313677"/>
    <w:rsid w:val="00336073"/>
    <w:rsid w:val="00345885"/>
    <w:rsid w:val="00360B0F"/>
    <w:rsid w:val="0037384C"/>
    <w:rsid w:val="003A3AD1"/>
    <w:rsid w:val="003E3BAD"/>
    <w:rsid w:val="004014CA"/>
    <w:rsid w:val="0042799B"/>
    <w:rsid w:val="004336C0"/>
    <w:rsid w:val="00445381"/>
    <w:rsid w:val="00470AD9"/>
    <w:rsid w:val="00481F59"/>
    <w:rsid w:val="00497F52"/>
    <w:rsid w:val="004B008D"/>
    <w:rsid w:val="004B2063"/>
    <w:rsid w:val="004C50EC"/>
    <w:rsid w:val="004E2C3F"/>
    <w:rsid w:val="004F5036"/>
    <w:rsid w:val="00511047"/>
    <w:rsid w:val="00532857"/>
    <w:rsid w:val="00532873"/>
    <w:rsid w:val="00552CDD"/>
    <w:rsid w:val="005720AF"/>
    <w:rsid w:val="005A6B15"/>
    <w:rsid w:val="005B6971"/>
    <w:rsid w:val="005B7C5B"/>
    <w:rsid w:val="005C6371"/>
    <w:rsid w:val="005C733B"/>
    <w:rsid w:val="005D1661"/>
    <w:rsid w:val="005D3837"/>
    <w:rsid w:val="005D5471"/>
    <w:rsid w:val="005F36E3"/>
    <w:rsid w:val="00603B6E"/>
    <w:rsid w:val="00606C06"/>
    <w:rsid w:val="00617C1E"/>
    <w:rsid w:val="00633AF6"/>
    <w:rsid w:val="00636664"/>
    <w:rsid w:val="00673059"/>
    <w:rsid w:val="00677109"/>
    <w:rsid w:val="00687C0C"/>
    <w:rsid w:val="00694141"/>
    <w:rsid w:val="006A6DA4"/>
    <w:rsid w:val="006C76D0"/>
    <w:rsid w:val="006E179D"/>
    <w:rsid w:val="006E34DC"/>
    <w:rsid w:val="0071609F"/>
    <w:rsid w:val="007315B0"/>
    <w:rsid w:val="00740EE8"/>
    <w:rsid w:val="00745751"/>
    <w:rsid w:val="007500BA"/>
    <w:rsid w:val="00751D1C"/>
    <w:rsid w:val="00755448"/>
    <w:rsid w:val="00757091"/>
    <w:rsid w:val="007B4D6C"/>
    <w:rsid w:val="007C3147"/>
    <w:rsid w:val="007D2680"/>
    <w:rsid w:val="007D2D4F"/>
    <w:rsid w:val="007E60E9"/>
    <w:rsid w:val="008044F7"/>
    <w:rsid w:val="0081380B"/>
    <w:rsid w:val="0082482D"/>
    <w:rsid w:val="00832D35"/>
    <w:rsid w:val="00854CBC"/>
    <w:rsid w:val="00855B0B"/>
    <w:rsid w:val="00862F11"/>
    <w:rsid w:val="0087756E"/>
    <w:rsid w:val="008824CB"/>
    <w:rsid w:val="008834D1"/>
    <w:rsid w:val="00891108"/>
    <w:rsid w:val="00893065"/>
    <w:rsid w:val="00893F13"/>
    <w:rsid w:val="008A3F72"/>
    <w:rsid w:val="008B4153"/>
    <w:rsid w:val="00907185"/>
    <w:rsid w:val="00942032"/>
    <w:rsid w:val="00953717"/>
    <w:rsid w:val="0096109F"/>
    <w:rsid w:val="00962351"/>
    <w:rsid w:val="0097359A"/>
    <w:rsid w:val="00983736"/>
    <w:rsid w:val="009855C2"/>
    <w:rsid w:val="0098647F"/>
    <w:rsid w:val="00993181"/>
    <w:rsid w:val="0099372E"/>
    <w:rsid w:val="0099702E"/>
    <w:rsid w:val="009C157E"/>
    <w:rsid w:val="009E1D0C"/>
    <w:rsid w:val="009F6F24"/>
    <w:rsid w:val="00A23206"/>
    <w:rsid w:val="00A35D24"/>
    <w:rsid w:val="00A42FBD"/>
    <w:rsid w:val="00A45C33"/>
    <w:rsid w:val="00A47D5C"/>
    <w:rsid w:val="00A55032"/>
    <w:rsid w:val="00A56888"/>
    <w:rsid w:val="00A654D7"/>
    <w:rsid w:val="00A66C89"/>
    <w:rsid w:val="00AA23EE"/>
    <w:rsid w:val="00AC0982"/>
    <w:rsid w:val="00AC4B2C"/>
    <w:rsid w:val="00AD0CAC"/>
    <w:rsid w:val="00AD1557"/>
    <w:rsid w:val="00AD767B"/>
    <w:rsid w:val="00AE1F80"/>
    <w:rsid w:val="00AE5F25"/>
    <w:rsid w:val="00B007F0"/>
    <w:rsid w:val="00B0169E"/>
    <w:rsid w:val="00B27543"/>
    <w:rsid w:val="00B35D39"/>
    <w:rsid w:val="00B5446C"/>
    <w:rsid w:val="00B706B2"/>
    <w:rsid w:val="00B748ED"/>
    <w:rsid w:val="00B84C96"/>
    <w:rsid w:val="00B862C7"/>
    <w:rsid w:val="00B9672E"/>
    <w:rsid w:val="00BA3CE3"/>
    <w:rsid w:val="00BA63E5"/>
    <w:rsid w:val="00BD0EF8"/>
    <w:rsid w:val="00BD292F"/>
    <w:rsid w:val="00BF4249"/>
    <w:rsid w:val="00C2568C"/>
    <w:rsid w:val="00C31C0C"/>
    <w:rsid w:val="00C330EA"/>
    <w:rsid w:val="00C411FB"/>
    <w:rsid w:val="00C4735F"/>
    <w:rsid w:val="00C7771D"/>
    <w:rsid w:val="00C82C59"/>
    <w:rsid w:val="00C926A0"/>
    <w:rsid w:val="00CA585E"/>
    <w:rsid w:val="00CB5779"/>
    <w:rsid w:val="00CE411C"/>
    <w:rsid w:val="00CF05C8"/>
    <w:rsid w:val="00CF748D"/>
    <w:rsid w:val="00D1552F"/>
    <w:rsid w:val="00D23C29"/>
    <w:rsid w:val="00D4445E"/>
    <w:rsid w:val="00D5311D"/>
    <w:rsid w:val="00D57722"/>
    <w:rsid w:val="00D64A4C"/>
    <w:rsid w:val="00DA4995"/>
    <w:rsid w:val="00DB552C"/>
    <w:rsid w:val="00DC5625"/>
    <w:rsid w:val="00DC5673"/>
    <w:rsid w:val="00DD0991"/>
    <w:rsid w:val="00E02AE3"/>
    <w:rsid w:val="00E06510"/>
    <w:rsid w:val="00E22628"/>
    <w:rsid w:val="00E332EA"/>
    <w:rsid w:val="00E41B4B"/>
    <w:rsid w:val="00E5406F"/>
    <w:rsid w:val="00E73950"/>
    <w:rsid w:val="00E81779"/>
    <w:rsid w:val="00E84326"/>
    <w:rsid w:val="00E96175"/>
    <w:rsid w:val="00E97A2B"/>
    <w:rsid w:val="00EA5D12"/>
    <w:rsid w:val="00EC6091"/>
    <w:rsid w:val="00EE4C7B"/>
    <w:rsid w:val="00EF6F62"/>
    <w:rsid w:val="00F073C7"/>
    <w:rsid w:val="00F33C5B"/>
    <w:rsid w:val="00F5205A"/>
    <w:rsid w:val="00F64624"/>
    <w:rsid w:val="00F950D9"/>
    <w:rsid w:val="00FA7F92"/>
    <w:rsid w:val="00FB2C86"/>
    <w:rsid w:val="00FD5B31"/>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A52B"/>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2730</Words>
  <Characters>15021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332</cp:revision>
  <dcterms:created xsi:type="dcterms:W3CDTF">2021-03-30T15:44:00Z</dcterms:created>
  <dcterms:modified xsi:type="dcterms:W3CDTF">2023-03-13T15:25:00Z</dcterms:modified>
</cp:coreProperties>
</file>