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58B8" w14:textId="77777777" w:rsidR="00F56405" w:rsidRPr="00FB0932" w:rsidRDefault="007730B0" w:rsidP="00FB0932">
      <w:pPr>
        <w:pStyle w:val="a"/>
        <w:spacing w:after="240" w:line="276" w:lineRule="auto"/>
        <w:rPr>
          <w:rFonts w:ascii="Times New Roman" w:hAnsi="Times New Roman" w:cs="Times New Roman"/>
        </w:rPr>
      </w:pPr>
      <w:r w:rsidRPr="00FB0932">
        <w:rPr>
          <w:rFonts w:ascii="Times New Roman" w:hAnsi="Times New Roman" w:cs="Times New Roman"/>
        </w:rPr>
        <w:t>EXPOSICIÓN DE MOTIVOS</w:t>
      </w:r>
    </w:p>
    <w:p w14:paraId="59DD5F36" w14:textId="77777777" w:rsidR="00F56405" w:rsidRPr="00FB0932" w:rsidRDefault="00F56405" w:rsidP="00FB0932">
      <w:pPr>
        <w:pStyle w:val="a"/>
        <w:spacing w:after="240" w:line="276" w:lineRule="auto"/>
        <w:jc w:val="both"/>
        <w:rPr>
          <w:rFonts w:ascii="Times New Roman" w:hAnsi="Times New Roman" w:cs="Times New Roman"/>
          <w:bCs w:val="0"/>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w:t>
      </w:r>
      <w:r w:rsidRPr="00CD6B36">
        <w:rPr>
          <w:rFonts w:ascii="Times New Roman" w:hAnsi="Times New Roman" w:cs="Times New Roman"/>
          <w:b w:val="0"/>
          <w:bCs w:val="0"/>
          <w:i/>
        </w:rPr>
        <w:t>derecho a un hábitat seguro y saludable, y a una vivienda adecuada y digna, con independencia de su situación social y económica</w:t>
      </w:r>
      <w:r w:rsidRPr="00FB0932">
        <w:rPr>
          <w:rFonts w:ascii="Times New Roman" w:hAnsi="Times New Roman" w:cs="Times New Roman"/>
          <w:b w:val="0"/>
          <w:bCs w:val="0"/>
        </w:rPr>
        <w:t>”.</w:t>
      </w:r>
    </w:p>
    <w:p w14:paraId="6F7A9B41" w14:textId="0C3EC66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511F762E"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El asentamiento humano de hecho y consolidado de interés social denominado Comité </w:t>
      </w:r>
      <w:proofErr w:type="spellStart"/>
      <w:r w:rsidRPr="00FB0932">
        <w:rPr>
          <w:rFonts w:ascii="Times New Roman" w:hAnsi="Times New Roman" w:cs="Times New Roman"/>
          <w:b w:val="0"/>
          <w:bCs w:val="0"/>
        </w:rPr>
        <w:t>Pro</w:t>
      </w:r>
      <w:r w:rsidR="00572508">
        <w:rPr>
          <w:rFonts w:ascii="Times New Roman" w:hAnsi="Times New Roman" w:cs="Times New Roman"/>
          <w:b w:val="0"/>
          <w:bCs w:val="0"/>
        </w:rPr>
        <w:t>m</w:t>
      </w:r>
      <w:r w:rsidRPr="00FB0932">
        <w:rPr>
          <w:rFonts w:ascii="Times New Roman" w:hAnsi="Times New Roman" w:cs="Times New Roman"/>
          <w:b w:val="0"/>
          <w:bCs w:val="0"/>
        </w:rPr>
        <w:t>ejoras</w:t>
      </w:r>
      <w:proofErr w:type="spellEnd"/>
      <w:r w:rsidRPr="00FB0932">
        <w:rPr>
          <w:rFonts w:ascii="Times New Roman" w:hAnsi="Times New Roman" w:cs="Times New Roman"/>
          <w:b w:val="0"/>
          <w:bCs w:val="0"/>
        </w:rPr>
        <w:t xml:space="preserve"> del Barrio “</w:t>
      </w:r>
      <w:r w:rsidR="00572508">
        <w:rPr>
          <w:rFonts w:ascii="Times New Roman" w:hAnsi="Times New Roman" w:cs="Times New Roman"/>
          <w:b w:val="0"/>
          <w:bCs w:val="0"/>
        </w:rPr>
        <w:t>San Isidro de Calderón</w:t>
      </w:r>
      <w:r w:rsidRPr="00FB0932">
        <w:rPr>
          <w:rFonts w:ascii="Times New Roman" w:hAnsi="Times New Roman" w:cs="Times New Roman"/>
          <w:b w:val="0"/>
          <w:bCs w:val="0"/>
        </w:rPr>
        <w:t xml:space="preserve">”, ubicado en la parroquia Calderón, tiene una consolidación del </w:t>
      </w:r>
      <w:r w:rsidR="00BC74D4" w:rsidRPr="00FB0932">
        <w:rPr>
          <w:rFonts w:ascii="Times New Roman" w:hAnsi="Times New Roman" w:cs="Times New Roman"/>
          <w:b w:val="0"/>
          <w:bCs w:val="0"/>
        </w:rPr>
        <w:t>4</w:t>
      </w:r>
      <w:r w:rsidR="00170B41">
        <w:rPr>
          <w:rFonts w:ascii="Times New Roman" w:hAnsi="Times New Roman" w:cs="Times New Roman"/>
          <w:b w:val="0"/>
          <w:bCs w:val="0"/>
        </w:rPr>
        <w:t>7,83</w:t>
      </w:r>
      <w:r w:rsidRPr="00FB0932">
        <w:rPr>
          <w:rFonts w:ascii="Times New Roman" w:hAnsi="Times New Roman" w:cs="Times New Roman"/>
          <w:b w:val="0"/>
          <w:bCs w:val="0"/>
        </w:rPr>
        <w:t xml:space="preserve">%, al inicio del proceso de regularización contaba con </w:t>
      </w:r>
      <w:r w:rsidR="00170B41">
        <w:rPr>
          <w:rFonts w:ascii="Times New Roman" w:hAnsi="Times New Roman" w:cs="Times New Roman"/>
          <w:b w:val="0"/>
          <w:bCs w:val="0"/>
        </w:rPr>
        <w:t>2</w:t>
      </w:r>
      <w:r w:rsidR="00BC74D4" w:rsidRPr="00FB0932">
        <w:rPr>
          <w:rFonts w:ascii="Times New Roman" w:hAnsi="Times New Roman" w:cs="Times New Roman"/>
          <w:b w:val="0"/>
          <w:bCs w:val="0"/>
        </w:rPr>
        <w:t>5</w:t>
      </w:r>
      <w:r w:rsidRPr="00FB0932">
        <w:rPr>
          <w:rFonts w:ascii="Times New Roman" w:hAnsi="Times New Roman" w:cs="Times New Roman"/>
          <w:b w:val="0"/>
          <w:bCs w:val="0"/>
        </w:rPr>
        <w:t xml:space="preserve"> años de existencia; sin embargo, al momento de la sanción de la presente Ordenanza cuenta con </w:t>
      </w:r>
      <w:r w:rsidR="00BC74D4" w:rsidRPr="00FB0932">
        <w:rPr>
          <w:rFonts w:ascii="Times New Roman" w:hAnsi="Times New Roman" w:cs="Times New Roman"/>
          <w:b w:val="0"/>
          <w:bCs w:val="0"/>
        </w:rPr>
        <w:t>….</w:t>
      </w:r>
      <w:r w:rsidRPr="00FB0932">
        <w:rPr>
          <w:rFonts w:ascii="Times New Roman" w:hAnsi="Times New Roman" w:cs="Times New Roman"/>
          <w:b w:val="0"/>
          <w:bCs w:val="0"/>
        </w:rPr>
        <w:t xml:space="preserve"> años de asentamiento, </w:t>
      </w:r>
      <w:r w:rsidR="00870973" w:rsidRPr="00FB0932">
        <w:rPr>
          <w:rFonts w:ascii="Times New Roman" w:hAnsi="Times New Roman" w:cs="Times New Roman"/>
          <w:b w:val="0"/>
          <w:bCs w:val="0"/>
        </w:rPr>
        <w:t>2</w:t>
      </w:r>
      <w:r w:rsidR="00170B41">
        <w:rPr>
          <w:rFonts w:ascii="Times New Roman" w:hAnsi="Times New Roman" w:cs="Times New Roman"/>
          <w:b w:val="0"/>
          <w:bCs w:val="0"/>
        </w:rPr>
        <w:t>3</w:t>
      </w:r>
      <w:r w:rsidRPr="00FB0932">
        <w:rPr>
          <w:rFonts w:ascii="Times New Roman" w:hAnsi="Times New Roman" w:cs="Times New Roman"/>
          <w:b w:val="0"/>
          <w:bCs w:val="0"/>
        </w:rPr>
        <w:t xml:space="preserve"> número de lotes a fraccionar y </w:t>
      </w:r>
      <w:r w:rsidR="00170B41">
        <w:rPr>
          <w:rFonts w:ascii="Times New Roman" w:hAnsi="Times New Roman" w:cs="Times New Roman"/>
          <w:b w:val="0"/>
          <w:bCs w:val="0"/>
        </w:rPr>
        <w:t>75</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11E733E"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943964" w:rsidRPr="00FB0932">
        <w:rPr>
          <w:rFonts w:ascii="Times New Roman" w:hAnsi="Times New Roman" w:cs="Times New Roman"/>
          <w:b w:val="0"/>
          <w:bCs w:val="0"/>
        </w:rPr>
        <w:t xml:space="preserve">Comité </w:t>
      </w:r>
      <w:proofErr w:type="spellStart"/>
      <w:r w:rsidR="00943964" w:rsidRPr="00FB0932">
        <w:rPr>
          <w:rFonts w:ascii="Times New Roman" w:hAnsi="Times New Roman" w:cs="Times New Roman"/>
          <w:b w:val="0"/>
          <w:bCs w:val="0"/>
        </w:rPr>
        <w:t>Pro</w:t>
      </w:r>
      <w:r w:rsidR="00943964">
        <w:rPr>
          <w:rFonts w:ascii="Times New Roman" w:hAnsi="Times New Roman" w:cs="Times New Roman"/>
          <w:b w:val="0"/>
          <w:bCs w:val="0"/>
        </w:rPr>
        <w:t>m</w:t>
      </w:r>
      <w:r w:rsidR="00943964" w:rsidRPr="00FB0932">
        <w:rPr>
          <w:rFonts w:ascii="Times New Roman" w:hAnsi="Times New Roman" w:cs="Times New Roman"/>
          <w:b w:val="0"/>
          <w:bCs w:val="0"/>
        </w:rPr>
        <w:t>ejoras</w:t>
      </w:r>
      <w:proofErr w:type="spellEnd"/>
      <w:r w:rsidR="00943964" w:rsidRPr="00FB0932">
        <w:rPr>
          <w:rFonts w:ascii="Times New Roman" w:hAnsi="Times New Roman" w:cs="Times New Roman"/>
          <w:b w:val="0"/>
          <w:bCs w:val="0"/>
        </w:rPr>
        <w:t xml:space="preserve"> del Barrio “</w:t>
      </w:r>
      <w:r w:rsidR="00943964">
        <w:rPr>
          <w:rFonts w:ascii="Times New Roman" w:hAnsi="Times New Roman" w:cs="Times New Roman"/>
          <w:b w:val="0"/>
          <w:bCs w:val="0"/>
        </w:rPr>
        <w:t>San Isidro de Calderón</w:t>
      </w:r>
      <w:r w:rsidR="00943964" w:rsidRPr="00FB0932">
        <w:rPr>
          <w:rFonts w:ascii="Times New Roman" w:hAnsi="Times New Roman" w:cs="Times New Roman"/>
          <w:b w:val="0"/>
          <w:bCs w:val="0"/>
        </w:rPr>
        <w:t>”</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Pr="00FB0932" w:rsidRDefault="00665C1C"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D17B2D4" w:rsidR="00143683" w:rsidRPr="00FB0932" w:rsidRDefault="00143683" w:rsidP="00FB0932">
      <w:pPr>
        <w:spacing w:after="240" w:line="276" w:lineRule="auto"/>
        <w:jc w:val="both"/>
        <w:rPr>
          <w:sz w:val="24"/>
          <w:szCs w:val="24"/>
        </w:rPr>
      </w:pPr>
      <w:r w:rsidRPr="00FB0932">
        <w:rPr>
          <w:sz w:val="24"/>
          <w:szCs w:val="24"/>
        </w:rPr>
        <w:lastRenderedPageBreak/>
        <w:t xml:space="preserve">Visto el Informe No.         </w:t>
      </w:r>
      <w:proofErr w:type="gramStart"/>
      <w:r w:rsidRPr="00FB0932">
        <w:rPr>
          <w:sz w:val="24"/>
          <w:szCs w:val="24"/>
        </w:rPr>
        <w:t>,de</w:t>
      </w:r>
      <w:proofErr w:type="gramEnd"/>
      <w:r w:rsidRPr="00FB0932">
        <w:rPr>
          <w:sz w:val="24"/>
          <w:szCs w:val="24"/>
        </w:rPr>
        <w:t xml:space="preserve">          </w:t>
      </w:r>
      <w:proofErr w:type="spellStart"/>
      <w:r w:rsidRPr="00FB0932">
        <w:rPr>
          <w:sz w:val="24"/>
          <w:szCs w:val="24"/>
        </w:rPr>
        <w:t>de</w:t>
      </w:r>
      <w:proofErr w:type="spellEnd"/>
      <w:r w:rsidRPr="00FB0932">
        <w:rPr>
          <w:sz w:val="24"/>
          <w:szCs w:val="24"/>
        </w:rPr>
        <w:t xml:space="preserv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Pr="00FB0932">
        <w:rPr>
          <w:bCs/>
          <w:sz w:val="24"/>
          <w:szCs w:val="24"/>
        </w:rPr>
        <w:t>los literales a) y x) del artículo 87 del COOTAD, establece que las funciones del Concejo Metropolitano, entre otras, son: “</w:t>
      </w:r>
      <w:r w:rsidRPr="00FB0932">
        <w:rPr>
          <w:b/>
          <w:bCs/>
          <w:i/>
          <w:sz w:val="24"/>
          <w:szCs w:val="24"/>
        </w:rPr>
        <w:t xml:space="preserve">a) </w:t>
      </w:r>
      <w:r w:rsidRPr="00FB0932">
        <w:rPr>
          <w:bCs/>
          <w:i/>
          <w:sz w:val="24"/>
          <w:szCs w:val="24"/>
        </w:rPr>
        <w:t xml:space="preserve">Ejercer la facultad normativa en las materias de competencia del gobierno autónomo descentralizado metropolitano, mediante la expedición de ordenanzas metropolitanas, acuerdos y resoluciones; (…) x) Regular mediante ordenanza la delimitación de los barrios y parroquias urbanas tomando en cuenta la configuración territorial, identidad, historia, necesidades urbanísticas y administrativas y la aplicación del principio de equidad </w:t>
      </w:r>
      <w:proofErr w:type="spellStart"/>
      <w:r w:rsidRPr="00FB0932">
        <w:rPr>
          <w:bCs/>
          <w:i/>
          <w:sz w:val="24"/>
          <w:szCs w:val="24"/>
        </w:rPr>
        <w:t>interbarrial</w:t>
      </w:r>
      <w:proofErr w:type="spellEnd"/>
      <w:r w:rsidRPr="00FB0932">
        <w:rPr>
          <w:bCs/>
          <w:i/>
          <w:sz w:val="24"/>
          <w:szCs w:val="24"/>
        </w:rPr>
        <w:t>;</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Pr="00FB0932">
        <w:rPr>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707853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Cs/>
          <w:sz w:val="24"/>
          <w:szCs w:val="24"/>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3E37C223"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IV.7.43 de la Ordenanza No. 001 del 29 de marzo de 2019 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IV.7.45 de la Ordenanza No. 001 del 29 de marzo de 2019 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FB0932"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4CA09775" w14:textId="03F7B2EE" w:rsidR="00C65027" w:rsidRPr="00FB0932" w:rsidRDefault="00F533CD" w:rsidP="00C65027">
      <w:pPr>
        <w:spacing w:after="240" w:line="276" w:lineRule="auto"/>
        <w:ind w:left="705" w:hanging="705"/>
        <w:jc w:val="both"/>
        <w:rPr>
          <w:bCs/>
          <w:sz w:val="24"/>
          <w:szCs w:val="24"/>
        </w:rPr>
      </w:pPr>
      <w:r w:rsidRPr="00FB0932">
        <w:rPr>
          <w:b/>
          <w:bCs/>
          <w:sz w:val="24"/>
          <w:szCs w:val="24"/>
        </w:rPr>
        <w:lastRenderedPageBreak/>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943964">
        <w:rPr>
          <w:sz w:val="24"/>
          <w:szCs w:val="24"/>
        </w:rPr>
        <w:t>20</w:t>
      </w:r>
      <w:r w:rsidRPr="00C65027">
        <w:rPr>
          <w:sz w:val="24"/>
          <w:szCs w:val="24"/>
        </w:rPr>
        <w:t xml:space="preserve"> de </w:t>
      </w:r>
      <w:r w:rsidR="00943964">
        <w:rPr>
          <w:sz w:val="24"/>
          <w:szCs w:val="24"/>
        </w:rPr>
        <w:t>mayo</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integrada por</w:t>
      </w:r>
      <w:r w:rsidR="00C65027" w:rsidRPr="00C65027">
        <w:rPr>
          <w:sz w:val="24"/>
          <w:szCs w:val="24"/>
        </w:rPr>
        <w:t xml:space="preserve"> Ing. Jessica Isabel Castillo Rodríguez, Delegada de la Administradora Zonal Calderón; </w:t>
      </w:r>
      <w:r w:rsidR="00D850B8" w:rsidRPr="00D850B8">
        <w:rPr>
          <w:sz w:val="24"/>
          <w:szCs w:val="24"/>
        </w:rPr>
        <w:t xml:space="preserve">Ing. Jessica Isabel Castillo Rodríguez y Arq. Katherine Pamela Dueñas </w:t>
      </w:r>
      <w:proofErr w:type="spellStart"/>
      <w:r w:rsidR="00D850B8" w:rsidRPr="00D850B8">
        <w:rPr>
          <w:sz w:val="24"/>
          <w:szCs w:val="24"/>
        </w:rPr>
        <w:t>Cuamacaz</w:t>
      </w:r>
      <w:proofErr w:type="spellEnd"/>
      <w:r w:rsidR="00D850B8" w:rsidRPr="00D850B8">
        <w:rPr>
          <w:sz w:val="24"/>
          <w:szCs w:val="24"/>
        </w:rPr>
        <w:t>, Delegadas de la Administradora Zonal Calderón; Abg. Lorena Elizabeth Donoso Rivera, Directora Jurídica de la Administración Zonal Calderón; Arq. Elizabeth del Carmen Ortiz Pesantez, Delegada de la Dirección Metropolitana de Gestión Territorial de la Secretaria de Territorio, Hábitat y Vivienda; Arq. Karina Belén Suárez Reyes, Delegada de la Dirección Metropolitana de Políticas y Planeamiento de Suelo de la Secretaria de Territorio, Hábitat y Vivienda Ing. Joselito Geovanny Ortiz Carranza, Delegado de la Dirección Metropolitana de Catastros; Ing. Norma Gabriela Arellano Mera, Delegada de la Dirección Metropolitana de Gestión de Riesgos</w:t>
      </w:r>
      <w:r w:rsidR="00C65027" w:rsidRPr="00C65027">
        <w:rPr>
          <w:sz w:val="24"/>
          <w:szCs w:val="24"/>
        </w:rPr>
        <w:t>;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65027">
        <w:rPr>
          <w:sz w:val="24"/>
          <w:szCs w:val="24"/>
        </w:rPr>
        <w:t xml:space="preserve"> </w:t>
      </w:r>
      <w:r w:rsidR="00C65027" w:rsidRPr="00FB0932">
        <w:rPr>
          <w:sz w:val="24"/>
          <w:szCs w:val="24"/>
        </w:rPr>
        <w:t>, aprobaron  el Informe Socio Organizativo Legal y Técnico N</w:t>
      </w:r>
      <w:r w:rsidR="00C65027">
        <w:rPr>
          <w:sz w:val="24"/>
          <w:szCs w:val="24"/>
        </w:rPr>
        <w:t>ro.</w:t>
      </w:r>
      <w:r w:rsidR="00C65027" w:rsidRPr="00FB0932">
        <w:rPr>
          <w:sz w:val="24"/>
          <w:szCs w:val="24"/>
        </w:rPr>
        <w:t xml:space="preserve"> 00</w:t>
      </w:r>
      <w:r w:rsidR="00CD49BD">
        <w:rPr>
          <w:sz w:val="24"/>
          <w:szCs w:val="24"/>
        </w:rPr>
        <w:t>3</w:t>
      </w:r>
      <w:r w:rsidR="00C65027" w:rsidRPr="00FB0932">
        <w:rPr>
          <w:sz w:val="24"/>
          <w:szCs w:val="24"/>
        </w:rPr>
        <w:t xml:space="preserve">-UERB-AZCA-SOLT-2021, de </w:t>
      </w:r>
      <w:r w:rsidR="00CD49BD">
        <w:rPr>
          <w:sz w:val="24"/>
          <w:szCs w:val="24"/>
        </w:rPr>
        <w:t>10</w:t>
      </w:r>
      <w:r w:rsidR="00C65027" w:rsidRPr="00FB0932">
        <w:rPr>
          <w:sz w:val="24"/>
          <w:szCs w:val="24"/>
        </w:rPr>
        <w:t xml:space="preserve"> de </w:t>
      </w:r>
      <w:r w:rsidR="00CD49BD">
        <w:rPr>
          <w:sz w:val="24"/>
          <w:szCs w:val="24"/>
        </w:rPr>
        <w:t xml:space="preserve">mayo </w:t>
      </w:r>
      <w:r w:rsidR="00C65027" w:rsidRPr="00FB0932">
        <w:rPr>
          <w:sz w:val="24"/>
          <w:szCs w:val="24"/>
        </w:rPr>
        <w:t>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CD49BD" w:rsidRPr="00CD49BD">
        <w:rPr>
          <w:sz w:val="24"/>
          <w:szCs w:val="24"/>
        </w:rPr>
        <w:t xml:space="preserve">Comité </w:t>
      </w:r>
      <w:proofErr w:type="spellStart"/>
      <w:r w:rsidR="00CD49BD" w:rsidRPr="00CD49BD">
        <w:rPr>
          <w:sz w:val="24"/>
          <w:szCs w:val="24"/>
        </w:rPr>
        <w:t>Pro</w:t>
      </w:r>
      <w:r w:rsidR="00CD49BD" w:rsidRPr="00CD49BD">
        <w:rPr>
          <w:bCs/>
          <w:sz w:val="24"/>
          <w:szCs w:val="24"/>
        </w:rPr>
        <w:t>m</w:t>
      </w:r>
      <w:r w:rsidR="00CD49BD" w:rsidRPr="00CD49BD">
        <w:rPr>
          <w:sz w:val="24"/>
          <w:szCs w:val="24"/>
        </w:rPr>
        <w:t>ejoras</w:t>
      </w:r>
      <w:proofErr w:type="spellEnd"/>
      <w:r w:rsidR="00CD49BD" w:rsidRPr="00CD49BD">
        <w:rPr>
          <w:sz w:val="24"/>
          <w:szCs w:val="24"/>
        </w:rPr>
        <w:t xml:space="preserve"> del Barrio “</w:t>
      </w:r>
      <w:r w:rsidR="00CD49BD" w:rsidRPr="00CD49BD">
        <w:rPr>
          <w:bCs/>
          <w:sz w:val="24"/>
          <w:szCs w:val="24"/>
        </w:rPr>
        <w:t>San Isidro de Calderón</w:t>
      </w:r>
      <w:r w:rsidR="00CD49BD" w:rsidRPr="00CD49BD">
        <w:rPr>
          <w:sz w:val="24"/>
          <w:szCs w:val="24"/>
        </w:rPr>
        <w:t>”</w:t>
      </w:r>
      <w:r w:rsidR="00C65027" w:rsidRPr="00CD49BD">
        <w:rPr>
          <w:sz w:val="24"/>
          <w:szCs w:val="24"/>
        </w:rPr>
        <w:t xml:space="preserve">, </w:t>
      </w:r>
      <w:r w:rsidR="00C65027" w:rsidRPr="00FB0932">
        <w:rPr>
          <w:sz w:val="24"/>
          <w:szCs w:val="24"/>
        </w:rPr>
        <w:t xml:space="preserve">ubicado en la parroquia Calderón, </w:t>
      </w:r>
      <w:r w:rsidR="00C65027" w:rsidRPr="00FB0932">
        <w:rPr>
          <w:bCs/>
          <w:sz w:val="24"/>
          <w:szCs w:val="24"/>
        </w:rPr>
        <w:t>a favor de sus copropietarios;</w:t>
      </w:r>
      <w:r w:rsidR="00C65027" w:rsidRPr="00C65027">
        <w:rPr>
          <w:rFonts w:eastAsiaTheme="minorHAnsi"/>
          <w:sz w:val="24"/>
          <w:szCs w:val="24"/>
          <w:lang w:val="es-EC" w:eastAsia="en-US"/>
        </w:rPr>
        <w:t xml:space="preserve"> </w:t>
      </w:r>
      <w:r w:rsidR="00C65027" w:rsidRPr="003E7C92">
        <w:rPr>
          <w:rFonts w:eastAsiaTheme="minorHAnsi"/>
          <w:sz w:val="24"/>
          <w:szCs w:val="24"/>
          <w:lang w:val="es-EC" w:eastAsia="en-US"/>
        </w:rPr>
        <w:t>y,</w:t>
      </w:r>
    </w:p>
    <w:p w14:paraId="69F1DFD1" w14:textId="43851ECF" w:rsidR="00247A80" w:rsidRDefault="00261D47" w:rsidP="00FB0932">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00D5557D" w:rsidRPr="007F3A04">
        <w:rPr>
          <w:rFonts w:eastAsiaTheme="minorHAnsi"/>
          <w:bCs/>
          <w:sz w:val="22"/>
          <w:szCs w:val="22"/>
          <w:lang w:val="es-EC" w:eastAsia="en-US"/>
        </w:rPr>
        <w:t>GADDMQ-SGSG-2021-03</w:t>
      </w:r>
      <w:r w:rsidR="007F3A04" w:rsidRPr="007F3A04">
        <w:rPr>
          <w:rFonts w:eastAsiaTheme="minorHAnsi"/>
          <w:bCs/>
          <w:sz w:val="22"/>
          <w:szCs w:val="22"/>
          <w:lang w:val="es-EC" w:eastAsia="en-US"/>
        </w:rPr>
        <w:t>18</w:t>
      </w:r>
      <w:r w:rsidR="00D5557D" w:rsidRPr="007F3A04">
        <w:rPr>
          <w:rFonts w:eastAsiaTheme="minorHAnsi"/>
          <w:bCs/>
          <w:sz w:val="22"/>
          <w:szCs w:val="22"/>
          <w:lang w:val="es-EC" w:eastAsia="en-US"/>
        </w:rPr>
        <w:t>-OF</w:t>
      </w:r>
      <w:r w:rsidRPr="007F3A04">
        <w:rPr>
          <w:bCs/>
          <w:sz w:val="24"/>
          <w:szCs w:val="24"/>
        </w:rPr>
        <w:t xml:space="preserve">, de </w:t>
      </w:r>
      <w:r w:rsidR="007F3A04" w:rsidRPr="007F3A04">
        <w:rPr>
          <w:bCs/>
          <w:sz w:val="24"/>
          <w:szCs w:val="24"/>
        </w:rPr>
        <w:t>05</w:t>
      </w:r>
      <w:r w:rsidRPr="007F3A04">
        <w:rPr>
          <w:bCs/>
          <w:sz w:val="24"/>
          <w:szCs w:val="24"/>
        </w:rPr>
        <w:t xml:space="preserve"> de </w:t>
      </w:r>
      <w:r w:rsidR="007F3A04" w:rsidRPr="007F3A04">
        <w:rPr>
          <w:bCs/>
          <w:sz w:val="24"/>
          <w:szCs w:val="24"/>
        </w:rPr>
        <w:t>f</w:t>
      </w:r>
      <w:r w:rsidR="00D5557D" w:rsidRPr="007F3A04">
        <w:rPr>
          <w:bCs/>
          <w:sz w:val="24"/>
          <w:szCs w:val="24"/>
        </w:rPr>
        <w:t>e</w:t>
      </w:r>
      <w:r w:rsidR="007F3A04" w:rsidRPr="007F3A04">
        <w:rPr>
          <w:bCs/>
          <w:sz w:val="24"/>
          <w:szCs w:val="24"/>
        </w:rPr>
        <w:t>brero</w:t>
      </w:r>
      <w:r w:rsidRPr="007F3A04">
        <w:rPr>
          <w:bCs/>
          <w:sz w:val="24"/>
          <w:szCs w:val="24"/>
        </w:rPr>
        <w:t xml:space="preserve"> de 2021,</w:t>
      </w:r>
      <w:r w:rsidRPr="00E71A87">
        <w:rPr>
          <w:bCs/>
          <w:sz w:val="24"/>
          <w:szCs w:val="24"/>
        </w:rPr>
        <w:t xml:space="preserve"> emitido por el Secretario General de Seguridad y Gobernabilidad remite el Informe Técnico No. </w:t>
      </w:r>
      <w:r w:rsidRPr="00E71A87">
        <w:rPr>
          <w:rFonts w:eastAsiaTheme="minorHAnsi"/>
          <w:sz w:val="24"/>
          <w:szCs w:val="24"/>
          <w:lang w:val="es-EC" w:eastAsia="en-US"/>
        </w:rPr>
        <w:t>I</w:t>
      </w:r>
      <w:r w:rsidR="007D4EEC" w:rsidRPr="00FB0932">
        <w:rPr>
          <w:sz w:val="24"/>
          <w:szCs w:val="24"/>
        </w:rPr>
        <w:t>-</w:t>
      </w:r>
      <w:r w:rsidR="00965B4B" w:rsidRPr="00FB0932">
        <w:rPr>
          <w:color w:val="000000"/>
          <w:sz w:val="24"/>
          <w:szCs w:val="24"/>
          <w:shd w:val="clear" w:color="auto" w:fill="FFFFFF"/>
        </w:rPr>
        <w:t>0</w:t>
      </w:r>
      <w:r w:rsidR="007D4EEC" w:rsidRPr="00FB0932">
        <w:rPr>
          <w:color w:val="000000"/>
          <w:sz w:val="24"/>
          <w:szCs w:val="24"/>
          <w:shd w:val="clear" w:color="auto" w:fill="FFFFFF"/>
        </w:rPr>
        <w:t>0</w:t>
      </w:r>
      <w:r w:rsidR="00DC3318">
        <w:rPr>
          <w:color w:val="000000"/>
          <w:sz w:val="24"/>
          <w:szCs w:val="24"/>
          <w:shd w:val="clear" w:color="auto" w:fill="FFFFFF"/>
        </w:rPr>
        <w:t>0</w:t>
      </w:r>
      <w:r w:rsidR="00850FCF">
        <w:rPr>
          <w:color w:val="000000"/>
          <w:sz w:val="24"/>
          <w:szCs w:val="24"/>
          <w:shd w:val="clear" w:color="auto" w:fill="FFFFFF"/>
        </w:rPr>
        <w:t>6</w:t>
      </w:r>
      <w:r w:rsidR="007D4EEC" w:rsidRPr="00FB0932">
        <w:rPr>
          <w:color w:val="000000"/>
          <w:sz w:val="24"/>
          <w:szCs w:val="24"/>
          <w:shd w:val="clear" w:color="auto" w:fill="FFFFFF"/>
        </w:rPr>
        <w:t>-EAH-AT</w:t>
      </w:r>
      <w:r w:rsidR="00965B4B" w:rsidRPr="00FB0932">
        <w:rPr>
          <w:sz w:val="24"/>
          <w:szCs w:val="24"/>
        </w:rPr>
        <w:t>-DMGR-20</w:t>
      </w:r>
      <w:r w:rsidR="007D4EEC" w:rsidRPr="00FB0932">
        <w:rPr>
          <w:sz w:val="24"/>
          <w:szCs w:val="24"/>
        </w:rPr>
        <w:t>2</w:t>
      </w:r>
      <w:r w:rsidR="00965B4B" w:rsidRPr="00FB0932">
        <w:rPr>
          <w:sz w:val="24"/>
          <w:szCs w:val="24"/>
        </w:rPr>
        <w:t xml:space="preserve">1, de </w:t>
      </w:r>
      <w:r w:rsidR="00850FCF">
        <w:rPr>
          <w:sz w:val="24"/>
          <w:szCs w:val="24"/>
        </w:rPr>
        <w:t>0</w:t>
      </w:r>
      <w:r w:rsidR="00965B4B" w:rsidRPr="00FB0932">
        <w:rPr>
          <w:sz w:val="24"/>
          <w:szCs w:val="24"/>
        </w:rPr>
        <w:t xml:space="preserve">2 de </w:t>
      </w:r>
      <w:r w:rsidR="00850FCF">
        <w:rPr>
          <w:sz w:val="24"/>
          <w:szCs w:val="24"/>
        </w:rPr>
        <w:t>febrer</w:t>
      </w:r>
      <w:r w:rsidR="007D4EEC" w:rsidRPr="00FB0932">
        <w:rPr>
          <w:sz w:val="24"/>
          <w:szCs w:val="24"/>
        </w:rPr>
        <w:t>o</w:t>
      </w:r>
      <w:r w:rsidR="00965B4B" w:rsidRPr="00FB0932">
        <w:rPr>
          <w:sz w:val="24"/>
          <w:szCs w:val="24"/>
        </w:rPr>
        <w:t xml:space="preserve"> de 20</w:t>
      </w:r>
      <w:r w:rsidR="007D4EEC" w:rsidRPr="00FB0932">
        <w:rPr>
          <w:sz w:val="24"/>
          <w:szCs w:val="24"/>
        </w:rPr>
        <w:t>2</w:t>
      </w:r>
      <w:r w:rsidR="00965B4B" w:rsidRPr="00FB0932">
        <w:rPr>
          <w:sz w:val="24"/>
          <w:szCs w:val="24"/>
        </w:rPr>
        <w:t>1</w:t>
      </w:r>
      <w:r w:rsidR="00CD4769" w:rsidRPr="00FB0932">
        <w:rPr>
          <w:sz w:val="24"/>
          <w:szCs w:val="24"/>
        </w:rPr>
        <w:t xml:space="preserve">, </w:t>
      </w:r>
      <w:r w:rsidR="00D5557D">
        <w:rPr>
          <w:sz w:val="24"/>
          <w:szCs w:val="24"/>
        </w:rPr>
        <w:t>en el cual</w:t>
      </w:r>
      <w:r w:rsidR="00135753">
        <w:rPr>
          <w:sz w:val="24"/>
          <w:szCs w:val="24"/>
        </w:rPr>
        <w:t xml:space="preserve">, </w:t>
      </w:r>
      <w:r w:rsidR="00CD4769" w:rsidRPr="00FB0932">
        <w:rPr>
          <w:sz w:val="24"/>
          <w:szCs w:val="24"/>
        </w:rPr>
        <w:t xml:space="preserve">califica </w:t>
      </w:r>
      <w:r w:rsidR="003B72E1" w:rsidRPr="00FB0932">
        <w:rPr>
          <w:sz w:val="24"/>
          <w:szCs w:val="24"/>
        </w:rPr>
        <w:t xml:space="preserve">en el numeral </w:t>
      </w:r>
      <w:r w:rsidR="003B72E1" w:rsidRPr="00FB0932">
        <w:rPr>
          <w:bCs/>
          <w:sz w:val="24"/>
          <w:szCs w:val="24"/>
        </w:rPr>
        <w:t>6.1 referente al nivel de riesgo para la regularización de tierras indica</w:t>
      </w:r>
      <w:r w:rsidR="00247A80" w:rsidRPr="00FB0932">
        <w:rPr>
          <w:bCs/>
          <w:sz w:val="24"/>
          <w:szCs w:val="24"/>
        </w:rPr>
        <w:t>ndo</w:t>
      </w:r>
      <w:r w:rsidR="003B72E1" w:rsidRPr="00FB0932">
        <w:rPr>
          <w:bCs/>
          <w:sz w:val="24"/>
          <w:szCs w:val="24"/>
        </w:rPr>
        <w:t xml:space="preserve">: </w:t>
      </w:r>
    </w:p>
    <w:p w14:paraId="09193040" w14:textId="4D3DD135" w:rsidR="005B73D4" w:rsidRPr="00FB0932" w:rsidRDefault="005B73D4" w:rsidP="005B73D4">
      <w:pPr>
        <w:spacing w:after="240" w:line="276" w:lineRule="auto"/>
        <w:ind w:left="705" w:hanging="705"/>
        <w:jc w:val="both"/>
        <w:rPr>
          <w:i/>
          <w:sz w:val="24"/>
          <w:szCs w:val="24"/>
        </w:rPr>
      </w:pPr>
      <w:r>
        <w:rPr>
          <w:bCs/>
          <w:sz w:val="24"/>
          <w:szCs w:val="24"/>
        </w:rPr>
        <w:t xml:space="preserve">           </w:t>
      </w:r>
      <w:r w:rsidRPr="00FB0932">
        <w:rPr>
          <w:bCs/>
          <w:sz w:val="24"/>
          <w:szCs w:val="24"/>
        </w:rPr>
        <w:t>“</w:t>
      </w:r>
      <w:r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65CB2A3" w14:textId="500C3AB4" w:rsidR="005B73D4" w:rsidRPr="00FB0932" w:rsidRDefault="005B73D4" w:rsidP="005B73D4">
      <w:pPr>
        <w:pStyle w:val="Prrafodelista"/>
        <w:spacing w:after="240" w:line="276" w:lineRule="auto"/>
        <w:ind w:left="705"/>
        <w:jc w:val="both"/>
        <w:rPr>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el AHHYC “</w:t>
      </w:r>
      <w:r>
        <w:rPr>
          <w:rFonts w:eastAsiaTheme="minorHAnsi"/>
          <w:i/>
          <w:color w:val="000000"/>
          <w:sz w:val="24"/>
          <w:szCs w:val="24"/>
          <w:lang w:val="es-EC" w:eastAsia="en-US"/>
        </w:rPr>
        <w:t>San Isidro</w:t>
      </w:r>
      <w:r w:rsidRPr="00FB0932">
        <w:rPr>
          <w:rFonts w:eastAsiaTheme="minorHAnsi"/>
          <w:i/>
          <w:color w:val="000000"/>
          <w:sz w:val="24"/>
          <w:szCs w:val="24"/>
          <w:lang w:val="es-EC" w:eastAsia="en-US"/>
        </w:rPr>
        <w:t xml:space="preserve">”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Pr="00FB0932">
        <w:rPr>
          <w:rFonts w:eastAsiaTheme="minorHAnsi"/>
          <w:color w:val="000000"/>
          <w:sz w:val="24"/>
          <w:szCs w:val="24"/>
          <w:lang w:val="es-EC" w:eastAsia="en-US"/>
        </w:rPr>
        <w:t>.</w:t>
      </w:r>
    </w:p>
    <w:p w14:paraId="702A1B9A" w14:textId="77777777" w:rsidR="000F0DC2" w:rsidRPr="00FB093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 xml:space="preserve">ejercicio de sus atribuciones legales constantes en los artículos 30, 31, 240 y 264 numerales 1 y 2 y 266 de la Constitución de la República del Ecuador; Art. 84 literal c), Art. 87 literales a) y x); Art. 322 del Código Orgánico de Organización Territorial </w:t>
      </w:r>
      <w:r w:rsidRPr="00FB0932">
        <w:rPr>
          <w:b/>
          <w:sz w:val="24"/>
          <w:szCs w:val="24"/>
        </w:rPr>
        <w:lastRenderedPageBreak/>
        <w:t>Autonomía y Descentralización; Art.2 numeral 1, Art.8 numeral 1 de la Ley de Régimen para el Distrito Metropolitano de Quito.</w:t>
      </w:r>
    </w:p>
    <w:p w14:paraId="56552DE7" w14:textId="465BC76E" w:rsidR="00492BEC" w:rsidRPr="00FB0932" w:rsidRDefault="00492BEC" w:rsidP="00FB0932">
      <w:pPr>
        <w:tabs>
          <w:tab w:val="left" w:pos="6225"/>
        </w:tabs>
        <w:spacing w:after="240" w:line="276" w:lineRule="auto"/>
        <w:rPr>
          <w:b/>
          <w:sz w:val="24"/>
          <w:szCs w:val="24"/>
        </w:rPr>
      </w:pP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51A5B856"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EE7202" w:rsidRPr="00FB0932">
        <w:rPr>
          <w:rFonts w:ascii="Times New Roman" w:hAnsi="Times New Roman"/>
          <w:b/>
          <w:bCs/>
        </w:rPr>
        <w:t>COMITÉ</w:t>
      </w:r>
      <w:r w:rsidR="001A4DE3" w:rsidRPr="00FB0932">
        <w:rPr>
          <w:rFonts w:ascii="Times New Roman" w:hAnsi="Times New Roman"/>
          <w:b/>
          <w:bCs/>
        </w:rPr>
        <w:t xml:space="preserve"> </w:t>
      </w:r>
      <w:r w:rsidR="00EE7202" w:rsidRPr="00FB0932">
        <w:rPr>
          <w:rFonts w:ascii="Times New Roman" w:hAnsi="Times New Roman"/>
          <w:b/>
          <w:bCs/>
        </w:rPr>
        <w:t>PROMEJORAS DEL BARRIO “</w:t>
      </w:r>
      <w:r w:rsidR="00CB523A">
        <w:rPr>
          <w:rFonts w:ascii="Times New Roman" w:hAnsi="Times New Roman"/>
          <w:b/>
          <w:bCs/>
        </w:rPr>
        <w:t>SAN ISIDRO</w:t>
      </w:r>
      <w:r w:rsidR="001A4DE3" w:rsidRPr="00FB0932">
        <w:rPr>
          <w:rFonts w:ascii="Times New Roman" w:hAnsi="Times New Roman"/>
          <w:b/>
          <w:bCs/>
        </w:rPr>
        <w:t xml:space="preserve"> DE CALDERÓN</w:t>
      </w:r>
      <w:r w:rsidR="00EE7202" w:rsidRPr="00FB0932">
        <w:rPr>
          <w:rFonts w:ascii="Times New Roman" w:hAnsi="Times New Roman"/>
          <w:b/>
          <w:bCs/>
        </w:rPr>
        <w:t xml:space="preserve">”,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035FEB26" w:rsidR="00FB0932" w:rsidRDefault="000F0DC2" w:rsidP="00FB0932">
      <w:pPr>
        <w:pStyle w:val="Default"/>
        <w:spacing w:line="276" w:lineRule="auto"/>
        <w:jc w:val="both"/>
      </w:pPr>
      <w:r w:rsidRPr="00FB0932">
        <w:rPr>
          <w:b/>
          <w:bCs/>
          <w:color w:val="000000" w:themeColor="text1"/>
        </w:rPr>
        <w:t xml:space="preserve">Artículo 1.- Objeto.- </w:t>
      </w:r>
      <w:r w:rsidRPr="00FB0932">
        <w:rPr>
          <w:bCs/>
          <w:color w:val="000000" w:themeColor="text1"/>
        </w:rPr>
        <w:t>La presente ordenanza tiene por objeto reconocer y aprobar el fraccionamiento de</w:t>
      </w:r>
      <w:r w:rsidR="00CB523A">
        <w:rPr>
          <w:bCs/>
          <w:color w:val="000000" w:themeColor="text1"/>
        </w:rPr>
        <w:t xml:space="preserve"> </w:t>
      </w:r>
      <w:r w:rsidRPr="00FB0932">
        <w:rPr>
          <w:bCs/>
          <w:color w:val="000000" w:themeColor="text1"/>
        </w:rPr>
        <w:t>l</w:t>
      </w:r>
      <w:r w:rsidR="00CB523A">
        <w:rPr>
          <w:bCs/>
          <w:color w:val="000000" w:themeColor="text1"/>
        </w:rPr>
        <w:t>os</w:t>
      </w:r>
      <w:r w:rsidRPr="00FB0932">
        <w:rPr>
          <w:bCs/>
          <w:color w:val="000000" w:themeColor="text1"/>
        </w:rPr>
        <w:t xml:space="preserve"> predio</w:t>
      </w:r>
      <w:r w:rsidR="00CB523A">
        <w:rPr>
          <w:bCs/>
          <w:color w:val="000000" w:themeColor="text1"/>
        </w:rPr>
        <w:t>s</w:t>
      </w:r>
      <w:r w:rsidRPr="00FB0932">
        <w:rPr>
          <w:bCs/>
          <w:color w:val="000000" w:themeColor="text1"/>
        </w:rPr>
        <w:t xml:space="preserve"> </w:t>
      </w:r>
      <w:r w:rsidR="004842E0" w:rsidRPr="00FB0932">
        <w:t>5</w:t>
      </w:r>
      <w:r w:rsidR="00CB523A">
        <w:t>203336, 5203337,</w:t>
      </w:r>
      <w:r w:rsidR="00C81E5C" w:rsidRPr="00FB0932">
        <w:rPr>
          <w:rFonts w:eastAsia="Calibri"/>
        </w:rPr>
        <w:t xml:space="preserve"> </w:t>
      </w:r>
      <w:r w:rsidR="00CA22A2">
        <w:t xml:space="preserve">5203338; y, 5203339, </w:t>
      </w:r>
      <w:r w:rsidR="00C81E5C" w:rsidRPr="00FB0932">
        <w:rPr>
          <w:rFonts w:eastAsia="Calibri"/>
        </w:rPr>
        <w:t xml:space="preserve">sus </w:t>
      </w:r>
      <w:r w:rsidR="009E7806">
        <w:rPr>
          <w:rFonts w:eastAsia="Calibri"/>
        </w:rPr>
        <w:t>pasajes</w:t>
      </w:r>
      <w:r w:rsidR="00C81E5C" w:rsidRPr="00FB0932">
        <w:rPr>
          <w:rFonts w:eastAsia="Calibri"/>
        </w:rPr>
        <w:t>,</w:t>
      </w:r>
      <w:r w:rsidRPr="00FB0932">
        <w:rPr>
          <w:bCs/>
          <w:color w:val="000000" w:themeColor="text1"/>
        </w:rPr>
        <w:t xml:space="preserve"> transferencia de área verde, y</w:t>
      </w:r>
      <w:r w:rsidR="00C81E5C" w:rsidRPr="00FB0932">
        <w:rPr>
          <w:bCs/>
          <w:color w:val="000000" w:themeColor="text1"/>
        </w:rPr>
        <w:t xml:space="preserve"> </w:t>
      </w:r>
      <w:r w:rsidR="00CB19B0" w:rsidRPr="00FB0932">
        <w:rPr>
          <w:bCs/>
          <w:color w:val="000000" w:themeColor="text1"/>
        </w:rPr>
        <w:t>m</w:t>
      </w:r>
      <w:r w:rsidR="009E7806">
        <w:rPr>
          <w:bCs/>
          <w:color w:val="000000" w:themeColor="text1"/>
        </w:rPr>
        <w:t>antener</w:t>
      </w:r>
      <w:r w:rsidR="006754A7" w:rsidRPr="00FB0932">
        <w:rPr>
          <w:bCs/>
          <w:color w:val="000000" w:themeColor="text1"/>
        </w:rPr>
        <w:t xml:space="preserve"> </w:t>
      </w:r>
      <w:r w:rsidRPr="00FB0932">
        <w:rPr>
          <w:bCs/>
          <w:color w:val="000000" w:themeColor="text1"/>
        </w:rPr>
        <w:t xml:space="preserve">la zonificación; sobre el que se encuentra el asentamiento humano de hecho y consolidado de interés social denominado </w:t>
      </w:r>
      <w:r w:rsidR="00011FD2" w:rsidRPr="00FB0932">
        <w:t xml:space="preserve">Comité </w:t>
      </w:r>
      <w:proofErr w:type="spellStart"/>
      <w:r w:rsidR="00011FD2" w:rsidRPr="00FB0932">
        <w:t>Pro</w:t>
      </w:r>
      <w:r w:rsidR="009E7806">
        <w:t>m</w:t>
      </w:r>
      <w:r w:rsidR="00011FD2" w:rsidRPr="00FB0932">
        <w:t>ejoras</w:t>
      </w:r>
      <w:proofErr w:type="spellEnd"/>
      <w:r w:rsidR="00011FD2" w:rsidRPr="00FB0932">
        <w:t xml:space="preserve"> del Barrio “</w:t>
      </w:r>
      <w:r w:rsidR="009E7806">
        <w:t xml:space="preserve">San Isidro </w:t>
      </w:r>
      <w:r w:rsidR="00011FD2" w:rsidRPr="00FB0932">
        <w:t xml:space="preserve">de </w:t>
      </w:r>
      <w:r w:rsidR="00D91687" w:rsidRPr="00FB0932">
        <w:t>Calderón</w:t>
      </w:r>
      <w:r w:rsidR="00011FD2" w:rsidRPr="00FB0932">
        <w:t xml:space="preserve">”, </w:t>
      </w:r>
      <w:r w:rsidR="00770855" w:rsidRPr="00FB0932">
        <w:t>ubicado en la parroquia Calderón, a favor de sus copropietarios.</w:t>
      </w:r>
    </w:p>
    <w:p w14:paraId="71AE7DEF" w14:textId="77777777" w:rsidR="00FB0932" w:rsidRDefault="00FB0932" w:rsidP="00FB0932">
      <w:pPr>
        <w:pStyle w:val="Default"/>
        <w:spacing w:line="276" w:lineRule="auto"/>
        <w:jc w:val="both"/>
      </w:pPr>
    </w:p>
    <w:p w14:paraId="5F37EF2B" w14:textId="03FD6518" w:rsidR="00EC1048" w:rsidRDefault="00EC1048" w:rsidP="00FB0932">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del proyectista y de los copropietarios del asentamiento humano de hecho y consolidado de interés social denominado </w:t>
      </w:r>
      <w:r w:rsidR="009E7806" w:rsidRPr="00FB0932">
        <w:t xml:space="preserve">Comité </w:t>
      </w:r>
      <w:proofErr w:type="spellStart"/>
      <w:r w:rsidR="009E7806" w:rsidRPr="00FB0932">
        <w:t>Pro</w:t>
      </w:r>
      <w:r w:rsidR="009E7806">
        <w:t>m</w:t>
      </w:r>
      <w:r w:rsidR="009E7806" w:rsidRPr="00FB0932">
        <w:t>ejoras</w:t>
      </w:r>
      <w:proofErr w:type="spellEnd"/>
      <w:r w:rsidR="009E7806" w:rsidRPr="00FB0932">
        <w:t xml:space="preserve"> del Barrio “</w:t>
      </w:r>
      <w:r w:rsidR="009E7806">
        <w:t xml:space="preserve">San Isidro </w:t>
      </w:r>
      <w:r w:rsidR="009E7806" w:rsidRPr="00FB0932">
        <w:t>de Calderón”</w:t>
      </w:r>
      <w:r w:rsidRPr="00FB0932">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610EEB76"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9E7806" w:rsidRPr="009E7806">
        <w:rPr>
          <w:sz w:val="24"/>
          <w:szCs w:val="24"/>
        </w:rPr>
        <w:t xml:space="preserve">Comité </w:t>
      </w:r>
      <w:proofErr w:type="spellStart"/>
      <w:r w:rsidR="009E7806" w:rsidRPr="009E7806">
        <w:rPr>
          <w:sz w:val="24"/>
          <w:szCs w:val="24"/>
        </w:rPr>
        <w:t>Promejoras</w:t>
      </w:r>
      <w:proofErr w:type="spellEnd"/>
      <w:r w:rsidR="009E7806" w:rsidRPr="009E7806">
        <w:rPr>
          <w:sz w:val="24"/>
          <w:szCs w:val="24"/>
        </w:rPr>
        <w:t xml:space="preserve"> del Barrio “San Isidro de Calderón”</w:t>
      </w:r>
      <w:r w:rsidRPr="009E7806">
        <w:rPr>
          <w:sz w:val="24"/>
          <w:szCs w:val="24"/>
        </w:rPr>
        <w:t>,</w:t>
      </w:r>
      <w:r w:rsidRPr="00FB0932">
        <w:rPr>
          <w:sz w:val="24"/>
          <w:szCs w:val="24"/>
        </w:rPr>
        <w:t xml:space="preserve">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lastRenderedPageBreak/>
        <w:t xml:space="preserve">El incumplimiento de lo dispuesto en la presente Ordenanza y en la normativa metropolitana y nacional vigente al respecto, dará lugar a la imposición de las sanciones correspondientes. </w:t>
      </w:r>
    </w:p>
    <w:p w14:paraId="4E5732B7" w14:textId="77777777" w:rsidR="00EC1048" w:rsidRPr="00FB0932"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02416829" w14:textId="77777777" w:rsidR="00EC1048" w:rsidRPr="00FB0932" w:rsidRDefault="00EC1048" w:rsidP="00FB0932">
      <w:pPr>
        <w:spacing w:after="240" w:line="276" w:lineRule="auto"/>
        <w:jc w:val="both"/>
        <w:rPr>
          <w:b/>
          <w:bCs/>
          <w:sz w:val="24"/>
          <w:szCs w:val="24"/>
        </w:rPr>
      </w:pPr>
      <w:r w:rsidRPr="00FB0932">
        <w:rPr>
          <w:b/>
          <w:bCs/>
          <w:sz w:val="24"/>
          <w:szCs w:val="24"/>
        </w:rPr>
        <w:t>Artículo 4.- Especificaciones técnicas.-</w:t>
      </w:r>
    </w:p>
    <w:tbl>
      <w:tblPr>
        <w:tblW w:w="486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6"/>
        <w:gridCol w:w="1623"/>
        <w:gridCol w:w="1622"/>
        <w:gridCol w:w="1622"/>
        <w:gridCol w:w="1622"/>
      </w:tblGrid>
      <w:tr w:rsidR="006D4A86" w:rsidRPr="00FF1F65" w14:paraId="7490D84F" w14:textId="399725ED" w:rsidTr="00B4591C">
        <w:trPr>
          <w:trHeight w:val="275"/>
        </w:trPr>
        <w:tc>
          <w:tcPr>
            <w:tcW w:w="1199" w:type="pct"/>
            <w:tcBorders>
              <w:top w:val="single" w:sz="4" w:space="0" w:color="000000"/>
              <w:left w:val="single" w:sz="4" w:space="0" w:color="000000"/>
              <w:bottom w:val="single" w:sz="4" w:space="0" w:color="000000"/>
              <w:right w:val="single" w:sz="4" w:space="0" w:color="000000"/>
            </w:tcBorders>
            <w:hideMark/>
          </w:tcPr>
          <w:p w14:paraId="6F237AE4" w14:textId="77777777" w:rsidR="006D4A86" w:rsidRPr="00FF1F65" w:rsidRDefault="006D4A86" w:rsidP="00FB0932">
            <w:pPr>
              <w:spacing w:line="276" w:lineRule="auto"/>
              <w:contextualSpacing/>
              <w:rPr>
                <w:b/>
                <w:sz w:val="24"/>
                <w:szCs w:val="24"/>
              </w:rPr>
            </w:pPr>
            <w:r w:rsidRPr="00FF1F65">
              <w:rPr>
                <w:b/>
                <w:sz w:val="24"/>
                <w:szCs w:val="24"/>
              </w:rPr>
              <w:t xml:space="preserve">Nº de predio: </w:t>
            </w:r>
          </w:p>
        </w:tc>
        <w:tc>
          <w:tcPr>
            <w:tcW w:w="951" w:type="pct"/>
            <w:tcBorders>
              <w:top w:val="single" w:sz="4" w:space="0" w:color="000000"/>
              <w:left w:val="single" w:sz="4" w:space="0" w:color="000000"/>
              <w:bottom w:val="single" w:sz="4" w:space="0" w:color="000000"/>
              <w:right w:val="single" w:sz="4" w:space="0" w:color="000000"/>
            </w:tcBorders>
            <w:vAlign w:val="center"/>
            <w:hideMark/>
          </w:tcPr>
          <w:p w14:paraId="3F2E76D0" w14:textId="5588692B" w:rsidR="006D4A86" w:rsidRPr="00FF1F65" w:rsidRDefault="006D4A86" w:rsidP="00FB0932">
            <w:pPr>
              <w:pStyle w:val="Default"/>
              <w:spacing w:line="276" w:lineRule="auto"/>
            </w:pPr>
            <w:r w:rsidRPr="00407CF5">
              <w:t>5203336</w:t>
            </w:r>
          </w:p>
        </w:tc>
        <w:tc>
          <w:tcPr>
            <w:tcW w:w="950" w:type="pct"/>
            <w:tcBorders>
              <w:top w:val="single" w:sz="4" w:space="0" w:color="000000"/>
              <w:left w:val="single" w:sz="4" w:space="0" w:color="000000"/>
              <w:bottom w:val="single" w:sz="4" w:space="0" w:color="000000"/>
              <w:right w:val="single" w:sz="4" w:space="0" w:color="000000"/>
            </w:tcBorders>
          </w:tcPr>
          <w:p w14:paraId="7ECE8D7E" w14:textId="46BFB076" w:rsidR="006D4A86" w:rsidRPr="00FF1F65" w:rsidRDefault="006D4A86" w:rsidP="00FB0932">
            <w:pPr>
              <w:pStyle w:val="Default"/>
              <w:spacing w:line="276" w:lineRule="auto"/>
            </w:pPr>
            <w:r w:rsidRPr="00407CF5">
              <w:t xml:space="preserve">5203337 </w:t>
            </w:r>
          </w:p>
        </w:tc>
        <w:tc>
          <w:tcPr>
            <w:tcW w:w="950" w:type="pct"/>
            <w:tcBorders>
              <w:top w:val="single" w:sz="4" w:space="0" w:color="000000"/>
              <w:left w:val="single" w:sz="4" w:space="0" w:color="000000"/>
              <w:bottom w:val="single" w:sz="4" w:space="0" w:color="000000"/>
              <w:right w:val="single" w:sz="4" w:space="0" w:color="000000"/>
            </w:tcBorders>
          </w:tcPr>
          <w:p w14:paraId="1ED774C5" w14:textId="42E16C91" w:rsidR="006D4A86" w:rsidRPr="00FF1F65" w:rsidRDefault="006D4A86" w:rsidP="00FB0932">
            <w:pPr>
              <w:pStyle w:val="Default"/>
              <w:spacing w:line="276" w:lineRule="auto"/>
            </w:pPr>
            <w:r w:rsidRPr="00407CF5">
              <w:t xml:space="preserve">5203338 </w:t>
            </w:r>
          </w:p>
        </w:tc>
        <w:tc>
          <w:tcPr>
            <w:tcW w:w="950" w:type="pct"/>
            <w:tcBorders>
              <w:top w:val="single" w:sz="4" w:space="0" w:color="000000"/>
              <w:left w:val="single" w:sz="4" w:space="0" w:color="000000"/>
              <w:bottom w:val="single" w:sz="4" w:space="0" w:color="000000"/>
              <w:right w:val="single" w:sz="4" w:space="0" w:color="000000"/>
            </w:tcBorders>
          </w:tcPr>
          <w:p w14:paraId="7696BC20" w14:textId="5D0EDE60" w:rsidR="006D4A86" w:rsidRPr="00FF1F65" w:rsidRDefault="006D4A86" w:rsidP="00FB0932">
            <w:pPr>
              <w:pStyle w:val="Default"/>
              <w:spacing w:line="276" w:lineRule="auto"/>
            </w:pPr>
            <w:r w:rsidRPr="00407CF5">
              <w:t xml:space="preserve">5203339 </w:t>
            </w:r>
          </w:p>
        </w:tc>
      </w:tr>
      <w:tr w:rsidR="006D4A86" w:rsidRPr="00FF1F65" w14:paraId="2876866C" w14:textId="0FBC1F53" w:rsidTr="00B4591C">
        <w:trPr>
          <w:trHeight w:val="87"/>
        </w:trPr>
        <w:tc>
          <w:tcPr>
            <w:tcW w:w="1199" w:type="pct"/>
            <w:tcBorders>
              <w:top w:val="single" w:sz="4" w:space="0" w:color="000000"/>
              <w:left w:val="single" w:sz="4" w:space="0" w:color="000000"/>
              <w:bottom w:val="single" w:sz="4" w:space="0" w:color="000000"/>
              <w:right w:val="single" w:sz="4" w:space="0" w:color="000000"/>
            </w:tcBorders>
            <w:hideMark/>
          </w:tcPr>
          <w:p w14:paraId="73C74B3A" w14:textId="77777777" w:rsidR="006D4A86" w:rsidRPr="00FF1F65" w:rsidRDefault="006D4A86" w:rsidP="00FB0932">
            <w:pPr>
              <w:spacing w:line="276" w:lineRule="auto"/>
              <w:contextualSpacing/>
              <w:rPr>
                <w:b/>
                <w:sz w:val="24"/>
                <w:szCs w:val="24"/>
              </w:rPr>
            </w:pPr>
            <w:r w:rsidRPr="00FF1F65">
              <w:rPr>
                <w:b/>
                <w:sz w:val="24"/>
                <w:szCs w:val="24"/>
              </w:rPr>
              <w:t>Zonificación:</w:t>
            </w:r>
          </w:p>
        </w:tc>
        <w:tc>
          <w:tcPr>
            <w:tcW w:w="951" w:type="pct"/>
            <w:tcBorders>
              <w:top w:val="single" w:sz="4" w:space="0" w:color="000000"/>
              <w:left w:val="single" w:sz="4" w:space="0" w:color="000000"/>
              <w:bottom w:val="single" w:sz="4" w:space="0" w:color="000000"/>
              <w:right w:val="single" w:sz="4" w:space="0" w:color="000000"/>
            </w:tcBorders>
          </w:tcPr>
          <w:p w14:paraId="3F9DEC14" w14:textId="7350CA10"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D3(D203-80) </w:t>
            </w:r>
          </w:p>
        </w:tc>
        <w:tc>
          <w:tcPr>
            <w:tcW w:w="950" w:type="pct"/>
            <w:tcBorders>
              <w:top w:val="single" w:sz="4" w:space="0" w:color="000000"/>
              <w:left w:val="single" w:sz="4" w:space="0" w:color="000000"/>
              <w:bottom w:val="single" w:sz="4" w:space="0" w:color="000000"/>
              <w:right w:val="single" w:sz="4" w:space="0" w:color="000000"/>
            </w:tcBorders>
          </w:tcPr>
          <w:p w14:paraId="73D16AC9" w14:textId="7D64C876"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D3(D203-80) </w:t>
            </w:r>
          </w:p>
        </w:tc>
        <w:tc>
          <w:tcPr>
            <w:tcW w:w="950" w:type="pct"/>
            <w:tcBorders>
              <w:top w:val="single" w:sz="4" w:space="0" w:color="000000"/>
              <w:left w:val="single" w:sz="4" w:space="0" w:color="000000"/>
              <w:bottom w:val="single" w:sz="4" w:space="0" w:color="000000"/>
              <w:right w:val="single" w:sz="4" w:space="0" w:color="000000"/>
            </w:tcBorders>
          </w:tcPr>
          <w:p w14:paraId="141064FF" w14:textId="1E6B526D"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D3(D203-80) </w:t>
            </w:r>
          </w:p>
        </w:tc>
        <w:tc>
          <w:tcPr>
            <w:tcW w:w="950" w:type="pct"/>
            <w:tcBorders>
              <w:top w:val="single" w:sz="4" w:space="0" w:color="000000"/>
              <w:left w:val="single" w:sz="4" w:space="0" w:color="000000"/>
              <w:bottom w:val="single" w:sz="4" w:space="0" w:color="000000"/>
              <w:right w:val="single" w:sz="4" w:space="0" w:color="000000"/>
            </w:tcBorders>
          </w:tcPr>
          <w:p w14:paraId="3F0A64D5" w14:textId="1645E74F"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D3(D203-80) </w:t>
            </w:r>
          </w:p>
        </w:tc>
      </w:tr>
      <w:tr w:rsidR="006D4A86" w:rsidRPr="00FF1F65" w14:paraId="67CED562" w14:textId="0CCB0344" w:rsidTr="00B4591C">
        <w:trPr>
          <w:trHeight w:val="87"/>
        </w:trPr>
        <w:tc>
          <w:tcPr>
            <w:tcW w:w="1199" w:type="pct"/>
            <w:tcBorders>
              <w:top w:val="single" w:sz="4" w:space="0" w:color="000000"/>
              <w:left w:val="single" w:sz="4" w:space="0" w:color="000000"/>
              <w:bottom w:val="single" w:sz="4" w:space="0" w:color="000000"/>
              <w:right w:val="single" w:sz="4" w:space="0" w:color="000000"/>
            </w:tcBorders>
            <w:hideMark/>
          </w:tcPr>
          <w:p w14:paraId="660F97D4" w14:textId="77777777" w:rsidR="006D4A86" w:rsidRPr="00FF1F65" w:rsidRDefault="006D4A86" w:rsidP="00FB0932">
            <w:pPr>
              <w:spacing w:line="276" w:lineRule="auto"/>
              <w:contextualSpacing/>
              <w:rPr>
                <w:b/>
                <w:sz w:val="24"/>
                <w:szCs w:val="24"/>
              </w:rPr>
            </w:pPr>
            <w:r w:rsidRPr="00FF1F65">
              <w:rPr>
                <w:b/>
                <w:sz w:val="24"/>
                <w:szCs w:val="24"/>
              </w:rPr>
              <w:t>Lote mínimo:</w:t>
            </w:r>
          </w:p>
        </w:tc>
        <w:tc>
          <w:tcPr>
            <w:tcW w:w="951" w:type="pct"/>
            <w:tcBorders>
              <w:top w:val="single" w:sz="4" w:space="0" w:color="000000"/>
              <w:left w:val="single" w:sz="4" w:space="0" w:color="000000"/>
              <w:bottom w:val="single" w:sz="4" w:space="0" w:color="000000"/>
              <w:right w:val="single" w:sz="4" w:space="0" w:color="000000"/>
            </w:tcBorders>
          </w:tcPr>
          <w:p w14:paraId="7F407B80" w14:textId="67F83774"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200 m2 </w:t>
            </w:r>
          </w:p>
        </w:tc>
        <w:tc>
          <w:tcPr>
            <w:tcW w:w="950" w:type="pct"/>
            <w:tcBorders>
              <w:top w:val="single" w:sz="4" w:space="0" w:color="000000"/>
              <w:left w:val="single" w:sz="4" w:space="0" w:color="000000"/>
              <w:bottom w:val="single" w:sz="4" w:space="0" w:color="000000"/>
              <w:right w:val="single" w:sz="4" w:space="0" w:color="000000"/>
            </w:tcBorders>
          </w:tcPr>
          <w:p w14:paraId="0166B51E" w14:textId="3874496A"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200 m2 </w:t>
            </w:r>
          </w:p>
        </w:tc>
        <w:tc>
          <w:tcPr>
            <w:tcW w:w="950" w:type="pct"/>
            <w:tcBorders>
              <w:top w:val="single" w:sz="4" w:space="0" w:color="000000"/>
              <w:left w:val="single" w:sz="4" w:space="0" w:color="000000"/>
              <w:bottom w:val="single" w:sz="4" w:space="0" w:color="000000"/>
              <w:right w:val="single" w:sz="4" w:space="0" w:color="000000"/>
            </w:tcBorders>
          </w:tcPr>
          <w:p w14:paraId="01FEB036" w14:textId="60312D0A"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200 m2 </w:t>
            </w:r>
          </w:p>
        </w:tc>
        <w:tc>
          <w:tcPr>
            <w:tcW w:w="950" w:type="pct"/>
            <w:tcBorders>
              <w:top w:val="single" w:sz="4" w:space="0" w:color="000000"/>
              <w:left w:val="single" w:sz="4" w:space="0" w:color="000000"/>
              <w:bottom w:val="single" w:sz="4" w:space="0" w:color="000000"/>
              <w:right w:val="single" w:sz="4" w:space="0" w:color="000000"/>
            </w:tcBorders>
          </w:tcPr>
          <w:p w14:paraId="634910E8" w14:textId="5999C80D"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200 m2 </w:t>
            </w:r>
          </w:p>
        </w:tc>
      </w:tr>
      <w:tr w:rsidR="006D4A86" w:rsidRPr="00FF1F65" w14:paraId="37B1699C" w14:textId="051A7FE2" w:rsidTr="00C13FEF">
        <w:trPr>
          <w:trHeight w:val="87"/>
        </w:trPr>
        <w:tc>
          <w:tcPr>
            <w:tcW w:w="119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6D4A86" w:rsidRPr="00FF1F65" w:rsidRDefault="006D4A86" w:rsidP="00FB0932">
            <w:pPr>
              <w:spacing w:line="276" w:lineRule="auto"/>
              <w:contextualSpacing/>
              <w:rPr>
                <w:b/>
                <w:sz w:val="24"/>
                <w:szCs w:val="24"/>
              </w:rPr>
            </w:pPr>
            <w:r w:rsidRPr="00FF1F65">
              <w:rPr>
                <w:b/>
                <w:sz w:val="24"/>
                <w:szCs w:val="24"/>
              </w:rPr>
              <w:t>Forma de ocupación del suelo:</w:t>
            </w:r>
          </w:p>
        </w:tc>
        <w:tc>
          <w:tcPr>
            <w:tcW w:w="951" w:type="pct"/>
            <w:tcBorders>
              <w:top w:val="single" w:sz="4" w:space="0" w:color="000000"/>
              <w:left w:val="single" w:sz="4" w:space="0" w:color="000000"/>
              <w:bottom w:val="single" w:sz="4" w:space="0" w:color="000000"/>
              <w:right w:val="single" w:sz="4" w:space="0" w:color="000000"/>
            </w:tcBorders>
          </w:tcPr>
          <w:p w14:paraId="2DB29957" w14:textId="4AEE6A95" w:rsidR="006D4A86" w:rsidRPr="00FF1F65" w:rsidRDefault="006D4A86" w:rsidP="00FB0932">
            <w:pPr>
              <w:spacing w:line="276" w:lineRule="auto"/>
              <w:rPr>
                <w:sz w:val="24"/>
                <w:szCs w:val="24"/>
              </w:rPr>
            </w:pPr>
            <w:r w:rsidRPr="00407CF5">
              <w:rPr>
                <w:rFonts w:eastAsiaTheme="minorHAnsi"/>
                <w:color w:val="000000"/>
                <w:sz w:val="24"/>
                <w:szCs w:val="24"/>
                <w:lang w:val="es-EC" w:eastAsia="en-US"/>
              </w:rPr>
              <w:t xml:space="preserve">(D) Sobre línea de fábrica </w:t>
            </w:r>
          </w:p>
        </w:tc>
        <w:tc>
          <w:tcPr>
            <w:tcW w:w="950" w:type="pct"/>
            <w:tcBorders>
              <w:top w:val="single" w:sz="4" w:space="0" w:color="000000"/>
              <w:left w:val="single" w:sz="4" w:space="0" w:color="000000"/>
              <w:bottom w:val="single" w:sz="4" w:space="0" w:color="000000"/>
              <w:right w:val="single" w:sz="4" w:space="0" w:color="000000"/>
            </w:tcBorders>
          </w:tcPr>
          <w:p w14:paraId="72D84067" w14:textId="377BB391" w:rsidR="006D4A86" w:rsidRPr="00FF1F65" w:rsidRDefault="006D4A86" w:rsidP="00FB0932">
            <w:pPr>
              <w:spacing w:line="276" w:lineRule="auto"/>
              <w:rPr>
                <w:sz w:val="24"/>
                <w:szCs w:val="24"/>
              </w:rPr>
            </w:pPr>
            <w:r w:rsidRPr="00407CF5">
              <w:rPr>
                <w:rFonts w:eastAsiaTheme="minorHAnsi"/>
                <w:color w:val="000000"/>
                <w:sz w:val="24"/>
                <w:szCs w:val="24"/>
                <w:lang w:val="es-EC" w:eastAsia="en-US"/>
              </w:rPr>
              <w:t xml:space="preserve">(D) Sobre línea de fábrica </w:t>
            </w:r>
          </w:p>
        </w:tc>
        <w:tc>
          <w:tcPr>
            <w:tcW w:w="950" w:type="pct"/>
            <w:tcBorders>
              <w:top w:val="single" w:sz="4" w:space="0" w:color="000000"/>
              <w:left w:val="single" w:sz="4" w:space="0" w:color="000000"/>
              <w:bottom w:val="single" w:sz="4" w:space="0" w:color="000000"/>
              <w:right w:val="single" w:sz="4" w:space="0" w:color="000000"/>
            </w:tcBorders>
          </w:tcPr>
          <w:p w14:paraId="70971A2B" w14:textId="1FA4888F" w:rsidR="006D4A86" w:rsidRPr="00FF1F65" w:rsidRDefault="006D4A86" w:rsidP="00FB0932">
            <w:pPr>
              <w:spacing w:line="276" w:lineRule="auto"/>
              <w:rPr>
                <w:sz w:val="24"/>
                <w:szCs w:val="24"/>
              </w:rPr>
            </w:pPr>
            <w:r w:rsidRPr="00407CF5">
              <w:rPr>
                <w:rFonts w:eastAsiaTheme="minorHAnsi"/>
                <w:color w:val="000000"/>
                <w:sz w:val="24"/>
                <w:szCs w:val="24"/>
                <w:lang w:val="es-EC" w:eastAsia="en-US"/>
              </w:rPr>
              <w:t xml:space="preserve">(D) Sobre línea de fábrica </w:t>
            </w:r>
          </w:p>
        </w:tc>
        <w:tc>
          <w:tcPr>
            <w:tcW w:w="950" w:type="pct"/>
            <w:tcBorders>
              <w:top w:val="single" w:sz="4" w:space="0" w:color="000000"/>
              <w:left w:val="single" w:sz="4" w:space="0" w:color="000000"/>
              <w:bottom w:val="single" w:sz="4" w:space="0" w:color="000000"/>
              <w:right w:val="single" w:sz="4" w:space="0" w:color="000000"/>
            </w:tcBorders>
          </w:tcPr>
          <w:p w14:paraId="64A8AE48" w14:textId="0617A959" w:rsidR="006D4A86" w:rsidRPr="00FF1F65" w:rsidRDefault="006D4A86" w:rsidP="00FB0932">
            <w:pPr>
              <w:spacing w:line="276" w:lineRule="auto"/>
              <w:rPr>
                <w:sz w:val="24"/>
                <w:szCs w:val="24"/>
              </w:rPr>
            </w:pPr>
            <w:r w:rsidRPr="00407CF5">
              <w:rPr>
                <w:rFonts w:eastAsiaTheme="minorHAnsi"/>
                <w:color w:val="000000"/>
                <w:sz w:val="24"/>
                <w:szCs w:val="24"/>
                <w:lang w:val="es-EC" w:eastAsia="en-US"/>
              </w:rPr>
              <w:t xml:space="preserve">(D) Sobre línea de fábrica </w:t>
            </w:r>
          </w:p>
        </w:tc>
      </w:tr>
      <w:tr w:rsidR="006D4A86" w:rsidRPr="00FF1F65" w14:paraId="23AD9DAE" w14:textId="3632EE4D" w:rsidTr="00B4591C">
        <w:trPr>
          <w:trHeight w:val="87"/>
        </w:trPr>
        <w:tc>
          <w:tcPr>
            <w:tcW w:w="1199" w:type="pct"/>
            <w:tcBorders>
              <w:top w:val="single" w:sz="4" w:space="0" w:color="000000"/>
              <w:left w:val="single" w:sz="4" w:space="0" w:color="000000"/>
              <w:bottom w:val="single" w:sz="4" w:space="0" w:color="000000"/>
              <w:right w:val="single" w:sz="4" w:space="0" w:color="000000"/>
            </w:tcBorders>
            <w:hideMark/>
          </w:tcPr>
          <w:p w14:paraId="2C2D58B2" w14:textId="77777777" w:rsidR="006D4A86" w:rsidRPr="00FF1F65" w:rsidRDefault="006D4A86" w:rsidP="00FB0932">
            <w:pPr>
              <w:spacing w:line="276" w:lineRule="auto"/>
              <w:contextualSpacing/>
              <w:rPr>
                <w:b/>
                <w:sz w:val="24"/>
                <w:szCs w:val="24"/>
              </w:rPr>
            </w:pPr>
            <w:r w:rsidRPr="00FF1F65">
              <w:rPr>
                <w:b/>
                <w:sz w:val="24"/>
                <w:szCs w:val="24"/>
              </w:rPr>
              <w:t>Uso principal de suelo:</w:t>
            </w:r>
          </w:p>
        </w:tc>
        <w:tc>
          <w:tcPr>
            <w:tcW w:w="951" w:type="pct"/>
            <w:tcBorders>
              <w:top w:val="single" w:sz="4" w:space="0" w:color="000000"/>
              <w:left w:val="single" w:sz="4" w:space="0" w:color="000000"/>
              <w:bottom w:val="single" w:sz="4" w:space="0" w:color="000000"/>
              <w:right w:val="single" w:sz="4" w:space="0" w:color="000000"/>
            </w:tcBorders>
          </w:tcPr>
          <w:p w14:paraId="62B06207" w14:textId="028032FB"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(RU1) Residencial Urbano 1 </w:t>
            </w:r>
          </w:p>
        </w:tc>
        <w:tc>
          <w:tcPr>
            <w:tcW w:w="950" w:type="pct"/>
            <w:tcBorders>
              <w:top w:val="single" w:sz="4" w:space="0" w:color="000000"/>
              <w:left w:val="single" w:sz="4" w:space="0" w:color="000000"/>
              <w:bottom w:val="single" w:sz="4" w:space="0" w:color="000000"/>
              <w:right w:val="single" w:sz="4" w:space="0" w:color="000000"/>
            </w:tcBorders>
          </w:tcPr>
          <w:p w14:paraId="3F6D7EFA" w14:textId="0B3065E8"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(RU1) Residencial Urbano 1 </w:t>
            </w:r>
          </w:p>
        </w:tc>
        <w:tc>
          <w:tcPr>
            <w:tcW w:w="950" w:type="pct"/>
            <w:tcBorders>
              <w:top w:val="single" w:sz="4" w:space="0" w:color="000000"/>
              <w:left w:val="single" w:sz="4" w:space="0" w:color="000000"/>
              <w:bottom w:val="single" w:sz="4" w:space="0" w:color="000000"/>
              <w:right w:val="single" w:sz="4" w:space="0" w:color="000000"/>
            </w:tcBorders>
          </w:tcPr>
          <w:p w14:paraId="2A6E3A4D" w14:textId="5AC23AE4"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(RU1) Residencial Urbano 1 </w:t>
            </w:r>
          </w:p>
        </w:tc>
        <w:tc>
          <w:tcPr>
            <w:tcW w:w="950" w:type="pct"/>
            <w:tcBorders>
              <w:top w:val="single" w:sz="4" w:space="0" w:color="000000"/>
              <w:left w:val="single" w:sz="4" w:space="0" w:color="000000"/>
              <w:bottom w:val="single" w:sz="4" w:space="0" w:color="000000"/>
              <w:right w:val="single" w:sz="4" w:space="0" w:color="000000"/>
            </w:tcBorders>
          </w:tcPr>
          <w:p w14:paraId="5AECDA43" w14:textId="685A23D8"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(RU1) Residencial Urbano 1 </w:t>
            </w:r>
          </w:p>
        </w:tc>
      </w:tr>
      <w:tr w:rsidR="006D4A86" w:rsidRPr="00FF1F65" w14:paraId="0731CCCD" w14:textId="4B7E1175"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5686EEB5" w14:textId="77777777" w:rsidR="006D4A86" w:rsidRPr="00FF1F65" w:rsidRDefault="006D4A86" w:rsidP="00FB0932">
            <w:pPr>
              <w:spacing w:line="276" w:lineRule="auto"/>
              <w:contextualSpacing/>
              <w:rPr>
                <w:b/>
                <w:sz w:val="24"/>
                <w:szCs w:val="24"/>
              </w:rPr>
            </w:pPr>
            <w:r w:rsidRPr="00FF1F65">
              <w:rPr>
                <w:b/>
                <w:sz w:val="24"/>
                <w:szCs w:val="24"/>
              </w:rPr>
              <w:t>Clasificación del suelo:</w:t>
            </w:r>
          </w:p>
        </w:tc>
        <w:tc>
          <w:tcPr>
            <w:tcW w:w="951" w:type="pct"/>
            <w:tcBorders>
              <w:top w:val="single" w:sz="4" w:space="0" w:color="000000"/>
              <w:left w:val="single" w:sz="4" w:space="0" w:color="000000"/>
              <w:bottom w:val="single" w:sz="4" w:space="0" w:color="000000"/>
              <w:right w:val="single" w:sz="4" w:space="0" w:color="000000"/>
            </w:tcBorders>
          </w:tcPr>
          <w:p w14:paraId="11806F12" w14:textId="53A68024"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(SU) Suelo Urbano </w:t>
            </w:r>
          </w:p>
        </w:tc>
        <w:tc>
          <w:tcPr>
            <w:tcW w:w="950" w:type="pct"/>
            <w:tcBorders>
              <w:top w:val="single" w:sz="4" w:space="0" w:color="000000"/>
              <w:left w:val="single" w:sz="4" w:space="0" w:color="000000"/>
              <w:bottom w:val="single" w:sz="4" w:space="0" w:color="000000"/>
              <w:right w:val="single" w:sz="4" w:space="0" w:color="000000"/>
            </w:tcBorders>
          </w:tcPr>
          <w:p w14:paraId="16AA8155" w14:textId="358EC0CB"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(SU) Suelo Urbano </w:t>
            </w:r>
          </w:p>
        </w:tc>
        <w:tc>
          <w:tcPr>
            <w:tcW w:w="950" w:type="pct"/>
            <w:tcBorders>
              <w:top w:val="single" w:sz="4" w:space="0" w:color="000000"/>
              <w:left w:val="single" w:sz="4" w:space="0" w:color="000000"/>
              <w:bottom w:val="single" w:sz="4" w:space="0" w:color="000000"/>
              <w:right w:val="single" w:sz="4" w:space="0" w:color="000000"/>
            </w:tcBorders>
          </w:tcPr>
          <w:p w14:paraId="069F1AB1" w14:textId="4086EBCF"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(SU) Suelo Urbano </w:t>
            </w:r>
          </w:p>
        </w:tc>
        <w:tc>
          <w:tcPr>
            <w:tcW w:w="950" w:type="pct"/>
            <w:tcBorders>
              <w:top w:val="single" w:sz="4" w:space="0" w:color="000000"/>
              <w:left w:val="single" w:sz="4" w:space="0" w:color="000000"/>
              <w:bottom w:val="single" w:sz="4" w:space="0" w:color="000000"/>
              <w:right w:val="single" w:sz="4" w:space="0" w:color="000000"/>
            </w:tcBorders>
          </w:tcPr>
          <w:p w14:paraId="3E709C88" w14:textId="131149A8"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(SU) Suelo Urbano </w:t>
            </w:r>
          </w:p>
        </w:tc>
      </w:tr>
      <w:tr w:rsidR="00B4591C" w:rsidRPr="00FF1F65" w14:paraId="67AFAE35" w14:textId="0131DDE2" w:rsidTr="00B4591C">
        <w:trPr>
          <w:trHeight w:val="275"/>
        </w:trPr>
        <w:tc>
          <w:tcPr>
            <w:tcW w:w="1199" w:type="pct"/>
            <w:tcBorders>
              <w:top w:val="single" w:sz="4" w:space="0" w:color="000000"/>
              <w:left w:val="single" w:sz="4" w:space="0" w:color="000000"/>
              <w:bottom w:val="single" w:sz="4" w:space="0" w:color="000000"/>
              <w:right w:val="single" w:sz="4" w:space="0" w:color="000000"/>
            </w:tcBorders>
          </w:tcPr>
          <w:p w14:paraId="1C8A7DFC" w14:textId="77777777" w:rsidR="00B4591C" w:rsidRPr="00FF1F65" w:rsidRDefault="00B4591C" w:rsidP="00FB0932">
            <w:pPr>
              <w:spacing w:line="276" w:lineRule="auto"/>
              <w:contextualSpacing/>
              <w:rPr>
                <w:b/>
                <w:sz w:val="24"/>
                <w:szCs w:val="24"/>
              </w:rPr>
            </w:pPr>
            <w:r w:rsidRPr="00FF1F65">
              <w:rPr>
                <w:b/>
                <w:sz w:val="24"/>
                <w:szCs w:val="24"/>
              </w:rPr>
              <w:t>Número de lotes:</w:t>
            </w:r>
          </w:p>
        </w:tc>
        <w:tc>
          <w:tcPr>
            <w:tcW w:w="951" w:type="pct"/>
            <w:tcBorders>
              <w:top w:val="single" w:sz="4" w:space="0" w:color="000000"/>
              <w:left w:val="single" w:sz="4" w:space="0" w:color="000000"/>
              <w:bottom w:val="single" w:sz="4" w:space="0" w:color="000000"/>
              <w:right w:val="single" w:sz="4" w:space="0" w:color="000000"/>
            </w:tcBorders>
            <w:vAlign w:val="center"/>
          </w:tcPr>
          <w:p w14:paraId="080FF827" w14:textId="7B963066" w:rsidR="00B4591C" w:rsidRPr="00FF1F65" w:rsidRDefault="00FF1F65" w:rsidP="00FB0932">
            <w:pPr>
              <w:spacing w:line="276" w:lineRule="auto"/>
              <w:contextualSpacing/>
              <w:rPr>
                <w:sz w:val="24"/>
                <w:szCs w:val="24"/>
              </w:rPr>
            </w:pPr>
            <w:r w:rsidRPr="00FF1F65">
              <w:rPr>
                <w:sz w:val="24"/>
                <w:szCs w:val="24"/>
              </w:rPr>
              <w:t>23</w:t>
            </w:r>
          </w:p>
        </w:tc>
        <w:tc>
          <w:tcPr>
            <w:tcW w:w="950" w:type="pct"/>
            <w:tcBorders>
              <w:top w:val="single" w:sz="4" w:space="0" w:color="000000"/>
              <w:left w:val="single" w:sz="4" w:space="0" w:color="000000"/>
              <w:bottom w:val="single" w:sz="4" w:space="0" w:color="000000"/>
              <w:right w:val="single" w:sz="4" w:space="0" w:color="000000"/>
            </w:tcBorders>
          </w:tcPr>
          <w:p w14:paraId="26CC6575" w14:textId="77777777" w:rsidR="00B4591C" w:rsidRPr="00FF1F65" w:rsidRDefault="00B4591C" w:rsidP="00FB0932">
            <w:pPr>
              <w:spacing w:line="276" w:lineRule="auto"/>
              <w:contextualSpacing/>
              <w:rPr>
                <w:sz w:val="24"/>
                <w:szCs w:val="24"/>
              </w:rPr>
            </w:pPr>
          </w:p>
        </w:tc>
        <w:tc>
          <w:tcPr>
            <w:tcW w:w="950" w:type="pct"/>
            <w:tcBorders>
              <w:top w:val="single" w:sz="4" w:space="0" w:color="000000"/>
              <w:left w:val="single" w:sz="4" w:space="0" w:color="000000"/>
              <w:bottom w:val="single" w:sz="4" w:space="0" w:color="000000"/>
              <w:right w:val="single" w:sz="4" w:space="0" w:color="000000"/>
            </w:tcBorders>
          </w:tcPr>
          <w:p w14:paraId="57D01C0E" w14:textId="77777777" w:rsidR="00B4591C" w:rsidRPr="00FF1F65" w:rsidRDefault="00B4591C" w:rsidP="00FB0932">
            <w:pPr>
              <w:spacing w:line="276" w:lineRule="auto"/>
              <w:contextualSpacing/>
              <w:rPr>
                <w:sz w:val="24"/>
                <w:szCs w:val="24"/>
              </w:rPr>
            </w:pPr>
          </w:p>
        </w:tc>
        <w:tc>
          <w:tcPr>
            <w:tcW w:w="950" w:type="pct"/>
            <w:tcBorders>
              <w:top w:val="single" w:sz="4" w:space="0" w:color="000000"/>
              <w:left w:val="single" w:sz="4" w:space="0" w:color="000000"/>
              <w:bottom w:val="single" w:sz="4" w:space="0" w:color="000000"/>
              <w:right w:val="single" w:sz="4" w:space="0" w:color="000000"/>
            </w:tcBorders>
          </w:tcPr>
          <w:p w14:paraId="7119DDB9" w14:textId="77777777" w:rsidR="00B4591C" w:rsidRPr="00FF1F65" w:rsidRDefault="00B4591C" w:rsidP="00FB0932">
            <w:pPr>
              <w:spacing w:line="276" w:lineRule="auto"/>
              <w:contextualSpacing/>
              <w:rPr>
                <w:sz w:val="24"/>
                <w:szCs w:val="24"/>
              </w:rPr>
            </w:pPr>
          </w:p>
        </w:tc>
      </w:tr>
      <w:tr w:rsidR="00B4591C" w:rsidRPr="00FF1F65" w14:paraId="027B826B" w14:textId="085BEC03"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59BB1061" w14:textId="77777777" w:rsidR="00B4591C" w:rsidRPr="00FF1F65" w:rsidRDefault="00B4591C" w:rsidP="00FB0932">
            <w:pPr>
              <w:spacing w:line="276" w:lineRule="auto"/>
              <w:contextualSpacing/>
              <w:rPr>
                <w:b/>
                <w:sz w:val="24"/>
                <w:szCs w:val="24"/>
              </w:rPr>
            </w:pPr>
            <w:r w:rsidRPr="00FF1F65">
              <w:rPr>
                <w:b/>
                <w:sz w:val="24"/>
                <w:szCs w:val="24"/>
              </w:rPr>
              <w:t>Área útil de lotes:</w:t>
            </w:r>
          </w:p>
        </w:tc>
        <w:tc>
          <w:tcPr>
            <w:tcW w:w="951" w:type="pct"/>
            <w:tcBorders>
              <w:top w:val="single" w:sz="4" w:space="0" w:color="000000"/>
              <w:left w:val="single" w:sz="4" w:space="0" w:color="000000"/>
              <w:bottom w:val="single" w:sz="4" w:space="0" w:color="000000"/>
              <w:right w:val="single" w:sz="4" w:space="0" w:color="000000"/>
            </w:tcBorders>
          </w:tcPr>
          <w:p w14:paraId="78702D01" w14:textId="4ACB772B" w:rsidR="00B4591C" w:rsidRPr="00FF1F65" w:rsidRDefault="00FF1F65" w:rsidP="00FF1F65">
            <w:pPr>
              <w:pStyle w:val="Default"/>
            </w:pPr>
            <w:r w:rsidRPr="00FF1F65">
              <w:t>6.911,72  m2</w:t>
            </w:r>
          </w:p>
        </w:tc>
        <w:tc>
          <w:tcPr>
            <w:tcW w:w="950" w:type="pct"/>
            <w:tcBorders>
              <w:top w:val="single" w:sz="4" w:space="0" w:color="000000"/>
              <w:left w:val="single" w:sz="4" w:space="0" w:color="000000"/>
              <w:bottom w:val="single" w:sz="4" w:space="0" w:color="000000"/>
              <w:right w:val="single" w:sz="4" w:space="0" w:color="000000"/>
            </w:tcBorders>
          </w:tcPr>
          <w:p w14:paraId="2AA2E35B" w14:textId="77777777" w:rsidR="00B4591C" w:rsidRPr="00FF1F65" w:rsidRDefault="00B4591C" w:rsidP="00FB0932">
            <w:pPr>
              <w:pStyle w:val="Default"/>
              <w:spacing w:line="276" w:lineRule="auto"/>
            </w:pPr>
          </w:p>
        </w:tc>
        <w:tc>
          <w:tcPr>
            <w:tcW w:w="950" w:type="pct"/>
            <w:tcBorders>
              <w:top w:val="single" w:sz="4" w:space="0" w:color="000000"/>
              <w:left w:val="single" w:sz="4" w:space="0" w:color="000000"/>
              <w:bottom w:val="single" w:sz="4" w:space="0" w:color="000000"/>
              <w:right w:val="single" w:sz="4" w:space="0" w:color="000000"/>
            </w:tcBorders>
          </w:tcPr>
          <w:p w14:paraId="219F4727" w14:textId="77777777" w:rsidR="00B4591C" w:rsidRPr="00FF1F65" w:rsidRDefault="00B4591C" w:rsidP="00FB0932">
            <w:pPr>
              <w:pStyle w:val="Default"/>
              <w:spacing w:line="276" w:lineRule="auto"/>
            </w:pPr>
          </w:p>
        </w:tc>
        <w:tc>
          <w:tcPr>
            <w:tcW w:w="950" w:type="pct"/>
            <w:tcBorders>
              <w:top w:val="single" w:sz="4" w:space="0" w:color="000000"/>
              <w:left w:val="single" w:sz="4" w:space="0" w:color="000000"/>
              <w:bottom w:val="single" w:sz="4" w:space="0" w:color="000000"/>
              <w:right w:val="single" w:sz="4" w:space="0" w:color="000000"/>
            </w:tcBorders>
          </w:tcPr>
          <w:p w14:paraId="4979DA06" w14:textId="77777777" w:rsidR="00B4591C" w:rsidRPr="00FF1F65" w:rsidRDefault="00B4591C" w:rsidP="00FB0932">
            <w:pPr>
              <w:pStyle w:val="Default"/>
              <w:spacing w:line="276" w:lineRule="auto"/>
            </w:pPr>
          </w:p>
        </w:tc>
      </w:tr>
      <w:tr w:rsidR="00B4591C" w:rsidRPr="00FF1F65" w14:paraId="3A5D6A08" w14:textId="62ADF517"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5746EA82" w14:textId="7D5123FF" w:rsidR="00B4591C" w:rsidRPr="00FF1F65" w:rsidRDefault="00B4591C" w:rsidP="00FF1F65">
            <w:pPr>
              <w:spacing w:line="276" w:lineRule="auto"/>
              <w:contextualSpacing/>
              <w:rPr>
                <w:b/>
                <w:sz w:val="24"/>
                <w:szCs w:val="24"/>
              </w:rPr>
            </w:pPr>
            <w:r w:rsidRPr="00FF1F65">
              <w:rPr>
                <w:b/>
                <w:sz w:val="24"/>
                <w:szCs w:val="24"/>
              </w:rPr>
              <w:t xml:space="preserve">Área de </w:t>
            </w:r>
            <w:r w:rsidR="00FF1F65" w:rsidRPr="00FF1F65">
              <w:rPr>
                <w:b/>
                <w:sz w:val="24"/>
                <w:szCs w:val="24"/>
              </w:rPr>
              <w:t>pasajes</w:t>
            </w:r>
            <w:r w:rsidRPr="00FF1F65">
              <w:rPr>
                <w:b/>
                <w:sz w:val="24"/>
                <w:szCs w:val="24"/>
              </w:rPr>
              <w:t>:</w:t>
            </w:r>
          </w:p>
        </w:tc>
        <w:tc>
          <w:tcPr>
            <w:tcW w:w="951" w:type="pct"/>
            <w:tcBorders>
              <w:top w:val="single" w:sz="4" w:space="0" w:color="000000"/>
              <w:left w:val="single" w:sz="4" w:space="0" w:color="000000"/>
              <w:bottom w:val="single" w:sz="4" w:space="0" w:color="000000"/>
              <w:right w:val="single" w:sz="4" w:space="0" w:color="000000"/>
            </w:tcBorders>
          </w:tcPr>
          <w:p w14:paraId="569F5A70" w14:textId="2CDEE154" w:rsidR="00B4591C" w:rsidRPr="00FF1F65" w:rsidRDefault="00FF1F65" w:rsidP="00FF1F65">
            <w:pPr>
              <w:pStyle w:val="Default"/>
            </w:pPr>
            <w:r w:rsidRPr="00FF1F65">
              <w:t xml:space="preserve">1.310,02 </w:t>
            </w:r>
            <w:r w:rsidR="00B4591C" w:rsidRPr="00FF1F65">
              <w:t>m2</w:t>
            </w:r>
          </w:p>
        </w:tc>
        <w:tc>
          <w:tcPr>
            <w:tcW w:w="950" w:type="pct"/>
            <w:tcBorders>
              <w:top w:val="single" w:sz="4" w:space="0" w:color="000000"/>
              <w:left w:val="single" w:sz="4" w:space="0" w:color="000000"/>
              <w:bottom w:val="single" w:sz="4" w:space="0" w:color="000000"/>
              <w:right w:val="single" w:sz="4" w:space="0" w:color="000000"/>
            </w:tcBorders>
          </w:tcPr>
          <w:p w14:paraId="794D2042" w14:textId="77777777" w:rsidR="00B4591C" w:rsidRPr="00FF1F65" w:rsidRDefault="00B4591C" w:rsidP="00FB0932">
            <w:pPr>
              <w:pStyle w:val="Default"/>
              <w:spacing w:line="276" w:lineRule="auto"/>
            </w:pPr>
          </w:p>
        </w:tc>
        <w:tc>
          <w:tcPr>
            <w:tcW w:w="950" w:type="pct"/>
            <w:tcBorders>
              <w:top w:val="single" w:sz="4" w:space="0" w:color="000000"/>
              <w:left w:val="single" w:sz="4" w:space="0" w:color="000000"/>
              <w:bottom w:val="single" w:sz="4" w:space="0" w:color="000000"/>
              <w:right w:val="single" w:sz="4" w:space="0" w:color="000000"/>
            </w:tcBorders>
          </w:tcPr>
          <w:p w14:paraId="2A876C63" w14:textId="77777777" w:rsidR="00B4591C" w:rsidRPr="00FF1F65" w:rsidRDefault="00B4591C" w:rsidP="00FB0932">
            <w:pPr>
              <w:pStyle w:val="Default"/>
              <w:spacing w:line="276" w:lineRule="auto"/>
            </w:pPr>
          </w:p>
        </w:tc>
        <w:tc>
          <w:tcPr>
            <w:tcW w:w="950" w:type="pct"/>
            <w:tcBorders>
              <w:top w:val="single" w:sz="4" w:space="0" w:color="000000"/>
              <w:left w:val="single" w:sz="4" w:space="0" w:color="000000"/>
              <w:bottom w:val="single" w:sz="4" w:space="0" w:color="000000"/>
              <w:right w:val="single" w:sz="4" w:space="0" w:color="000000"/>
            </w:tcBorders>
          </w:tcPr>
          <w:p w14:paraId="46A05630" w14:textId="77777777" w:rsidR="00B4591C" w:rsidRPr="00FF1F65" w:rsidRDefault="00B4591C" w:rsidP="00FB0932">
            <w:pPr>
              <w:pStyle w:val="Default"/>
              <w:spacing w:line="276" w:lineRule="auto"/>
            </w:pPr>
          </w:p>
        </w:tc>
      </w:tr>
      <w:tr w:rsidR="00B4591C" w:rsidRPr="00FF1F65" w14:paraId="15DC446F" w14:textId="10173952"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2CB98B9A" w14:textId="77777777" w:rsidR="00B4591C" w:rsidRPr="00FF1F65" w:rsidRDefault="00B4591C" w:rsidP="00FB0932">
            <w:pPr>
              <w:spacing w:line="276" w:lineRule="auto"/>
              <w:contextualSpacing/>
              <w:rPr>
                <w:b/>
                <w:sz w:val="24"/>
                <w:szCs w:val="24"/>
              </w:rPr>
            </w:pPr>
            <w:r w:rsidRPr="00FF1F65">
              <w:rPr>
                <w:b/>
                <w:sz w:val="24"/>
                <w:szCs w:val="24"/>
              </w:rPr>
              <w:t>Área verde:</w:t>
            </w:r>
          </w:p>
        </w:tc>
        <w:tc>
          <w:tcPr>
            <w:tcW w:w="951" w:type="pct"/>
            <w:tcBorders>
              <w:top w:val="single" w:sz="4" w:space="0" w:color="000000"/>
              <w:left w:val="single" w:sz="4" w:space="0" w:color="000000"/>
              <w:bottom w:val="single" w:sz="4" w:space="0" w:color="000000"/>
              <w:right w:val="single" w:sz="4" w:space="0" w:color="000000"/>
            </w:tcBorders>
          </w:tcPr>
          <w:p w14:paraId="652D4C7D" w14:textId="5660DBD5" w:rsidR="00B4591C" w:rsidRPr="00FF1F65" w:rsidRDefault="00FF1F65" w:rsidP="00FF1F65">
            <w:pPr>
              <w:pStyle w:val="Default"/>
            </w:pPr>
            <w:r w:rsidRPr="00FF1F65">
              <w:t xml:space="preserve">1.443,38 </w:t>
            </w:r>
            <w:r w:rsidR="00B4591C" w:rsidRPr="00FF1F65">
              <w:t>m2</w:t>
            </w:r>
          </w:p>
        </w:tc>
        <w:tc>
          <w:tcPr>
            <w:tcW w:w="950" w:type="pct"/>
            <w:tcBorders>
              <w:top w:val="single" w:sz="4" w:space="0" w:color="000000"/>
              <w:left w:val="single" w:sz="4" w:space="0" w:color="000000"/>
              <w:bottom w:val="single" w:sz="4" w:space="0" w:color="000000"/>
              <w:right w:val="single" w:sz="4" w:space="0" w:color="000000"/>
            </w:tcBorders>
          </w:tcPr>
          <w:p w14:paraId="6830D606" w14:textId="77777777" w:rsidR="00B4591C" w:rsidRPr="00FF1F65" w:rsidRDefault="00B4591C" w:rsidP="00FB0932">
            <w:pPr>
              <w:pStyle w:val="Default"/>
              <w:spacing w:line="276" w:lineRule="auto"/>
            </w:pPr>
          </w:p>
        </w:tc>
        <w:tc>
          <w:tcPr>
            <w:tcW w:w="950" w:type="pct"/>
            <w:tcBorders>
              <w:top w:val="single" w:sz="4" w:space="0" w:color="000000"/>
              <w:left w:val="single" w:sz="4" w:space="0" w:color="000000"/>
              <w:bottom w:val="single" w:sz="4" w:space="0" w:color="000000"/>
              <w:right w:val="single" w:sz="4" w:space="0" w:color="000000"/>
            </w:tcBorders>
          </w:tcPr>
          <w:p w14:paraId="019AA2A7" w14:textId="77777777" w:rsidR="00B4591C" w:rsidRPr="00FF1F65" w:rsidRDefault="00B4591C" w:rsidP="00FB0932">
            <w:pPr>
              <w:pStyle w:val="Default"/>
              <w:spacing w:line="276" w:lineRule="auto"/>
            </w:pPr>
          </w:p>
        </w:tc>
        <w:tc>
          <w:tcPr>
            <w:tcW w:w="950" w:type="pct"/>
            <w:tcBorders>
              <w:top w:val="single" w:sz="4" w:space="0" w:color="000000"/>
              <w:left w:val="single" w:sz="4" w:space="0" w:color="000000"/>
              <w:bottom w:val="single" w:sz="4" w:space="0" w:color="000000"/>
              <w:right w:val="single" w:sz="4" w:space="0" w:color="000000"/>
            </w:tcBorders>
          </w:tcPr>
          <w:p w14:paraId="65FEB602" w14:textId="77777777" w:rsidR="00B4591C" w:rsidRPr="00FF1F65" w:rsidRDefault="00B4591C" w:rsidP="00FB0932">
            <w:pPr>
              <w:pStyle w:val="Default"/>
              <w:spacing w:line="276" w:lineRule="auto"/>
            </w:pPr>
          </w:p>
        </w:tc>
      </w:tr>
      <w:tr w:rsidR="00B4591C" w:rsidRPr="00FF1F65" w14:paraId="2E0465C2" w14:textId="779965E8"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3E3A14D1" w14:textId="77777777" w:rsidR="00B4591C" w:rsidRPr="00FF1F65" w:rsidRDefault="00B4591C" w:rsidP="00FB0932">
            <w:pPr>
              <w:spacing w:line="276" w:lineRule="auto"/>
              <w:contextualSpacing/>
              <w:rPr>
                <w:b/>
                <w:sz w:val="24"/>
                <w:szCs w:val="24"/>
              </w:rPr>
            </w:pPr>
            <w:r w:rsidRPr="00FF1F65">
              <w:rPr>
                <w:b/>
                <w:sz w:val="24"/>
                <w:szCs w:val="24"/>
              </w:rPr>
              <w:t xml:space="preserve">Área total del lote:               </w:t>
            </w:r>
          </w:p>
        </w:tc>
        <w:tc>
          <w:tcPr>
            <w:tcW w:w="951" w:type="pct"/>
            <w:tcBorders>
              <w:top w:val="single" w:sz="4" w:space="0" w:color="000000"/>
              <w:left w:val="single" w:sz="4" w:space="0" w:color="000000"/>
              <w:bottom w:val="single" w:sz="4" w:space="0" w:color="000000"/>
              <w:right w:val="single" w:sz="4" w:space="0" w:color="000000"/>
            </w:tcBorders>
          </w:tcPr>
          <w:p w14:paraId="553D5C22" w14:textId="785AAE88" w:rsidR="00B4591C" w:rsidRPr="00FF1F65" w:rsidRDefault="00FF1F65" w:rsidP="00FF1F65">
            <w:pPr>
              <w:pStyle w:val="Default"/>
            </w:pPr>
            <w:r w:rsidRPr="00FF1F65">
              <w:rPr>
                <w:bCs/>
              </w:rPr>
              <w:t xml:space="preserve">9.665,12 </w:t>
            </w:r>
            <w:r w:rsidR="00B4591C" w:rsidRPr="00FF1F65">
              <w:t>m2</w:t>
            </w:r>
          </w:p>
        </w:tc>
        <w:tc>
          <w:tcPr>
            <w:tcW w:w="950" w:type="pct"/>
            <w:tcBorders>
              <w:top w:val="single" w:sz="4" w:space="0" w:color="000000"/>
              <w:left w:val="single" w:sz="4" w:space="0" w:color="000000"/>
              <w:bottom w:val="single" w:sz="4" w:space="0" w:color="000000"/>
              <w:right w:val="single" w:sz="4" w:space="0" w:color="000000"/>
            </w:tcBorders>
          </w:tcPr>
          <w:p w14:paraId="0104AA6E" w14:textId="77777777" w:rsidR="00B4591C" w:rsidRPr="00FF1F65" w:rsidRDefault="00B4591C" w:rsidP="00FB0932">
            <w:pPr>
              <w:pStyle w:val="Default"/>
              <w:spacing w:line="276" w:lineRule="auto"/>
              <w:rPr>
                <w:bCs/>
              </w:rPr>
            </w:pPr>
          </w:p>
        </w:tc>
        <w:tc>
          <w:tcPr>
            <w:tcW w:w="950" w:type="pct"/>
            <w:tcBorders>
              <w:top w:val="single" w:sz="4" w:space="0" w:color="000000"/>
              <w:left w:val="single" w:sz="4" w:space="0" w:color="000000"/>
              <w:bottom w:val="single" w:sz="4" w:space="0" w:color="000000"/>
              <w:right w:val="single" w:sz="4" w:space="0" w:color="000000"/>
            </w:tcBorders>
          </w:tcPr>
          <w:p w14:paraId="5ABF689D" w14:textId="77777777" w:rsidR="00B4591C" w:rsidRPr="00FF1F65" w:rsidRDefault="00B4591C" w:rsidP="00FB0932">
            <w:pPr>
              <w:pStyle w:val="Default"/>
              <w:spacing w:line="276" w:lineRule="auto"/>
              <w:rPr>
                <w:bCs/>
              </w:rPr>
            </w:pPr>
          </w:p>
        </w:tc>
        <w:tc>
          <w:tcPr>
            <w:tcW w:w="950" w:type="pct"/>
            <w:tcBorders>
              <w:top w:val="single" w:sz="4" w:space="0" w:color="000000"/>
              <w:left w:val="single" w:sz="4" w:space="0" w:color="000000"/>
              <w:bottom w:val="single" w:sz="4" w:space="0" w:color="000000"/>
              <w:right w:val="single" w:sz="4" w:space="0" w:color="000000"/>
            </w:tcBorders>
          </w:tcPr>
          <w:p w14:paraId="52E766CC" w14:textId="77777777" w:rsidR="00B4591C" w:rsidRPr="00FF1F65" w:rsidRDefault="00B4591C" w:rsidP="00FB0932">
            <w:pPr>
              <w:pStyle w:val="Default"/>
              <w:spacing w:line="276" w:lineRule="auto"/>
              <w:rPr>
                <w:bCs/>
              </w:rPr>
            </w:pPr>
          </w:p>
        </w:tc>
      </w:tr>
    </w:tbl>
    <w:p w14:paraId="708A0CB6" w14:textId="77777777" w:rsidR="00B56965" w:rsidRPr="00FF1F65" w:rsidRDefault="00B56965" w:rsidP="00FB0932">
      <w:pPr>
        <w:pStyle w:val="Sinespaciado"/>
        <w:spacing w:line="276" w:lineRule="auto"/>
        <w:rPr>
          <w:rFonts w:ascii="Times New Roman" w:hAnsi="Times New Roman"/>
          <w:b/>
          <w:sz w:val="24"/>
          <w:szCs w:val="24"/>
        </w:rPr>
      </w:pPr>
    </w:p>
    <w:p w14:paraId="4BFE6A15" w14:textId="0496C520" w:rsidR="008E2F68" w:rsidRPr="00FB0932" w:rsidRDefault="008E2F68" w:rsidP="00FB0932">
      <w:pPr>
        <w:spacing w:after="240" w:line="276" w:lineRule="auto"/>
        <w:jc w:val="both"/>
        <w:rPr>
          <w:sz w:val="24"/>
          <w:szCs w:val="24"/>
        </w:rPr>
      </w:pPr>
      <w:r w:rsidRPr="00FB0932">
        <w:rPr>
          <w:sz w:val="24"/>
          <w:szCs w:val="24"/>
        </w:rPr>
        <w:t>El número total de lotes, producto del fraccionamiento, es de 2</w:t>
      </w:r>
      <w:r w:rsidR="00B244D1">
        <w:rPr>
          <w:sz w:val="24"/>
          <w:szCs w:val="24"/>
        </w:rPr>
        <w:t xml:space="preserve">3 </w:t>
      </w:r>
      <w:r w:rsidRPr="00FB0932">
        <w:rPr>
          <w:sz w:val="24"/>
          <w:szCs w:val="24"/>
        </w:rPr>
        <w:t xml:space="preserve">signados del uno (1) al veinte </w:t>
      </w:r>
      <w:r w:rsidR="00B244D1">
        <w:rPr>
          <w:sz w:val="24"/>
          <w:szCs w:val="24"/>
        </w:rPr>
        <w:t xml:space="preserve">y tres </w:t>
      </w:r>
      <w:r w:rsidRPr="00FB0932">
        <w:rPr>
          <w:sz w:val="24"/>
          <w:szCs w:val="24"/>
        </w:rPr>
        <w:t>(2</w:t>
      </w:r>
      <w:r w:rsidR="00B244D1">
        <w:rPr>
          <w:sz w:val="24"/>
          <w:szCs w:val="24"/>
        </w:rPr>
        <w:t>3</w:t>
      </w:r>
      <w:r w:rsidRPr="00FB0932">
        <w:rPr>
          <w:sz w:val="24"/>
          <w:szCs w:val="24"/>
        </w:rPr>
        <w:t>), cuyo detalle es el que consta en los planos aprobatorios que forman parte de la presente Ordenanza.</w:t>
      </w:r>
    </w:p>
    <w:p w14:paraId="34B29F14" w14:textId="752A8C5E" w:rsidR="000F20C4" w:rsidRPr="008756FE" w:rsidRDefault="008E2F68" w:rsidP="000F20C4">
      <w:pPr>
        <w:spacing w:after="240" w:line="276" w:lineRule="auto"/>
        <w:jc w:val="both"/>
        <w:rPr>
          <w:sz w:val="24"/>
          <w:szCs w:val="24"/>
        </w:rPr>
      </w:pPr>
      <w:r w:rsidRPr="008756FE">
        <w:rPr>
          <w:sz w:val="24"/>
          <w:szCs w:val="24"/>
        </w:rPr>
        <w:t xml:space="preserve">El área total del predio No. </w:t>
      </w:r>
      <w:r w:rsidR="00B244D1" w:rsidRPr="008756FE">
        <w:rPr>
          <w:sz w:val="24"/>
          <w:szCs w:val="24"/>
        </w:rPr>
        <w:t>5203336</w:t>
      </w:r>
      <w:r w:rsidRPr="008756FE">
        <w:rPr>
          <w:sz w:val="24"/>
          <w:szCs w:val="24"/>
        </w:rPr>
        <w:t xml:space="preserve">, es la que consta en la Cédula Catastral en </w:t>
      </w:r>
      <w:proofErr w:type="spellStart"/>
      <w:r w:rsidRPr="008756FE">
        <w:rPr>
          <w:sz w:val="24"/>
          <w:szCs w:val="24"/>
        </w:rPr>
        <w:t>Unipropiedad</w:t>
      </w:r>
      <w:proofErr w:type="spellEnd"/>
      <w:r w:rsidRPr="008756FE">
        <w:rPr>
          <w:sz w:val="24"/>
          <w:szCs w:val="24"/>
        </w:rPr>
        <w:t xml:space="preserve"> No. </w:t>
      </w:r>
      <w:r w:rsidR="00452E2F" w:rsidRPr="008756FE">
        <w:rPr>
          <w:sz w:val="24"/>
          <w:szCs w:val="24"/>
        </w:rPr>
        <w:t>8</w:t>
      </w:r>
      <w:r w:rsidR="00293DCE" w:rsidRPr="008756FE">
        <w:rPr>
          <w:sz w:val="24"/>
          <w:szCs w:val="24"/>
        </w:rPr>
        <w:t>070</w:t>
      </w:r>
      <w:r w:rsidR="00837CD9" w:rsidRPr="008756FE">
        <w:rPr>
          <w:sz w:val="24"/>
          <w:szCs w:val="24"/>
        </w:rPr>
        <w:t xml:space="preserve"> </w:t>
      </w:r>
      <w:r w:rsidRPr="008756FE">
        <w:rPr>
          <w:sz w:val="24"/>
          <w:szCs w:val="24"/>
        </w:rPr>
        <w:t xml:space="preserve">emitida por la Dirección Metropolitana de Catastro, el </w:t>
      </w:r>
      <w:r w:rsidR="00293DCE" w:rsidRPr="008756FE">
        <w:rPr>
          <w:sz w:val="24"/>
          <w:szCs w:val="24"/>
        </w:rPr>
        <w:t>04</w:t>
      </w:r>
      <w:r w:rsidRPr="008756FE">
        <w:rPr>
          <w:sz w:val="24"/>
          <w:szCs w:val="24"/>
        </w:rPr>
        <w:t xml:space="preserve"> de </w:t>
      </w:r>
      <w:r w:rsidR="00293DCE" w:rsidRPr="008756FE">
        <w:rPr>
          <w:sz w:val="24"/>
          <w:szCs w:val="24"/>
        </w:rPr>
        <w:t>junio</w:t>
      </w:r>
      <w:r w:rsidRPr="008756FE">
        <w:rPr>
          <w:sz w:val="24"/>
          <w:szCs w:val="24"/>
        </w:rPr>
        <w:t xml:space="preserve"> de 201</w:t>
      </w:r>
      <w:r w:rsidR="00293DCE" w:rsidRPr="008756FE">
        <w:rPr>
          <w:sz w:val="24"/>
          <w:szCs w:val="24"/>
        </w:rPr>
        <w:t>9</w:t>
      </w:r>
      <w:r w:rsidRPr="008756FE">
        <w:rPr>
          <w:sz w:val="24"/>
          <w:szCs w:val="24"/>
        </w:rPr>
        <w:t xml:space="preserve">, </w:t>
      </w:r>
      <w:r w:rsidR="000F20C4" w:rsidRPr="008756FE">
        <w:rPr>
          <w:sz w:val="24"/>
          <w:szCs w:val="24"/>
        </w:rPr>
        <w:t>inscrita en el Registro de la Propiedad del Distrito Metropolitano de Quito, el 29 de octubre de 2020.</w:t>
      </w:r>
    </w:p>
    <w:p w14:paraId="15AD1FA1" w14:textId="5A579335" w:rsidR="00A74F98" w:rsidRPr="008756FE" w:rsidRDefault="00A74F98" w:rsidP="00A74F98">
      <w:pPr>
        <w:spacing w:after="240" w:line="276" w:lineRule="auto"/>
        <w:jc w:val="both"/>
        <w:rPr>
          <w:sz w:val="24"/>
          <w:szCs w:val="24"/>
        </w:rPr>
      </w:pPr>
      <w:r w:rsidRPr="008756FE">
        <w:rPr>
          <w:sz w:val="24"/>
          <w:szCs w:val="24"/>
        </w:rPr>
        <w:t xml:space="preserve">El área total del predio No. 5203337, es la que consta en la Cédula Catastral en </w:t>
      </w:r>
      <w:proofErr w:type="spellStart"/>
      <w:r w:rsidRPr="008756FE">
        <w:rPr>
          <w:sz w:val="24"/>
          <w:szCs w:val="24"/>
        </w:rPr>
        <w:t>Unipropiedad</w:t>
      </w:r>
      <w:proofErr w:type="spellEnd"/>
      <w:r w:rsidRPr="008756FE">
        <w:rPr>
          <w:sz w:val="24"/>
          <w:szCs w:val="24"/>
        </w:rPr>
        <w:t xml:space="preserve"> No. 8069 emitida por la Dirección Metropolitana de Catastro, el </w:t>
      </w:r>
      <w:r w:rsidR="008756FE">
        <w:rPr>
          <w:sz w:val="24"/>
          <w:szCs w:val="24"/>
        </w:rPr>
        <w:t>04</w:t>
      </w:r>
      <w:r w:rsidRPr="008756FE">
        <w:rPr>
          <w:sz w:val="24"/>
          <w:szCs w:val="24"/>
        </w:rPr>
        <w:t xml:space="preserve"> de </w:t>
      </w:r>
      <w:r w:rsidR="008756FE">
        <w:rPr>
          <w:sz w:val="24"/>
          <w:szCs w:val="24"/>
        </w:rPr>
        <w:t xml:space="preserve">junio </w:t>
      </w:r>
      <w:r w:rsidRPr="008756FE">
        <w:rPr>
          <w:sz w:val="24"/>
          <w:szCs w:val="24"/>
        </w:rPr>
        <w:t xml:space="preserve">de </w:t>
      </w:r>
      <w:r w:rsidR="008756FE">
        <w:rPr>
          <w:sz w:val="24"/>
          <w:szCs w:val="24"/>
        </w:rPr>
        <w:t>2019</w:t>
      </w:r>
      <w:r w:rsidRPr="008756FE">
        <w:rPr>
          <w:sz w:val="24"/>
          <w:szCs w:val="24"/>
        </w:rPr>
        <w:t xml:space="preserve">, inscrita en el Registro de la Propiedad del Distrito Metropolitano de Quito, el </w:t>
      </w:r>
      <w:r w:rsidR="0049736D">
        <w:rPr>
          <w:sz w:val="24"/>
          <w:szCs w:val="24"/>
        </w:rPr>
        <w:t xml:space="preserve">28 </w:t>
      </w:r>
      <w:r w:rsidRPr="008756FE">
        <w:rPr>
          <w:sz w:val="24"/>
          <w:szCs w:val="24"/>
        </w:rPr>
        <w:t xml:space="preserve"> de</w:t>
      </w:r>
      <w:r w:rsidR="0049736D">
        <w:rPr>
          <w:sz w:val="24"/>
          <w:szCs w:val="24"/>
        </w:rPr>
        <w:t xml:space="preserve"> octubre</w:t>
      </w:r>
      <w:r w:rsidRPr="008756FE">
        <w:rPr>
          <w:sz w:val="24"/>
          <w:szCs w:val="24"/>
        </w:rPr>
        <w:t xml:space="preserve"> de </w:t>
      </w:r>
      <w:r w:rsidR="0049736D">
        <w:rPr>
          <w:sz w:val="24"/>
          <w:szCs w:val="24"/>
        </w:rPr>
        <w:t>2020.</w:t>
      </w:r>
    </w:p>
    <w:p w14:paraId="27F43FEA" w14:textId="1733CD81" w:rsidR="00386664" w:rsidRPr="009B78D0" w:rsidRDefault="00386664" w:rsidP="00386664">
      <w:pPr>
        <w:spacing w:after="240" w:line="276" w:lineRule="auto"/>
        <w:jc w:val="both"/>
        <w:rPr>
          <w:sz w:val="24"/>
          <w:szCs w:val="24"/>
        </w:rPr>
      </w:pPr>
      <w:r w:rsidRPr="009B78D0">
        <w:rPr>
          <w:sz w:val="24"/>
          <w:szCs w:val="24"/>
        </w:rPr>
        <w:t>El área total del predio No. 520333</w:t>
      </w:r>
      <w:r w:rsidR="009B78D0" w:rsidRPr="009B78D0">
        <w:rPr>
          <w:sz w:val="24"/>
          <w:szCs w:val="24"/>
        </w:rPr>
        <w:t xml:space="preserve">8, es la que consta en el Informe de Regulación Metropolitano en </w:t>
      </w:r>
      <w:proofErr w:type="spellStart"/>
      <w:r w:rsidR="009B78D0" w:rsidRPr="009B78D0">
        <w:rPr>
          <w:sz w:val="24"/>
          <w:szCs w:val="24"/>
        </w:rPr>
        <w:t>Unipropiedad</w:t>
      </w:r>
      <w:proofErr w:type="spellEnd"/>
      <w:r w:rsidR="009B78D0" w:rsidRPr="009B78D0">
        <w:rPr>
          <w:sz w:val="24"/>
          <w:szCs w:val="24"/>
        </w:rPr>
        <w:t xml:space="preserve"> </w:t>
      </w:r>
      <w:r w:rsidRPr="009B78D0">
        <w:rPr>
          <w:sz w:val="24"/>
          <w:szCs w:val="24"/>
        </w:rPr>
        <w:t xml:space="preserve">No. </w:t>
      </w:r>
      <w:r w:rsidR="009B78D0" w:rsidRPr="009B78D0">
        <w:rPr>
          <w:sz w:val="24"/>
          <w:szCs w:val="24"/>
        </w:rPr>
        <w:t>726740</w:t>
      </w:r>
      <w:r w:rsidR="005C5D5D">
        <w:rPr>
          <w:sz w:val="24"/>
          <w:szCs w:val="24"/>
        </w:rPr>
        <w:t xml:space="preserve"> emitida por la Administración Zonal Calderón</w:t>
      </w:r>
      <w:r w:rsidRPr="009B78D0">
        <w:rPr>
          <w:sz w:val="24"/>
          <w:szCs w:val="24"/>
        </w:rPr>
        <w:t xml:space="preserve">, </w:t>
      </w:r>
      <w:r w:rsidR="009B78D0" w:rsidRPr="009B78D0">
        <w:rPr>
          <w:sz w:val="24"/>
          <w:szCs w:val="24"/>
        </w:rPr>
        <w:lastRenderedPageBreak/>
        <w:t xml:space="preserve">de 24 </w:t>
      </w:r>
      <w:r w:rsidRPr="009B78D0">
        <w:rPr>
          <w:sz w:val="24"/>
          <w:szCs w:val="24"/>
        </w:rPr>
        <w:t>de</w:t>
      </w:r>
      <w:r w:rsidR="009B78D0" w:rsidRPr="009B78D0">
        <w:rPr>
          <w:sz w:val="24"/>
          <w:szCs w:val="24"/>
        </w:rPr>
        <w:t xml:space="preserve"> junio </w:t>
      </w:r>
      <w:r w:rsidRPr="009B78D0">
        <w:rPr>
          <w:sz w:val="24"/>
          <w:szCs w:val="24"/>
        </w:rPr>
        <w:t>de</w:t>
      </w:r>
      <w:r w:rsidR="009B78D0" w:rsidRPr="009B78D0">
        <w:rPr>
          <w:sz w:val="24"/>
          <w:szCs w:val="24"/>
        </w:rPr>
        <w:t xml:space="preserve"> 2020.</w:t>
      </w:r>
      <w:r w:rsidR="00A8710E">
        <w:rPr>
          <w:sz w:val="24"/>
          <w:szCs w:val="24"/>
        </w:rPr>
        <w:t xml:space="preserve"> Dicho documento refleja la regularización de Diferencia y/o excedentes de áreas realizada bajo la Ordenanza No. 126. </w:t>
      </w:r>
    </w:p>
    <w:p w14:paraId="6044C0E2" w14:textId="5AD6763C" w:rsidR="00386664" w:rsidRPr="00736D93" w:rsidRDefault="00386664" w:rsidP="00386664">
      <w:pPr>
        <w:spacing w:after="240" w:line="276" w:lineRule="auto"/>
        <w:jc w:val="both"/>
        <w:rPr>
          <w:sz w:val="24"/>
          <w:szCs w:val="24"/>
        </w:rPr>
      </w:pPr>
      <w:r w:rsidRPr="00736D93">
        <w:rPr>
          <w:sz w:val="24"/>
          <w:szCs w:val="24"/>
        </w:rPr>
        <w:t xml:space="preserve">El área total del predio No. 5203339, es la que consta en la Cédula Catastral en </w:t>
      </w:r>
      <w:proofErr w:type="spellStart"/>
      <w:r w:rsidRPr="00736D93">
        <w:rPr>
          <w:sz w:val="24"/>
          <w:szCs w:val="24"/>
        </w:rPr>
        <w:t>Unipropiedad</w:t>
      </w:r>
      <w:proofErr w:type="spellEnd"/>
      <w:r w:rsidRPr="00736D93">
        <w:rPr>
          <w:sz w:val="24"/>
          <w:szCs w:val="24"/>
        </w:rPr>
        <w:t xml:space="preserve"> No. 806</w:t>
      </w:r>
      <w:r w:rsidR="00736D93">
        <w:rPr>
          <w:sz w:val="24"/>
          <w:szCs w:val="24"/>
        </w:rPr>
        <w:t>8</w:t>
      </w:r>
      <w:r w:rsidRPr="00736D93">
        <w:rPr>
          <w:sz w:val="24"/>
          <w:szCs w:val="24"/>
        </w:rPr>
        <w:t xml:space="preserve"> emitida por la Dirección Metropolitana de Catastro, el </w:t>
      </w:r>
      <w:r w:rsidR="00736D93">
        <w:rPr>
          <w:sz w:val="24"/>
          <w:szCs w:val="24"/>
        </w:rPr>
        <w:t>04</w:t>
      </w:r>
      <w:r w:rsidRPr="00736D93">
        <w:rPr>
          <w:sz w:val="24"/>
          <w:szCs w:val="24"/>
        </w:rPr>
        <w:t xml:space="preserve"> de </w:t>
      </w:r>
      <w:r w:rsidR="00736D93">
        <w:rPr>
          <w:sz w:val="24"/>
          <w:szCs w:val="24"/>
        </w:rPr>
        <w:t xml:space="preserve">junio </w:t>
      </w:r>
      <w:r w:rsidRPr="00736D93">
        <w:rPr>
          <w:sz w:val="24"/>
          <w:szCs w:val="24"/>
        </w:rPr>
        <w:t xml:space="preserve">de </w:t>
      </w:r>
      <w:r w:rsidR="00736D93">
        <w:rPr>
          <w:sz w:val="24"/>
          <w:szCs w:val="24"/>
        </w:rPr>
        <w:t>2019</w:t>
      </w:r>
      <w:r w:rsidRPr="00736D93">
        <w:rPr>
          <w:sz w:val="24"/>
          <w:szCs w:val="24"/>
        </w:rPr>
        <w:t xml:space="preserve">, inscrita en el Registro de la Propiedad del Distrito Metropolitano de Quito, el </w:t>
      </w:r>
      <w:r w:rsidR="00736D93">
        <w:rPr>
          <w:sz w:val="24"/>
          <w:szCs w:val="24"/>
        </w:rPr>
        <w:t>04</w:t>
      </w:r>
      <w:r w:rsidRPr="00736D93">
        <w:rPr>
          <w:sz w:val="24"/>
          <w:szCs w:val="24"/>
        </w:rPr>
        <w:t xml:space="preserve"> de </w:t>
      </w:r>
      <w:r w:rsidR="00736D93">
        <w:rPr>
          <w:sz w:val="24"/>
          <w:szCs w:val="24"/>
        </w:rPr>
        <w:t>noviembre de 2020.</w:t>
      </w:r>
    </w:p>
    <w:p w14:paraId="52257E8C" w14:textId="6B7BF05F" w:rsidR="000F20C4" w:rsidRPr="00A74F98" w:rsidRDefault="00386664" w:rsidP="00A74F98">
      <w:pPr>
        <w:spacing w:after="240" w:line="276" w:lineRule="auto"/>
        <w:jc w:val="both"/>
        <w:rPr>
          <w:sz w:val="24"/>
          <w:szCs w:val="24"/>
        </w:rPr>
      </w:pPr>
      <w:r w:rsidRPr="00E71050">
        <w:rPr>
          <w:sz w:val="24"/>
          <w:szCs w:val="24"/>
        </w:rPr>
        <w:t xml:space="preserve">Las </w:t>
      </w:r>
      <w:r w:rsidR="000F20C4" w:rsidRPr="00E71050">
        <w:rPr>
          <w:sz w:val="24"/>
          <w:szCs w:val="24"/>
        </w:rPr>
        <w:t>área</w:t>
      </w:r>
      <w:r w:rsidRPr="00E71050">
        <w:rPr>
          <w:sz w:val="24"/>
          <w:szCs w:val="24"/>
        </w:rPr>
        <w:t>s</w:t>
      </w:r>
      <w:r w:rsidR="000F20C4" w:rsidRPr="00E71050">
        <w:rPr>
          <w:sz w:val="24"/>
          <w:szCs w:val="24"/>
        </w:rPr>
        <w:t xml:space="preserve"> de</w:t>
      </w:r>
      <w:r w:rsidRPr="00E71050">
        <w:rPr>
          <w:sz w:val="24"/>
          <w:szCs w:val="24"/>
        </w:rPr>
        <w:t xml:space="preserve"> </w:t>
      </w:r>
      <w:r w:rsidR="000F20C4" w:rsidRPr="00E71050">
        <w:rPr>
          <w:sz w:val="24"/>
          <w:szCs w:val="24"/>
        </w:rPr>
        <w:t>l</w:t>
      </w:r>
      <w:r w:rsidRPr="00E71050">
        <w:rPr>
          <w:sz w:val="24"/>
          <w:szCs w:val="24"/>
        </w:rPr>
        <w:t>os</w:t>
      </w:r>
      <w:r w:rsidR="000F20C4" w:rsidRPr="00E71050">
        <w:rPr>
          <w:sz w:val="24"/>
          <w:szCs w:val="24"/>
        </w:rPr>
        <w:t xml:space="preserve"> predio</w:t>
      </w:r>
      <w:r w:rsidRPr="00E71050">
        <w:rPr>
          <w:sz w:val="24"/>
          <w:szCs w:val="24"/>
        </w:rPr>
        <w:t>s</w:t>
      </w:r>
      <w:r w:rsidR="000F20C4" w:rsidRPr="00E71050">
        <w:rPr>
          <w:sz w:val="24"/>
          <w:szCs w:val="24"/>
        </w:rPr>
        <w:t xml:space="preserve"> descrito</w:t>
      </w:r>
      <w:r w:rsidRPr="00E71050">
        <w:rPr>
          <w:sz w:val="24"/>
          <w:szCs w:val="24"/>
        </w:rPr>
        <w:t>s</w:t>
      </w:r>
      <w:r w:rsidR="000F20C4" w:rsidRPr="00E71050">
        <w:rPr>
          <w:sz w:val="24"/>
          <w:szCs w:val="24"/>
        </w:rPr>
        <w:t>, se encuentra</w:t>
      </w:r>
      <w:r w:rsidRPr="00E71050">
        <w:rPr>
          <w:sz w:val="24"/>
          <w:szCs w:val="24"/>
        </w:rPr>
        <w:t>n</w:t>
      </w:r>
      <w:r w:rsidR="000F20C4" w:rsidRPr="00E71050">
        <w:rPr>
          <w:sz w:val="24"/>
          <w:szCs w:val="24"/>
        </w:rPr>
        <w:t xml:space="preserve"> rectificada</w:t>
      </w:r>
      <w:r w:rsidRPr="00E71050">
        <w:rPr>
          <w:sz w:val="24"/>
          <w:szCs w:val="24"/>
        </w:rPr>
        <w:t>s</w:t>
      </w:r>
      <w:r w:rsidR="000F20C4" w:rsidRPr="00E71050">
        <w:rPr>
          <w:sz w:val="24"/>
          <w:szCs w:val="24"/>
        </w:rPr>
        <w:t xml:space="preserve"> y regularizada</w:t>
      </w:r>
      <w:r w:rsidRPr="00E71050">
        <w:rPr>
          <w:sz w:val="24"/>
          <w:szCs w:val="24"/>
        </w:rPr>
        <w:t>s</w:t>
      </w:r>
      <w:r w:rsidR="000F20C4" w:rsidRPr="00E71050">
        <w:rPr>
          <w:sz w:val="24"/>
          <w:szCs w:val="24"/>
        </w:rPr>
        <w:t xml:space="preserve"> de conformidad al Art. IV.1.164 del Código Municipal para el Distrito Metropolitano de Quito.</w:t>
      </w:r>
    </w:p>
    <w:p w14:paraId="6B75A63B" w14:textId="3D075958" w:rsidR="00386664" w:rsidRPr="00386664" w:rsidRDefault="00BF4419" w:rsidP="007C4AFB">
      <w:pPr>
        <w:spacing w:after="240" w:line="276" w:lineRule="auto"/>
        <w:jc w:val="both"/>
        <w:rPr>
          <w:sz w:val="24"/>
          <w:szCs w:val="24"/>
        </w:rPr>
      </w:pPr>
      <w:r w:rsidRPr="007C4AFB">
        <w:rPr>
          <w:b/>
          <w:sz w:val="24"/>
          <w:szCs w:val="24"/>
        </w:rPr>
        <w:t xml:space="preserve">Artículo 5.- Zonificación de </w:t>
      </w:r>
      <w:proofErr w:type="gramStart"/>
      <w:r w:rsidRPr="007C4AFB">
        <w:rPr>
          <w:b/>
          <w:sz w:val="24"/>
          <w:szCs w:val="24"/>
        </w:rPr>
        <w:t>lotes.-</w:t>
      </w:r>
      <w:proofErr w:type="gramEnd"/>
      <w:r w:rsidRPr="007C4AFB">
        <w:rPr>
          <w:sz w:val="24"/>
          <w:szCs w:val="24"/>
        </w:rPr>
        <w:t xml:space="preserve"> Los lotes fraccionados m</w:t>
      </w:r>
      <w:r w:rsidR="00386664" w:rsidRPr="007C4AFB">
        <w:rPr>
          <w:sz w:val="24"/>
          <w:szCs w:val="24"/>
        </w:rPr>
        <w:t xml:space="preserve">antendrán </w:t>
      </w:r>
      <w:r w:rsidRPr="007C4AFB">
        <w:rPr>
          <w:sz w:val="24"/>
          <w:szCs w:val="24"/>
        </w:rPr>
        <w:t xml:space="preserve">su zonificación </w:t>
      </w:r>
      <w:r w:rsidR="007C4AFB">
        <w:rPr>
          <w:sz w:val="24"/>
          <w:szCs w:val="24"/>
        </w:rPr>
        <w:t>en</w:t>
      </w:r>
      <w:r w:rsidRPr="007C4AFB">
        <w:rPr>
          <w:sz w:val="24"/>
          <w:szCs w:val="24"/>
        </w:rPr>
        <w:t xml:space="preserve">: </w:t>
      </w:r>
      <w:r w:rsidR="00386664" w:rsidRPr="00386664">
        <w:rPr>
          <w:sz w:val="24"/>
          <w:szCs w:val="24"/>
        </w:rPr>
        <w:t xml:space="preserve">D3(D203-80); Forma de Ocupación: (D) sobre línea de fábrica; Lote Mínimo: 200,00 m2; Número de Pisos: 3 pisos; COS planta baja 80%; COS total 240%; Uso de Suelo: (RU1) Residencial Urbano 1. </w:t>
      </w:r>
    </w:p>
    <w:p w14:paraId="5A0B7D86" w14:textId="4F925BC4"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 xml:space="preserve">Los lotes fraccionados mantendrán la clasificación vigente esto es (SU) Suelo </w:t>
      </w:r>
      <w:r w:rsidR="007D4481" w:rsidRPr="00FB0932">
        <w:rPr>
          <w:sz w:val="24"/>
          <w:szCs w:val="24"/>
        </w:rPr>
        <w:t>Urbano</w:t>
      </w:r>
      <w:r w:rsidRPr="00FB0932">
        <w:rPr>
          <w:sz w:val="24"/>
          <w:szCs w:val="24"/>
        </w:rPr>
        <w:t>.</w:t>
      </w:r>
    </w:p>
    <w:p w14:paraId="05DB5DD1" w14:textId="1DAF18CF" w:rsidR="00B17FDE" w:rsidRPr="00FB0932"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3C199B" w:rsidRPr="00FB0932">
        <w:rPr>
          <w:sz w:val="24"/>
          <w:szCs w:val="24"/>
        </w:rPr>
        <w:t xml:space="preserve">Comité </w:t>
      </w:r>
      <w:proofErr w:type="spellStart"/>
      <w:r w:rsidR="003C199B" w:rsidRPr="00FB0932">
        <w:rPr>
          <w:sz w:val="24"/>
          <w:szCs w:val="24"/>
        </w:rPr>
        <w:t>Pro</w:t>
      </w:r>
      <w:r w:rsidR="007C4AFB">
        <w:rPr>
          <w:sz w:val="24"/>
          <w:szCs w:val="24"/>
        </w:rPr>
        <w:t>m</w:t>
      </w:r>
      <w:r w:rsidR="003C199B" w:rsidRPr="00FB0932">
        <w:rPr>
          <w:sz w:val="24"/>
          <w:szCs w:val="24"/>
        </w:rPr>
        <w:t>ejoras</w:t>
      </w:r>
      <w:proofErr w:type="spellEnd"/>
      <w:r w:rsidR="003C199B" w:rsidRPr="00FB0932">
        <w:rPr>
          <w:sz w:val="24"/>
          <w:szCs w:val="24"/>
        </w:rPr>
        <w:t xml:space="preserve"> del Barrio “</w:t>
      </w:r>
      <w:r w:rsidR="007C4AFB">
        <w:rPr>
          <w:sz w:val="24"/>
          <w:szCs w:val="24"/>
        </w:rPr>
        <w:t xml:space="preserve">San Isidro </w:t>
      </w:r>
      <w:r w:rsidR="007D4481" w:rsidRPr="00FB0932">
        <w:rPr>
          <w:sz w:val="24"/>
          <w:szCs w:val="24"/>
        </w:rPr>
        <w:t>de Calderón</w:t>
      </w:r>
      <w:r w:rsidR="003C199B" w:rsidRPr="00FB0932">
        <w:rPr>
          <w:sz w:val="24"/>
          <w:szCs w:val="24"/>
        </w:rPr>
        <w:t xml:space="preserve">”, </w:t>
      </w:r>
      <w:r w:rsidRPr="00FB0932">
        <w:rPr>
          <w:sz w:val="24"/>
          <w:szCs w:val="24"/>
        </w:rPr>
        <w:t xml:space="preserve">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2C5FEB" w:rsidRPr="00FF1F65">
        <w:rPr>
          <w:sz w:val="24"/>
          <w:szCs w:val="24"/>
        </w:rPr>
        <w:t>1.443,3</w:t>
      </w:r>
      <w:r w:rsidR="003D2313">
        <w:rPr>
          <w:sz w:val="24"/>
          <w:szCs w:val="24"/>
        </w:rPr>
        <w:t>8</w:t>
      </w:r>
      <w:r w:rsidRPr="00FB0932">
        <w:rPr>
          <w:sz w:val="24"/>
          <w:szCs w:val="24"/>
        </w:rPr>
        <w:t>m</w:t>
      </w:r>
      <w:r w:rsidRPr="00FB0932">
        <w:rPr>
          <w:sz w:val="24"/>
          <w:szCs w:val="24"/>
          <w:vertAlign w:val="superscript"/>
        </w:rPr>
        <w:t xml:space="preserve">2  </w:t>
      </w:r>
      <w:r w:rsidRPr="00FB0932">
        <w:rPr>
          <w:sz w:val="24"/>
          <w:szCs w:val="24"/>
        </w:rPr>
        <w:t>del área útil de los lotes, de conformidad al siguiente detalle</w:t>
      </w:r>
      <w:r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547E5B" w:rsidRPr="00FB0932" w14:paraId="72FF341D" w14:textId="77777777" w:rsidTr="00E33F9A">
        <w:trPr>
          <w:trHeight w:val="295"/>
        </w:trPr>
        <w:tc>
          <w:tcPr>
            <w:tcW w:w="5000" w:type="pct"/>
            <w:gridSpan w:val="6"/>
            <w:shd w:val="clear" w:color="auto" w:fill="auto"/>
            <w:vAlign w:val="center"/>
          </w:tcPr>
          <w:p w14:paraId="4BAAD020" w14:textId="77777777" w:rsidR="00547E5B" w:rsidRPr="001D13B4" w:rsidRDefault="00547E5B" w:rsidP="00FB0932">
            <w:pPr>
              <w:spacing w:line="276" w:lineRule="auto"/>
              <w:jc w:val="center"/>
              <w:rPr>
                <w:b/>
                <w:sz w:val="24"/>
                <w:szCs w:val="24"/>
              </w:rPr>
            </w:pPr>
            <w:r w:rsidRPr="001D13B4">
              <w:rPr>
                <w:b/>
                <w:sz w:val="24"/>
                <w:szCs w:val="24"/>
              </w:rPr>
              <w:t>ÁREA VERDE</w:t>
            </w:r>
          </w:p>
        </w:tc>
      </w:tr>
      <w:tr w:rsidR="00547E5B" w:rsidRPr="00FB0932" w14:paraId="37453A4D" w14:textId="77777777" w:rsidTr="00A85712">
        <w:trPr>
          <w:trHeight w:val="268"/>
        </w:trPr>
        <w:tc>
          <w:tcPr>
            <w:tcW w:w="806" w:type="pct"/>
            <w:vMerge w:val="restart"/>
            <w:tcBorders>
              <w:top w:val="single" w:sz="4" w:space="0" w:color="auto"/>
            </w:tcBorders>
            <w:shd w:val="clear" w:color="auto" w:fill="auto"/>
            <w:vAlign w:val="center"/>
          </w:tcPr>
          <w:p w14:paraId="437F2A3B" w14:textId="1970823F" w:rsidR="00547E5B" w:rsidRPr="00FB0932" w:rsidRDefault="007D422E" w:rsidP="00FB0932">
            <w:pPr>
              <w:spacing w:line="276" w:lineRule="auto"/>
              <w:rPr>
                <w:sz w:val="24"/>
                <w:szCs w:val="24"/>
              </w:rPr>
            </w:pPr>
            <w:r w:rsidRPr="00FB0932">
              <w:rPr>
                <w:b/>
                <w:sz w:val="24"/>
                <w:szCs w:val="24"/>
              </w:rPr>
              <w:t>Área Verde</w:t>
            </w:r>
          </w:p>
        </w:tc>
        <w:tc>
          <w:tcPr>
            <w:tcW w:w="1533" w:type="pct"/>
            <w:gridSpan w:val="2"/>
            <w:shd w:val="clear" w:color="auto" w:fill="auto"/>
          </w:tcPr>
          <w:p w14:paraId="0083F048" w14:textId="77777777" w:rsidR="00547E5B" w:rsidRPr="001D13B4" w:rsidRDefault="00547E5B" w:rsidP="00FB0932">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60A59B46" w14:textId="77777777" w:rsidR="00547E5B" w:rsidRPr="001D13B4" w:rsidRDefault="00547E5B" w:rsidP="00FB0932">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4C42B135" w14:textId="77777777" w:rsidR="00547E5B" w:rsidRPr="001D13B4" w:rsidRDefault="00547E5B" w:rsidP="00FB0932">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35952F52" w14:textId="77777777" w:rsidR="00547E5B" w:rsidRPr="00FB0932" w:rsidRDefault="00547E5B" w:rsidP="00FB0932">
            <w:pPr>
              <w:spacing w:line="276" w:lineRule="auto"/>
              <w:jc w:val="center"/>
              <w:rPr>
                <w:sz w:val="24"/>
                <w:szCs w:val="24"/>
              </w:rPr>
            </w:pPr>
            <w:r w:rsidRPr="00FB0932">
              <w:rPr>
                <w:b/>
                <w:sz w:val="24"/>
                <w:szCs w:val="24"/>
              </w:rPr>
              <w:t>SUPERFICIE</w:t>
            </w:r>
          </w:p>
        </w:tc>
      </w:tr>
      <w:tr w:rsidR="00547E5B" w:rsidRPr="00FB0932" w14:paraId="586CE905" w14:textId="77777777" w:rsidTr="00A85712">
        <w:trPr>
          <w:trHeight w:val="222"/>
        </w:trPr>
        <w:tc>
          <w:tcPr>
            <w:tcW w:w="806" w:type="pct"/>
            <w:vMerge/>
            <w:shd w:val="clear" w:color="auto" w:fill="auto"/>
          </w:tcPr>
          <w:p w14:paraId="75DA69D2" w14:textId="77777777" w:rsidR="00547E5B" w:rsidRPr="00FB0932" w:rsidRDefault="00547E5B" w:rsidP="00FB0932">
            <w:pPr>
              <w:spacing w:line="276" w:lineRule="auto"/>
              <w:rPr>
                <w:sz w:val="24"/>
                <w:szCs w:val="24"/>
              </w:rPr>
            </w:pPr>
          </w:p>
        </w:tc>
        <w:tc>
          <w:tcPr>
            <w:tcW w:w="565" w:type="pct"/>
            <w:shd w:val="clear" w:color="auto" w:fill="auto"/>
          </w:tcPr>
          <w:p w14:paraId="571A92ED" w14:textId="77777777" w:rsidR="00547E5B" w:rsidRPr="001D13B4" w:rsidRDefault="00547E5B" w:rsidP="00FB0932">
            <w:pPr>
              <w:spacing w:line="276" w:lineRule="auto"/>
              <w:rPr>
                <w:b/>
                <w:sz w:val="24"/>
                <w:szCs w:val="24"/>
              </w:rPr>
            </w:pPr>
            <w:r w:rsidRPr="001D13B4">
              <w:rPr>
                <w:b/>
                <w:sz w:val="24"/>
                <w:szCs w:val="24"/>
              </w:rPr>
              <w:t>Norte:</w:t>
            </w:r>
          </w:p>
        </w:tc>
        <w:tc>
          <w:tcPr>
            <w:tcW w:w="968" w:type="pct"/>
            <w:shd w:val="clear" w:color="auto" w:fill="auto"/>
          </w:tcPr>
          <w:p w14:paraId="5B21A4BE" w14:textId="77777777" w:rsidR="00A66954" w:rsidRPr="002C5FEB" w:rsidRDefault="00A66954" w:rsidP="00A6695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Pasaje E10N </w:t>
            </w:r>
          </w:p>
          <w:p w14:paraId="31836ED5" w14:textId="34B9E5AA" w:rsidR="00547E5B" w:rsidRPr="001D13B4" w:rsidRDefault="00A66954" w:rsidP="00A66954">
            <w:pPr>
              <w:spacing w:line="276" w:lineRule="auto"/>
              <w:rPr>
                <w:sz w:val="24"/>
                <w:szCs w:val="24"/>
              </w:rPr>
            </w:pPr>
            <w:r w:rsidRPr="002C5FEB">
              <w:rPr>
                <w:rFonts w:eastAsiaTheme="minorHAnsi"/>
                <w:color w:val="000000"/>
                <w:sz w:val="24"/>
                <w:szCs w:val="24"/>
                <w:lang w:val="es-EC" w:eastAsia="en-US"/>
              </w:rPr>
              <w:t>Lote 5</w:t>
            </w:r>
          </w:p>
        </w:tc>
        <w:tc>
          <w:tcPr>
            <w:tcW w:w="806" w:type="pct"/>
            <w:tcBorders>
              <w:right w:val="single" w:sz="4" w:space="0" w:color="auto"/>
            </w:tcBorders>
            <w:shd w:val="clear" w:color="auto" w:fill="auto"/>
            <w:vAlign w:val="center"/>
          </w:tcPr>
          <w:p w14:paraId="33D2CD1A" w14:textId="77777777" w:rsidR="00A66954" w:rsidRPr="002C5FEB" w:rsidRDefault="00A66954" w:rsidP="00A6695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14.19 m </w:t>
            </w:r>
          </w:p>
          <w:p w14:paraId="1A3FA7F7" w14:textId="23F3FD19" w:rsidR="00547E5B" w:rsidRPr="001D13B4" w:rsidRDefault="00A85712" w:rsidP="00A85712">
            <w:pPr>
              <w:spacing w:line="276" w:lineRule="auto"/>
              <w:rPr>
                <w:sz w:val="24"/>
                <w:szCs w:val="24"/>
              </w:rPr>
            </w:pPr>
            <w:r>
              <w:rPr>
                <w:rFonts w:eastAsiaTheme="minorHAnsi"/>
                <w:color w:val="000000"/>
                <w:sz w:val="24"/>
                <w:szCs w:val="24"/>
                <w:lang w:val="es-EC" w:eastAsia="en-US"/>
              </w:rPr>
              <w:t xml:space="preserve">  </w:t>
            </w:r>
            <w:r w:rsidR="00A66954" w:rsidRPr="002C5FEB">
              <w:rPr>
                <w:rFonts w:eastAsiaTheme="minorHAnsi"/>
                <w:color w:val="000000"/>
                <w:sz w:val="24"/>
                <w:szCs w:val="24"/>
                <w:lang w:val="es-EC" w:eastAsia="en-US"/>
              </w:rPr>
              <w:t>0.26 m</w:t>
            </w:r>
          </w:p>
        </w:tc>
        <w:tc>
          <w:tcPr>
            <w:tcW w:w="807" w:type="pct"/>
            <w:tcBorders>
              <w:left w:val="single" w:sz="4" w:space="0" w:color="auto"/>
            </w:tcBorders>
            <w:shd w:val="clear" w:color="auto" w:fill="auto"/>
            <w:vAlign w:val="center"/>
          </w:tcPr>
          <w:p w14:paraId="171B6641" w14:textId="51DB86CD" w:rsidR="00547E5B" w:rsidRPr="001D13B4" w:rsidRDefault="00A66954" w:rsidP="00A85712">
            <w:pPr>
              <w:spacing w:line="276" w:lineRule="auto"/>
              <w:rPr>
                <w:sz w:val="24"/>
                <w:szCs w:val="24"/>
              </w:rPr>
            </w:pPr>
            <w:r w:rsidRPr="002C5FEB">
              <w:rPr>
                <w:rFonts w:eastAsiaTheme="minorHAnsi"/>
                <w:color w:val="000000"/>
                <w:sz w:val="24"/>
                <w:szCs w:val="24"/>
                <w:lang w:val="es-EC" w:eastAsia="en-US"/>
              </w:rPr>
              <w:t>14.45 m en</w:t>
            </w:r>
            <w:r w:rsidR="00A85712">
              <w:rPr>
                <w:rFonts w:eastAsiaTheme="minorHAnsi"/>
                <w:color w:val="000000"/>
                <w:sz w:val="24"/>
                <w:szCs w:val="24"/>
                <w:lang w:val="es-EC" w:eastAsia="en-US"/>
              </w:rPr>
              <w:t xml:space="preserve"> L</w:t>
            </w:r>
            <w:r w:rsidRPr="002C5FEB">
              <w:rPr>
                <w:rFonts w:eastAsiaTheme="minorHAnsi"/>
                <w:color w:val="000000"/>
                <w:sz w:val="24"/>
                <w:szCs w:val="24"/>
                <w:lang w:val="es-EC" w:eastAsia="en-US"/>
              </w:rPr>
              <w:t>.D.</w:t>
            </w:r>
          </w:p>
        </w:tc>
        <w:tc>
          <w:tcPr>
            <w:tcW w:w="1048" w:type="pct"/>
            <w:vMerge w:val="restart"/>
            <w:tcBorders>
              <w:top w:val="single" w:sz="4" w:space="0" w:color="auto"/>
            </w:tcBorders>
            <w:shd w:val="clear" w:color="auto" w:fill="auto"/>
            <w:vAlign w:val="center"/>
          </w:tcPr>
          <w:p w14:paraId="41403CE5" w14:textId="7336E6C2" w:rsidR="00547E5B" w:rsidRPr="00FB0932" w:rsidRDefault="00816E10" w:rsidP="003D2313">
            <w:pPr>
              <w:spacing w:line="276" w:lineRule="auto"/>
              <w:jc w:val="center"/>
              <w:rPr>
                <w:sz w:val="24"/>
                <w:szCs w:val="24"/>
              </w:rPr>
            </w:pPr>
            <w:r w:rsidRPr="00FB0932">
              <w:rPr>
                <w:rFonts w:eastAsiaTheme="minorHAnsi"/>
                <w:color w:val="000000"/>
                <w:sz w:val="24"/>
                <w:szCs w:val="24"/>
                <w:lang w:val="es-EC" w:eastAsia="en-US"/>
              </w:rPr>
              <w:t>1.</w:t>
            </w:r>
            <w:r w:rsidR="001D13B4">
              <w:rPr>
                <w:rFonts w:eastAsiaTheme="minorHAnsi"/>
                <w:color w:val="000000"/>
                <w:sz w:val="24"/>
                <w:szCs w:val="24"/>
                <w:lang w:val="es-EC" w:eastAsia="en-US"/>
              </w:rPr>
              <w:t>443</w:t>
            </w:r>
            <w:r w:rsidRPr="00FB0932">
              <w:rPr>
                <w:rFonts w:eastAsiaTheme="minorHAnsi"/>
                <w:color w:val="000000"/>
                <w:sz w:val="24"/>
                <w:szCs w:val="24"/>
                <w:lang w:val="es-EC" w:eastAsia="en-US"/>
              </w:rPr>
              <w:t>,</w:t>
            </w:r>
            <w:r w:rsidR="001D13B4">
              <w:rPr>
                <w:rFonts w:eastAsiaTheme="minorHAnsi"/>
                <w:color w:val="000000"/>
                <w:sz w:val="24"/>
                <w:szCs w:val="24"/>
                <w:lang w:val="es-EC" w:eastAsia="en-US"/>
              </w:rPr>
              <w:t>3</w:t>
            </w:r>
            <w:r w:rsidR="003D2313">
              <w:rPr>
                <w:rFonts w:eastAsiaTheme="minorHAnsi"/>
                <w:color w:val="000000"/>
                <w:sz w:val="24"/>
                <w:szCs w:val="24"/>
                <w:lang w:val="es-EC" w:eastAsia="en-US"/>
              </w:rPr>
              <w:t>8</w:t>
            </w:r>
            <w:r w:rsidRPr="00FB0932">
              <w:rPr>
                <w:rFonts w:eastAsiaTheme="minorHAnsi"/>
                <w:color w:val="000000"/>
                <w:sz w:val="24"/>
                <w:szCs w:val="24"/>
                <w:lang w:val="es-EC" w:eastAsia="en-US"/>
              </w:rPr>
              <w:t xml:space="preserve"> m2 </w:t>
            </w:r>
          </w:p>
        </w:tc>
      </w:tr>
      <w:tr w:rsidR="00547E5B" w:rsidRPr="00FB0932" w14:paraId="32AB7850" w14:textId="77777777" w:rsidTr="00A85712">
        <w:trPr>
          <w:trHeight w:val="73"/>
        </w:trPr>
        <w:tc>
          <w:tcPr>
            <w:tcW w:w="806" w:type="pct"/>
            <w:vMerge/>
            <w:shd w:val="clear" w:color="auto" w:fill="auto"/>
          </w:tcPr>
          <w:p w14:paraId="653437C3" w14:textId="77777777" w:rsidR="00547E5B" w:rsidRPr="00FB0932" w:rsidRDefault="00547E5B" w:rsidP="00FB0932">
            <w:pPr>
              <w:spacing w:line="276" w:lineRule="auto"/>
              <w:rPr>
                <w:sz w:val="24"/>
                <w:szCs w:val="24"/>
              </w:rPr>
            </w:pPr>
          </w:p>
        </w:tc>
        <w:tc>
          <w:tcPr>
            <w:tcW w:w="565" w:type="pct"/>
            <w:shd w:val="clear" w:color="auto" w:fill="auto"/>
          </w:tcPr>
          <w:p w14:paraId="1F4C109A" w14:textId="77777777" w:rsidR="00547E5B" w:rsidRPr="001D13B4" w:rsidRDefault="00547E5B" w:rsidP="00FB0932">
            <w:pPr>
              <w:spacing w:line="276" w:lineRule="auto"/>
              <w:rPr>
                <w:b/>
                <w:sz w:val="24"/>
                <w:szCs w:val="24"/>
              </w:rPr>
            </w:pPr>
            <w:r w:rsidRPr="001D13B4">
              <w:rPr>
                <w:b/>
                <w:sz w:val="24"/>
                <w:szCs w:val="24"/>
              </w:rPr>
              <w:t>Sur:</w:t>
            </w:r>
          </w:p>
        </w:tc>
        <w:tc>
          <w:tcPr>
            <w:tcW w:w="968" w:type="pct"/>
            <w:shd w:val="clear" w:color="auto" w:fill="auto"/>
          </w:tcPr>
          <w:p w14:paraId="226ADE0D" w14:textId="77777777" w:rsidR="00A66954" w:rsidRPr="002C5FEB" w:rsidRDefault="00A66954" w:rsidP="00A6695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15 </w:t>
            </w:r>
          </w:p>
          <w:p w14:paraId="78D5576F" w14:textId="77777777" w:rsidR="00A66954" w:rsidRPr="002C5FEB" w:rsidRDefault="00A66954" w:rsidP="00A6695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18 </w:t>
            </w:r>
          </w:p>
          <w:p w14:paraId="2B883ECD" w14:textId="77777777" w:rsidR="00A66954" w:rsidRPr="002C5FEB" w:rsidRDefault="00A66954" w:rsidP="00A6695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Pasaje N13G </w:t>
            </w:r>
          </w:p>
          <w:p w14:paraId="4425B8D7" w14:textId="24DE1385" w:rsidR="00547E5B" w:rsidRPr="001D13B4" w:rsidRDefault="00A66954" w:rsidP="00A66954">
            <w:pPr>
              <w:spacing w:line="276" w:lineRule="auto"/>
              <w:rPr>
                <w:sz w:val="24"/>
                <w:szCs w:val="24"/>
              </w:rPr>
            </w:pPr>
            <w:r w:rsidRPr="002C5FEB">
              <w:rPr>
                <w:rFonts w:eastAsiaTheme="minorHAnsi"/>
                <w:color w:val="000000"/>
                <w:sz w:val="24"/>
                <w:szCs w:val="24"/>
                <w:lang w:val="es-EC" w:eastAsia="en-US"/>
              </w:rPr>
              <w:t>Lote 21</w:t>
            </w:r>
          </w:p>
        </w:tc>
        <w:tc>
          <w:tcPr>
            <w:tcW w:w="806" w:type="pct"/>
            <w:tcBorders>
              <w:right w:val="single" w:sz="4" w:space="0" w:color="auto"/>
            </w:tcBorders>
            <w:shd w:val="clear" w:color="auto" w:fill="auto"/>
            <w:vAlign w:val="center"/>
          </w:tcPr>
          <w:p w14:paraId="6350728F"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17.30 m </w:t>
            </w:r>
          </w:p>
          <w:p w14:paraId="2047BD7B"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28.44 m </w:t>
            </w:r>
          </w:p>
          <w:p w14:paraId="7630E239" w14:textId="62416E83" w:rsidR="00547E5B" w:rsidRPr="00A85712" w:rsidRDefault="001D13B4" w:rsidP="00A85712">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9.48 m 16.78 m</w:t>
            </w:r>
          </w:p>
        </w:tc>
        <w:tc>
          <w:tcPr>
            <w:tcW w:w="807" w:type="pct"/>
            <w:tcBorders>
              <w:left w:val="single" w:sz="4" w:space="0" w:color="auto"/>
            </w:tcBorders>
            <w:shd w:val="clear" w:color="auto" w:fill="auto"/>
            <w:vAlign w:val="center"/>
          </w:tcPr>
          <w:p w14:paraId="4C63A7E8" w14:textId="22E03039" w:rsidR="00547E5B" w:rsidRPr="001D13B4" w:rsidRDefault="001D13B4" w:rsidP="00FB0932">
            <w:pPr>
              <w:spacing w:line="276" w:lineRule="auto"/>
              <w:rPr>
                <w:sz w:val="24"/>
                <w:szCs w:val="24"/>
              </w:rPr>
            </w:pPr>
            <w:r w:rsidRPr="002C5FEB">
              <w:rPr>
                <w:rFonts w:eastAsiaTheme="minorHAnsi"/>
                <w:color w:val="000000"/>
                <w:sz w:val="24"/>
                <w:szCs w:val="24"/>
                <w:lang w:val="es-EC" w:eastAsia="en-US"/>
              </w:rPr>
              <w:t>72.00 m en L.D.</w:t>
            </w:r>
          </w:p>
        </w:tc>
        <w:tc>
          <w:tcPr>
            <w:tcW w:w="1048" w:type="pct"/>
            <w:vMerge/>
            <w:shd w:val="clear" w:color="auto" w:fill="auto"/>
          </w:tcPr>
          <w:p w14:paraId="262D4B38" w14:textId="77777777" w:rsidR="00547E5B" w:rsidRPr="00FB0932" w:rsidRDefault="00547E5B" w:rsidP="00FB0932">
            <w:pPr>
              <w:spacing w:line="276" w:lineRule="auto"/>
              <w:jc w:val="right"/>
              <w:rPr>
                <w:sz w:val="24"/>
                <w:szCs w:val="24"/>
              </w:rPr>
            </w:pPr>
          </w:p>
        </w:tc>
      </w:tr>
      <w:tr w:rsidR="00547E5B" w:rsidRPr="00FB0932" w14:paraId="7D2AEB20" w14:textId="77777777" w:rsidTr="00A85712">
        <w:trPr>
          <w:trHeight w:val="178"/>
        </w:trPr>
        <w:tc>
          <w:tcPr>
            <w:tcW w:w="806" w:type="pct"/>
            <w:vMerge/>
            <w:shd w:val="clear" w:color="auto" w:fill="auto"/>
          </w:tcPr>
          <w:p w14:paraId="77336E26" w14:textId="77777777" w:rsidR="00547E5B" w:rsidRPr="00FB0932" w:rsidRDefault="00547E5B" w:rsidP="00FB0932">
            <w:pPr>
              <w:spacing w:line="276" w:lineRule="auto"/>
              <w:rPr>
                <w:sz w:val="24"/>
                <w:szCs w:val="24"/>
              </w:rPr>
            </w:pPr>
          </w:p>
        </w:tc>
        <w:tc>
          <w:tcPr>
            <w:tcW w:w="565" w:type="pct"/>
            <w:shd w:val="clear" w:color="auto" w:fill="auto"/>
            <w:vAlign w:val="center"/>
          </w:tcPr>
          <w:p w14:paraId="0B15A6E3" w14:textId="77777777" w:rsidR="00547E5B" w:rsidRPr="001D13B4" w:rsidRDefault="00547E5B" w:rsidP="00FB0932">
            <w:pPr>
              <w:spacing w:line="276" w:lineRule="auto"/>
              <w:rPr>
                <w:b/>
                <w:sz w:val="24"/>
                <w:szCs w:val="24"/>
              </w:rPr>
            </w:pPr>
            <w:r w:rsidRPr="001D13B4">
              <w:rPr>
                <w:b/>
                <w:sz w:val="24"/>
                <w:szCs w:val="24"/>
              </w:rPr>
              <w:t>Este:</w:t>
            </w:r>
          </w:p>
        </w:tc>
        <w:tc>
          <w:tcPr>
            <w:tcW w:w="968" w:type="pct"/>
            <w:shd w:val="clear" w:color="auto" w:fill="auto"/>
          </w:tcPr>
          <w:p w14:paraId="58B00856" w14:textId="24E0A9A2" w:rsidR="00547E5B" w:rsidRPr="001D13B4" w:rsidRDefault="001D13B4" w:rsidP="00FB0932">
            <w:pPr>
              <w:spacing w:line="276" w:lineRule="auto"/>
              <w:rPr>
                <w:color w:val="000000"/>
                <w:sz w:val="24"/>
                <w:szCs w:val="24"/>
              </w:rPr>
            </w:pPr>
            <w:r w:rsidRPr="002C5FEB">
              <w:rPr>
                <w:rFonts w:eastAsiaTheme="minorHAnsi"/>
                <w:color w:val="000000"/>
                <w:sz w:val="24"/>
                <w:szCs w:val="24"/>
                <w:lang w:val="es-EC" w:eastAsia="en-US"/>
              </w:rPr>
              <w:t>Propiedad Particular</w:t>
            </w:r>
          </w:p>
        </w:tc>
        <w:tc>
          <w:tcPr>
            <w:tcW w:w="806" w:type="pct"/>
            <w:tcBorders>
              <w:right w:val="single" w:sz="4" w:space="0" w:color="auto"/>
            </w:tcBorders>
            <w:shd w:val="clear" w:color="auto" w:fill="auto"/>
            <w:vAlign w:val="center"/>
          </w:tcPr>
          <w:p w14:paraId="743CBC15" w14:textId="77777777" w:rsidR="00547E5B" w:rsidRPr="001D13B4" w:rsidRDefault="00547E5B" w:rsidP="00FB0932">
            <w:pPr>
              <w:spacing w:line="276" w:lineRule="auto"/>
              <w:jc w:val="center"/>
              <w:rPr>
                <w:sz w:val="24"/>
                <w:szCs w:val="24"/>
              </w:rPr>
            </w:pPr>
          </w:p>
        </w:tc>
        <w:tc>
          <w:tcPr>
            <w:tcW w:w="807" w:type="pct"/>
            <w:tcBorders>
              <w:left w:val="single" w:sz="4" w:space="0" w:color="auto"/>
            </w:tcBorders>
            <w:shd w:val="clear" w:color="auto" w:fill="auto"/>
            <w:vAlign w:val="center"/>
          </w:tcPr>
          <w:p w14:paraId="59086099" w14:textId="4022E3CA" w:rsidR="00547E5B" w:rsidRPr="001D13B4" w:rsidRDefault="001D13B4" w:rsidP="00FB0932">
            <w:pPr>
              <w:spacing w:line="276" w:lineRule="auto"/>
              <w:rPr>
                <w:sz w:val="24"/>
                <w:szCs w:val="24"/>
              </w:rPr>
            </w:pPr>
            <w:r w:rsidRPr="002C5FEB">
              <w:rPr>
                <w:rFonts w:eastAsiaTheme="minorHAnsi"/>
                <w:color w:val="000000"/>
                <w:sz w:val="24"/>
                <w:szCs w:val="24"/>
                <w:lang w:val="es-EC" w:eastAsia="en-US"/>
              </w:rPr>
              <w:t>76.67 m</w:t>
            </w:r>
          </w:p>
        </w:tc>
        <w:tc>
          <w:tcPr>
            <w:tcW w:w="1048" w:type="pct"/>
            <w:vMerge/>
            <w:shd w:val="clear" w:color="auto" w:fill="auto"/>
          </w:tcPr>
          <w:p w14:paraId="316EA7DF" w14:textId="77777777" w:rsidR="00547E5B" w:rsidRPr="00FB0932" w:rsidRDefault="00547E5B" w:rsidP="00FB0932">
            <w:pPr>
              <w:spacing w:line="276" w:lineRule="auto"/>
              <w:jc w:val="right"/>
              <w:rPr>
                <w:sz w:val="24"/>
                <w:szCs w:val="24"/>
              </w:rPr>
            </w:pPr>
          </w:p>
        </w:tc>
      </w:tr>
      <w:tr w:rsidR="00547E5B" w:rsidRPr="00FB0932" w14:paraId="68328030" w14:textId="77777777" w:rsidTr="00A85712">
        <w:trPr>
          <w:trHeight w:val="73"/>
        </w:trPr>
        <w:tc>
          <w:tcPr>
            <w:tcW w:w="806" w:type="pct"/>
            <w:vMerge/>
            <w:tcBorders>
              <w:bottom w:val="single" w:sz="4" w:space="0" w:color="auto"/>
            </w:tcBorders>
            <w:shd w:val="clear" w:color="auto" w:fill="auto"/>
          </w:tcPr>
          <w:p w14:paraId="728B3803" w14:textId="77777777" w:rsidR="00547E5B" w:rsidRPr="00FB0932" w:rsidRDefault="00547E5B" w:rsidP="00FB0932">
            <w:pPr>
              <w:spacing w:line="276" w:lineRule="auto"/>
              <w:rPr>
                <w:sz w:val="24"/>
                <w:szCs w:val="24"/>
              </w:rPr>
            </w:pPr>
          </w:p>
        </w:tc>
        <w:tc>
          <w:tcPr>
            <w:tcW w:w="565" w:type="pct"/>
            <w:shd w:val="clear" w:color="auto" w:fill="auto"/>
          </w:tcPr>
          <w:p w14:paraId="61F0C200" w14:textId="77777777" w:rsidR="00547E5B" w:rsidRPr="001D13B4" w:rsidRDefault="00547E5B" w:rsidP="00FB0932">
            <w:pPr>
              <w:spacing w:line="276" w:lineRule="auto"/>
              <w:rPr>
                <w:b/>
                <w:sz w:val="24"/>
                <w:szCs w:val="24"/>
              </w:rPr>
            </w:pPr>
            <w:r w:rsidRPr="001D13B4">
              <w:rPr>
                <w:b/>
                <w:sz w:val="24"/>
                <w:szCs w:val="24"/>
              </w:rPr>
              <w:t>Oeste:</w:t>
            </w:r>
          </w:p>
        </w:tc>
        <w:tc>
          <w:tcPr>
            <w:tcW w:w="968" w:type="pct"/>
            <w:shd w:val="clear" w:color="auto" w:fill="auto"/>
          </w:tcPr>
          <w:p w14:paraId="2907206B"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7 </w:t>
            </w:r>
          </w:p>
          <w:p w14:paraId="11736B56"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10 </w:t>
            </w:r>
          </w:p>
          <w:p w14:paraId="13E97A24"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Pasaje E10M </w:t>
            </w:r>
          </w:p>
          <w:p w14:paraId="7EFF7DE2"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11 </w:t>
            </w:r>
          </w:p>
          <w:p w14:paraId="2A8D39E5"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lastRenderedPageBreak/>
              <w:t xml:space="preserve">Lote 12 </w:t>
            </w:r>
          </w:p>
          <w:p w14:paraId="06F2C429"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13 </w:t>
            </w:r>
          </w:p>
          <w:p w14:paraId="2A5C14B0"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14 </w:t>
            </w:r>
          </w:p>
          <w:p w14:paraId="6C4F5E07" w14:textId="29927BD5" w:rsidR="00547E5B" w:rsidRPr="001D13B4" w:rsidRDefault="001D13B4" w:rsidP="001D13B4">
            <w:pPr>
              <w:spacing w:line="276" w:lineRule="auto"/>
              <w:rPr>
                <w:sz w:val="24"/>
                <w:szCs w:val="24"/>
              </w:rPr>
            </w:pPr>
            <w:r w:rsidRPr="002C5FEB">
              <w:rPr>
                <w:rFonts w:eastAsiaTheme="minorHAnsi"/>
                <w:color w:val="000000"/>
                <w:sz w:val="24"/>
                <w:szCs w:val="24"/>
                <w:lang w:val="es-EC" w:eastAsia="en-US"/>
              </w:rPr>
              <w:t>Pasaje E10L</w:t>
            </w:r>
          </w:p>
        </w:tc>
        <w:tc>
          <w:tcPr>
            <w:tcW w:w="806" w:type="pct"/>
            <w:tcBorders>
              <w:right w:val="single" w:sz="4" w:space="0" w:color="auto"/>
            </w:tcBorders>
            <w:shd w:val="clear" w:color="auto" w:fill="auto"/>
            <w:vAlign w:val="center"/>
          </w:tcPr>
          <w:p w14:paraId="215A79AA"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lastRenderedPageBreak/>
              <w:t xml:space="preserve">19.63 m </w:t>
            </w:r>
          </w:p>
          <w:p w14:paraId="26FA2CF3"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23.45 m </w:t>
            </w:r>
          </w:p>
          <w:p w14:paraId="669B36F9"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7.53 m </w:t>
            </w:r>
          </w:p>
          <w:p w14:paraId="6B98E058"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34.50 m </w:t>
            </w:r>
          </w:p>
          <w:p w14:paraId="62E393C4"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lastRenderedPageBreak/>
              <w:t xml:space="preserve">17.31 m </w:t>
            </w:r>
          </w:p>
          <w:p w14:paraId="4FA8B386"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2.47 m </w:t>
            </w:r>
          </w:p>
          <w:p w14:paraId="15FBF60C"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16.64 m </w:t>
            </w:r>
          </w:p>
          <w:p w14:paraId="3BD71F31" w14:textId="6DCF5404" w:rsidR="00547E5B" w:rsidRPr="001D13B4" w:rsidRDefault="00A85712" w:rsidP="00A85712">
            <w:pPr>
              <w:spacing w:line="276" w:lineRule="auto"/>
              <w:rPr>
                <w:sz w:val="24"/>
                <w:szCs w:val="24"/>
              </w:rPr>
            </w:pPr>
            <w:r>
              <w:rPr>
                <w:rFonts w:eastAsiaTheme="minorHAnsi"/>
                <w:color w:val="000000"/>
                <w:sz w:val="24"/>
                <w:szCs w:val="24"/>
                <w:lang w:val="es-EC" w:eastAsia="en-US"/>
              </w:rPr>
              <w:t xml:space="preserve">  </w:t>
            </w:r>
            <w:r w:rsidR="001D13B4" w:rsidRPr="002C5FEB">
              <w:rPr>
                <w:rFonts w:eastAsiaTheme="minorHAnsi"/>
                <w:color w:val="000000"/>
                <w:sz w:val="24"/>
                <w:szCs w:val="24"/>
                <w:lang w:val="es-EC" w:eastAsia="en-US"/>
              </w:rPr>
              <w:t>6.08 m</w:t>
            </w:r>
          </w:p>
        </w:tc>
        <w:tc>
          <w:tcPr>
            <w:tcW w:w="807" w:type="pct"/>
            <w:tcBorders>
              <w:left w:val="single" w:sz="4" w:space="0" w:color="auto"/>
              <w:bottom w:val="single" w:sz="4" w:space="0" w:color="auto"/>
            </w:tcBorders>
            <w:shd w:val="clear" w:color="auto" w:fill="auto"/>
            <w:vAlign w:val="center"/>
          </w:tcPr>
          <w:p w14:paraId="46D45CF6" w14:textId="70945350" w:rsidR="00547E5B" w:rsidRPr="001D13B4" w:rsidRDefault="001D13B4" w:rsidP="00FB0932">
            <w:pPr>
              <w:spacing w:line="276" w:lineRule="auto"/>
              <w:rPr>
                <w:sz w:val="24"/>
                <w:szCs w:val="24"/>
              </w:rPr>
            </w:pPr>
            <w:r w:rsidRPr="002C5FEB">
              <w:rPr>
                <w:rFonts w:eastAsiaTheme="minorHAnsi"/>
                <w:color w:val="000000"/>
                <w:sz w:val="24"/>
                <w:szCs w:val="24"/>
                <w:lang w:val="es-EC" w:eastAsia="en-US"/>
              </w:rPr>
              <w:lastRenderedPageBreak/>
              <w:t>127.61 m en L.D.</w:t>
            </w:r>
          </w:p>
        </w:tc>
        <w:tc>
          <w:tcPr>
            <w:tcW w:w="1048" w:type="pct"/>
            <w:vMerge/>
            <w:tcBorders>
              <w:bottom w:val="single" w:sz="4" w:space="0" w:color="auto"/>
            </w:tcBorders>
            <w:shd w:val="clear" w:color="auto" w:fill="auto"/>
          </w:tcPr>
          <w:p w14:paraId="5BFF321E" w14:textId="77777777" w:rsidR="00547E5B" w:rsidRPr="00FB0932" w:rsidRDefault="00547E5B" w:rsidP="00FB0932">
            <w:pPr>
              <w:spacing w:line="276" w:lineRule="auto"/>
              <w:jc w:val="right"/>
              <w:rPr>
                <w:sz w:val="24"/>
                <w:szCs w:val="24"/>
              </w:rPr>
            </w:pPr>
          </w:p>
        </w:tc>
      </w:tr>
    </w:tbl>
    <w:p w14:paraId="215C9FAE" w14:textId="77777777" w:rsidR="00547E5B" w:rsidRPr="00FB0932" w:rsidRDefault="00547E5B" w:rsidP="00FB0932">
      <w:pPr>
        <w:spacing w:line="276" w:lineRule="auto"/>
        <w:contextualSpacing/>
        <w:rPr>
          <w:sz w:val="24"/>
          <w:szCs w:val="24"/>
          <w:highlight w:val="yellow"/>
        </w:rPr>
      </w:pPr>
    </w:p>
    <w:p w14:paraId="2D852E4A" w14:textId="64FBB141" w:rsidR="00CC681C" w:rsidRPr="00FB0932" w:rsidRDefault="00A33749" w:rsidP="00CC681C">
      <w:pPr>
        <w:spacing w:after="240" w:line="276" w:lineRule="auto"/>
        <w:jc w:val="both"/>
        <w:rPr>
          <w:i/>
          <w:sz w:val="24"/>
          <w:szCs w:val="24"/>
        </w:rPr>
      </w:pPr>
      <w:r w:rsidRPr="00FB0932">
        <w:rPr>
          <w:b/>
          <w:sz w:val="24"/>
          <w:szCs w:val="24"/>
        </w:rPr>
        <w:t xml:space="preserve">Artículo 8.-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6551C7" w:rsidRPr="00FB0932">
        <w:rPr>
          <w:sz w:val="24"/>
          <w:szCs w:val="24"/>
        </w:rPr>
        <w:t xml:space="preserve">Comité </w:t>
      </w:r>
      <w:proofErr w:type="spellStart"/>
      <w:r w:rsidR="006551C7" w:rsidRPr="00FB0932">
        <w:rPr>
          <w:sz w:val="24"/>
          <w:szCs w:val="24"/>
        </w:rPr>
        <w:t>Pro</w:t>
      </w:r>
      <w:r w:rsidR="00A85712">
        <w:rPr>
          <w:sz w:val="24"/>
          <w:szCs w:val="24"/>
        </w:rPr>
        <w:t>m</w:t>
      </w:r>
      <w:r w:rsidR="006551C7" w:rsidRPr="00FB0932">
        <w:rPr>
          <w:sz w:val="24"/>
          <w:szCs w:val="24"/>
        </w:rPr>
        <w:t>ejoras</w:t>
      </w:r>
      <w:proofErr w:type="spellEnd"/>
      <w:r w:rsidR="006551C7" w:rsidRPr="00FB0932">
        <w:rPr>
          <w:sz w:val="24"/>
          <w:szCs w:val="24"/>
        </w:rPr>
        <w:t xml:space="preserve"> del Barrio “</w:t>
      </w:r>
      <w:r w:rsidR="00A85712">
        <w:rPr>
          <w:sz w:val="24"/>
          <w:szCs w:val="24"/>
        </w:rPr>
        <w:t xml:space="preserve">San Isidro </w:t>
      </w:r>
      <w:r w:rsidR="002953BE" w:rsidRPr="00FB0932">
        <w:rPr>
          <w:sz w:val="24"/>
          <w:szCs w:val="24"/>
        </w:rPr>
        <w:t>de Calderón</w:t>
      </w:r>
      <w:r w:rsidR="006551C7" w:rsidRPr="00FB0932">
        <w:rPr>
          <w:sz w:val="24"/>
          <w:szCs w:val="24"/>
        </w:rPr>
        <w:t xml:space="preserve">”, </w:t>
      </w:r>
      <w:r w:rsidR="00F57D72" w:rsidRPr="00FB0932">
        <w:rPr>
          <w:sz w:val="24"/>
          <w:szCs w:val="24"/>
        </w:rPr>
        <w:t xml:space="preserve">deberá cumplir y acatar las recomendaciones que se encuentran determinadas en el Informe de la Dirección Metropolitana de Gestión de Riesgos </w:t>
      </w:r>
      <w:r w:rsidR="00671AF0" w:rsidRPr="00FB0932">
        <w:rPr>
          <w:sz w:val="24"/>
          <w:szCs w:val="24"/>
        </w:rPr>
        <w:t xml:space="preserve">No. </w:t>
      </w:r>
      <w:r w:rsidR="00CC681C" w:rsidRPr="00E71A87">
        <w:rPr>
          <w:bCs/>
          <w:sz w:val="24"/>
          <w:szCs w:val="24"/>
        </w:rPr>
        <w:t xml:space="preserve">Técnico No. </w:t>
      </w:r>
      <w:r w:rsidR="00CC681C" w:rsidRPr="00E71A87">
        <w:rPr>
          <w:rFonts w:eastAsiaTheme="minorHAnsi"/>
          <w:sz w:val="24"/>
          <w:szCs w:val="24"/>
          <w:lang w:val="es-EC" w:eastAsia="en-US"/>
        </w:rPr>
        <w:t>I</w:t>
      </w:r>
      <w:r w:rsidR="00CC681C" w:rsidRPr="00FB0932">
        <w:rPr>
          <w:sz w:val="24"/>
          <w:szCs w:val="24"/>
        </w:rPr>
        <w:t>-</w:t>
      </w:r>
      <w:r w:rsidR="00CC681C" w:rsidRPr="00FB0932">
        <w:rPr>
          <w:color w:val="000000"/>
          <w:sz w:val="24"/>
          <w:szCs w:val="24"/>
          <w:shd w:val="clear" w:color="auto" w:fill="FFFFFF"/>
        </w:rPr>
        <w:t>0</w:t>
      </w:r>
      <w:r w:rsidR="00DC3318">
        <w:rPr>
          <w:color w:val="000000"/>
          <w:sz w:val="24"/>
          <w:szCs w:val="24"/>
          <w:shd w:val="clear" w:color="auto" w:fill="FFFFFF"/>
        </w:rPr>
        <w:t>0</w:t>
      </w:r>
      <w:r w:rsidR="00CC681C" w:rsidRPr="00FB0932">
        <w:rPr>
          <w:color w:val="000000"/>
          <w:sz w:val="24"/>
          <w:szCs w:val="24"/>
          <w:shd w:val="clear" w:color="auto" w:fill="FFFFFF"/>
        </w:rPr>
        <w:t>0</w:t>
      </w:r>
      <w:r w:rsidR="00CC681C">
        <w:rPr>
          <w:color w:val="000000"/>
          <w:sz w:val="24"/>
          <w:szCs w:val="24"/>
          <w:shd w:val="clear" w:color="auto" w:fill="FFFFFF"/>
        </w:rPr>
        <w:t>6</w:t>
      </w:r>
      <w:r w:rsidR="00CC681C" w:rsidRPr="00FB0932">
        <w:rPr>
          <w:color w:val="000000"/>
          <w:sz w:val="24"/>
          <w:szCs w:val="24"/>
          <w:shd w:val="clear" w:color="auto" w:fill="FFFFFF"/>
        </w:rPr>
        <w:t>-EAH-AT</w:t>
      </w:r>
      <w:r w:rsidR="00CC681C" w:rsidRPr="00FB0932">
        <w:rPr>
          <w:sz w:val="24"/>
          <w:szCs w:val="24"/>
        </w:rPr>
        <w:t xml:space="preserve">-DMGR-2021, de </w:t>
      </w:r>
      <w:r w:rsidR="00CC681C">
        <w:rPr>
          <w:sz w:val="24"/>
          <w:szCs w:val="24"/>
        </w:rPr>
        <w:t>0</w:t>
      </w:r>
      <w:r w:rsidR="00CC681C" w:rsidRPr="00FB0932">
        <w:rPr>
          <w:sz w:val="24"/>
          <w:szCs w:val="24"/>
        </w:rPr>
        <w:t xml:space="preserve">2 de </w:t>
      </w:r>
      <w:r w:rsidR="00CC681C">
        <w:rPr>
          <w:sz w:val="24"/>
          <w:szCs w:val="24"/>
        </w:rPr>
        <w:t>febrer</w:t>
      </w:r>
      <w:r w:rsidR="00CC681C" w:rsidRPr="00FB0932">
        <w:rPr>
          <w:sz w:val="24"/>
          <w:szCs w:val="24"/>
        </w:rPr>
        <w:t xml:space="preserve">o de 2021, </w:t>
      </w:r>
      <w:r w:rsidR="00CC681C">
        <w:rPr>
          <w:sz w:val="24"/>
          <w:szCs w:val="24"/>
        </w:rPr>
        <w:t xml:space="preserve">en el cual, </w:t>
      </w:r>
      <w:r w:rsidR="00CC681C" w:rsidRPr="00FB0932">
        <w:rPr>
          <w:sz w:val="24"/>
          <w:szCs w:val="24"/>
        </w:rPr>
        <w:t xml:space="preserve">califica en el numeral </w:t>
      </w:r>
      <w:r w:rsidR="00CC681C" w:rsidRPr="00FB0932">
        <w:rPr>
          <w:bCs/>
          <w:sz w:val="24"/>
          <w:szCs w:val="24"/>
        </w:rPr>
        <w:t>6.1 referente al nivel de riesgo para la regularización de tierras indicando: “</w:t>
      </w:r>
      <w:r w:rsidR="00CC681C"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694D92B7" w14:textId="77777777" w:rsidR="00CC681C" w:rsidRPr="00CC681C" w:rsidRDefault="00CC681C" w:rsidP="00CC681C">
      <w:pPr>
        <w:spacing w:after="240" w:line="276" w:lineRule="auto"/>
        <w:jc w:val="both"/>
        <w:rPr>
          <w:sz w:val="24"/>
          <w:szCs w:val="24"/>
        </w:rPr>
      </w:pPr>
      <w:r w:rsidRPr="00CC681C">
        <w:rPr>
          <w:rFonts w:eastAsiaTheme="minorHAnsi"/>
          <w:b/>
          <w:bCs/>
          <w:i/>
          <w:color w:val="000000"/>
          <w:sz w:val="24"/>
          <w:szCs w:val="24"/>
          <w:lang w:val="es-EC" w:eastAsia="en-US"/>
        </w:rPr>
        <w:t xml:space="preserve">Movimientos en masa: </w:t>
      </w:r>
      <w:r w:rsidRPr="00CC681C">
        <w:rPr>
          <w:rFonts w:eastAsiaTheme="minorHAnsi"/>
          <w:i/>
          <w:color w:val="000000"/>
          <w:sz w:val="24"/>
          <w:szCs w:val="24"/>
          <w:lang w:val="es-EC" w:eastAsia="en-US"/>
        </w:rPr>
        <w:t xml:space="preserve">el AHHYC “San Isidro” en general presenta un </w:t>
      </w:r>
      <w:r w:rsidRPr="00CC681C">
        <w:rPr>
          <w:rFonts w:eastAsiaTheme="minorHAnsi"/>
          <w:i/>
          <w:iCs/>
          <w:color w:val="000000"/>
          <w:sz w:val="24"/>
          <w:szCs w:val="24"/>
          <w:lang w:val="es-EC" w:eastAsia="en-US"/>
        </w:rPr>
        <w:t xml:space="preserve">Riesgo Bajo Mitigable para todos lotes </w:t>
      </w:r>
      <w:r w:rsidRPr="00CC681C">
        <w:rPr>
          <w:rFonts w:eastAsiaTheme="minorHAnsi"/>
          <w:i/>
          <w:color w:val="000000"/>
          <w:sz w:val="24"/>
          <w:szCs w:val="24"/>
          <w:lang w:val="es-EC" w:eastAsia="en-US"/>
        </w:rPr>
        <w:t>frente a deslizamientos.”</w:t>
      </w:r>
      <w:r w:rsidRPr="00CC681C">
        <w:rPr>
          <w:rFonts w:eastAsiaTheme="minorHAnsi"/>
          <w:color w:val="000000"/>
          <w:sz w:val="24"/>
          <w:szCs w:val="24"/>
          <w:lang w:val="es-EC" w:eastAsia="en-US"/>
        </w:rPr>
        <w:t>.</w:t>
      </w:r>
    </w:p>
    <w:p w14:paraId="429E08F4" w14:textId="454B7BED" w:rsidR="007C19C3" w:rsidRPr="00FB0932" w:rsidRDefault="00CC681C" w:rsidP="00FB0932">
      <w:pPr>
        <w:spacing w:after="240" w:line="276" w:lineRule="auto"/>
        <w:jc w:val="both"/>
        <w:rPr>
          <w:sz w:val="24"/>
          <w:szCs w:val="24"/>
        </w:rPr>
      </w:pPr>
      <w:r>
        <w:rPr>
          <w:sz w:val="24"/>
          <w:szCs w:val="24"/>
        </w:rPr>
        <w:t>L</w:t>
      </w:r>
      <w:r w:rsidR="007C19C3" w:rsidRPr="00FB0932">
        <w:rPr>
          <w:sz w:val="24"/>
          <w:szCs w:val="24"/>
        </w:rPr>
        <w:t>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582E1A59" w:rsidR="0077086F" w:rsidRPr="00FB0932" w:rsidRDefault="0077086F" w:rsidP="00FB0932">
      <w:pPr>
        <w:spacing w:after="240" w:line="276" w:lineRule="auto"/>
        <w:jc w:val="both"/>
        <w:rPr>
          <w:sz w:val="24"/>
          <w:szCs w:val="24"/>
        </w:rPr>
      </w:pPr>
      <w:r w:rsidRPr="00FB0932">
        <w:rPr>
          <w:b/>
          <w:sz w:val="24"/>
          <w:szCs w:val="24"/>
        </w:rPr>
        <w:t xml:space="preserve">Articulo </w:t>
      </w:r>
      <w:r w:rsidR="00E53A57" w:rsidRPr="00FB0932">
        <w:rPr>
          <w:b/>
          <w:sz w:val="24"/>
          <w:szCs w:val="24"/>
        </w:rPr>
        <w:t>9</w:t>
      </w:r>
      <w:r w:rsidRPr="00FB0932">
        <w:rPr>
          <w:b/>
          <w:sz w:val="24"/>
          <w:szCs w:val="24"/>
        </w:rPr>
        <w:t>.- De l</w:t>
      </w:r>
      <w:r w:rsidR="00CC681C">
        <w:rPr>
          <w:b/>
          <w:sz w:val="24"/>
          <w:szCs w:val="24"/>
        </w:rPr>
        <w:t>o</w:t>
      </w:r>
      <w:r w:rsidRPr="00FB0932">
        <w:rPr>
          <w:b/>
          <w:sz w:val="24"/>
          <w:szCs w:val="24"/>
        </w:rPr>
        <w:t xml:space="preserve">s </w:t>
      </w:r>
      <w:r w:rsidR="00CC681C">
        <w:rPr>
          <w:b/>
          <w:sz w:val="24"/>
          <w:szCs w:val="24"/>
        </w:rPr>
        <w:t>pasajes</w:t>
      </w:r>
      <w:r w:rsidRPr="00FB0932">
        <w:rPr>
          <w:b/>
          <w:sz w:val="24"/>
          <w:szCs w:val="24"/>
        </w:rPr>
        <w:t xml:space="preserve">.- </w:t>
      </w:r>
      <w:r w:rsidRPr="00FB0932">
        <w:rPr>
          <w:sz w:val="24"/>
          <w:szCs w:val="24"/>
        </w:rPr>
        <w:t xml:space="preserve">El asentamiento humano de hecho y consolidado de interés social denominado Comité </w:t>
      </w:r>
      <w:proofErr w:type="spellStart"/>
      <w:r w:rsidRPr="00FB0932">
        <w:rPr>
          <w:sz w:val="24"/>
          <w:szCs w:val="24"/>
        </w:rPr>
        <w:t>Pro</w:t>
      </w:r>
      <w:r w:rsidR="00CC681C">
        <w:rPr>
          <w:sz w:val="24"/>
          <w:szCs w:val="24"/>
        </w:rPr>
        <w:t>m</w:t>
      </w:r>
      <w:r w:rsidRPr="00FB0932">
        <w:rPr>
          <w:sz w:val="24"/>
          <w:szCs w:val="24"/>
        </w:rPr>
        <w:t>ejoras</w:t>
      </w:r>
      <w:proofErr w:type="spellEnd"/>
      <w:r w:rsidRPr="00FB0932">
        <w:rPr>
          <w:sz w:val="24"/>
          <w:szCs w:val="24"/>
        </w:rPr>
        <w:t xml:space="preserve"> del Barrio “</w:t>
      </w:r>
      <w:r w:rsidR="00CC681C">
        <w:rPr>
          <w:sz w:val="24"/>
          <w:szCs w:val="24"/>
        </w:rPr>
        <w:t>San isidro</w:t>
      </w:r>
      <w:r w:rsidR="00E53A57" w:rsidRPr="00FB0932">
        <w:rPr>
          <w:sz w:val="24"/>
          <w:szCs w:val="24"/>
        </w:rPr>
        <w:t xml:space="preserve"> de Calderón</w:t>
      </w:r>
      <w:r w:rsidRPr="00FB0932">
        <w:rPr>
          <w:sz w:val="24"/>
          <w:szCs w:val="24"/>
        </w:rPr>
        <w:t xml:space="preserve">”, contempla un sistema vial de uso público, debido a que éste es un asentamiento humano de hecho y consolidado de interés social de </w:t>
      </w:r>
      <w:r w:rsidR="00CC681C">
        <w:rPr>
          <w:sz w:val="24"/>
          <w:szCs w:val="24"/>
        </w:rPr>
        <w:t>2</w:t>
      </w:r>
      <w:r w:rsidR="00E53A57" w:rsidRPr="00FB0932">
        <w:rPr>
          <w:sz w:val="24"/>
          <w:szCs w:val="24"/>
        </w:rPr>
        <w:t>5</w:t>
      </w:r>
      <w:r w:rsidRPr="00FB0932">
        <w:rPr>
          <w:sz w:val="24"/>
          <w:szCs w:val="24"/>
        </w:rPr>
        <w:t xml:space="preserve"> años de existencia, con </w:t>
      </w:r>
      <w:r w:rsidR="00B72249" w:rsidRPr="00B72249">
        <w:rPr>
          <w:sz w:val="24"/>
          <w:szCs w:val="24"/>
        </w:rPr>
        <w:t>4</w:t>
      </w:r>
      <w:r w:rsidR="00B72249" w:rsidRPr="00B72249">
        <w:rPr>
          <w:bCs/>
          <w:sz w:val="24"/>
          <w:szCs w:val="24"/>
        </w:rPr>
        <w:t>7,83</w:t>
      </w:r>
      <w:r w:rsidR="00B72249" w:rsidRPr="00B72249">
        <w:rPr>
          <w:sz w:val="24"/>
          <w:szCs w:val="24"/>
        </w:rPr>
        <w:t>%</w:t>
      </w:r>
      <w:r w:rsidR="00B72249">
        <w:t xml:space="preserve"> </w:t>
      </w:r>
      <w:r w:rsidRPr="00FB0932">
        <w:rPr>
          <w:sz w:val="24"/>
          <w:szCs w:val="24"/>
        </w:rPr>
        <w:t xml:space="preserve">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0D7022D3" w:rsidR="0077086F" w:rsidRPr="00FB0932" w:rsidRDefault="0077086F" w:rsidP="00FB0932">
      <w:pPr>
        <w:spacing w:after="240" w:line="276" w:lineRule="auto"/>
        <w:jc w:val="both"/>
        <w:rPr>
          <w:sz w:val="24"/>
          <w:szCs w:val="24"/>
        </w:rPr>
      </w:pPr>
      <w:r w:rsidRPr="00FB0932">
        <w:rPr>
          <w:sz w:val="24"/>
          <w:szCs w:val="24"/>
        </w:rPr>
        <w:t>Se regularizan l</w:t>
      </w:r>
      <w:r w:rsidR="00B72249">
        <w:rPr>
          <w:sz w:val="24"/>
          <w:szCs w:val="24"/>
        </w:rPr>
        <w:t>o</w:t>
      </w:r>
      <w:r w:rsidRPr="00FB0932">
        <w:rPr>
          <w:sz w:val="24"/>
          <w:szCs w:val="24"/>
        </w:rPr>
        <w:t xml:space="preserve">s </w:t>
      </w:r>
      <w:r w:rsidR="00B72249">
        <w:rPr>
          <w:sz w:val="24"/>
          <w:szCs w:val="24"/>
        </w:rPr>
        <w:t>pasajes</w:t>
      </w:r>
      <w:r w:rsidR="00B664D4" w:rsidRPr="00FB0932">
        <w:rPr>
          <w:sz w:val="24"/>
          <w:szCs w:val="24"/>
        </w:rPr>
        <w:t xml:space="preserve"> </w:t>
      </w:r>
      <w:r w:rsidRPr="00FB0932">
        <w:rPr>
          <w:sz w:val="24"/>
          <w:szCs w:val="24"/>
        </w:rPr>
        <w:t>con los siguientes anchos:</w:t>
      </w:r>
    </w:p>
    <w:tbl>
      <w:tblPr>
        <w:tblStyle w:val="Tablaconcuadrcula"/>
        <w:tblW w:w="0" w:type="auto"/>
        <w:tblInd w:w="108" w:type="dxa"/>
        <w:tblLook w:val="04A0" w:firstRow="1" w:lastRow="0" w:firstColumn="1" w:lastColumn="0" w:noHBand="0" w:noVBand="1"/>
      </w:tblPr>
      <w:tblGrid>
        <w:gridCol w:w="2127"/>
        <w:gridCol w:w="2976"/>
      </w:tblGrid>
      <w:tr w:rsidR="0077086F" w:rsidRPr="00FB0932" w14:paraId="3E93AE7F" w14:textId="77777777" w:rsidTr="00EC2F2C">
        <w:tc>
          <w:tcPr>
            <w:tcW w:w="2127" w:type="dxa"/>
          </w:tcPr>
          <w:p w14:paraId="52094082" w14:textId="0C5E5AC6" w:rsidR="0077086F" w:rsidRPr="00216D4B" w:rsidRDefault="00B72249" w:rsidP="00216D4B">
            <w:pPr>
              <w:pStyle w:val="Default"/>
            </w:pPr>
            <w:r w:rsidRPr="00216D4B">
              <w:lastRenderedPageBreak/>
              <w:t xml:space="preserve">Pasaje E10N </w:t>
            </w:r>
          </w:p>
        </w:tc>
        <w:tc>
          <w:tcPr>
            <w:tcW w:w="2976" w:type="dxa"/>
          </w:tcPr>
          <w:p w14:paraId="47FC8C00" w14:textId="5790FE47" w:rsidR="0077086F" w:rsidRPr="00216D4B" w:rsidRDefault="00216D4B" w:rsidP="00216D4B">
            <w:pPr>
              <w:pStyle w:val="Default"/>
            </w:pPr>
            <w:r w:rsidRPr="00216D4B">
              <w:t xml:space="preserve">8.00 m </w:t>
            </w:r>
          </w:p>
        </w:tc>
      </w:tr>
      <w:tr w:rsidR="0077086F" w:rsidRPr="00FB0932" w14:paraId="261E0CEE" w14:textId="77777777" w:rsidTr="00EC2F2C">
        <w:tc>
          <w:tcPr>
            <w:tcW w:w="2127" w:type="dxa"/>
          </w:tcPr>
          <w:p w14:paraId="429A1774" w14:textId="64E296C2" w:rsidR="0077086F" w:rsidRPr="00216D4B" w:rsidRDefault="00216D4B" w:rsidP="00216D4B">
            <w:pPr>
              <w:pStyle w:val="Default"/>
            </w:pPr>
            <w:r w:rsidRPr="00216D4B">
              <w:t xml:space="preserve">Pasaje E10M </w:t>
            </w:r>
          </w:p>
        </w:tc>
        <w:tc>
          <w:tcPr>
            <w:tcW w:w="2976" w:type="dxa"/>
          </w:tcPr>
          <w:p w14:paraId="2C828466" w14:textId="2D324A81" w:rsidR="0077086F" w:rsidRPr="00216D4B" w:rsidRDefault="00216D4B" w:rsidP="00216D4B">
            <w:pPr>
              <w:pStyle w:val="Default"/>
            </w:pPr>
            <w:r w:rsidRPr="00216D4B">
              <w:t xml:space="preserve">8.00 m </w:t>
            </w:r>
          </w:p>
        </w:tc>
      </w:tr>
      <w:tr w:rsidR="003B6B40" w:rsidRPr="00FB0932" w14:paraId="2F05AEDD" w14:textId="77777777" w:rsidTr="00EC2F2C">
        <w:tc>
          <w:tcPr>
            <w:tcW w:w="2127" w:type="dxa"/>
          </w:tcPr>
          <w:p w14:paraId="1D87C078" w14:textId="712290DF" w:rsidR="003B6B40" w:rsidRPr="00216D4B" w:rsidRDefault="00216D4B" w:rsidP="00216D4B">
            <w:pPr>
              <w:pStyle w:val="Default"/>
            </w:pPr>
            <w:r w:rsidRPr="00216D4B">
              <w:t xml:space="preserve">Pasaje E10L </w:t>
            </w:r>
          </w:p>
        </w:tc>
        <w:tc>
          <w:tcPr>
            <w:tcW w:w="2976" w:type="dxa"/>
          </w:tcPr>
          <w:p w14:paraId="7BEF8672" w14:textId="22E5E4F7" w:rsidR="003B6B40" w:rsidRPr="00216D4B" w:rsidRDefault="00216D4B" w:rsidP="00216D4B">
            <w:pPr>
              <w:pStyle w:val="Default"/>
            </w:pPr>
            <w:r w:rsidRPr="00216D4B">
              <w:t xml:space="preserve">Variable de 6.00 a 6.08 m. </w:t>
            </w:r>
          </w:p>
        </w:tc>
      </w:tr>
      <w:tr w:rsidR="00B72249" w:rsidRPr="00FB0932" w14:paraId="70D82495" w14:textId="77777777" w:rsidTr="00EC2F2C">
        <w:tc>
          <w:tcPr>
            <w:tcW w:w="2127" w:type="dxa"/>
          </w:tcPr>
          <w:p w14:paraId="775FB26B" w14:textId="672FEA16" w:rsidR="00B72249" w:rsidRPr="00216D4B" w:rsidRDefault="00B72249" w:rsidP="00EC2F2C">
            <w:pPr>
              <w:spacing w:before="120" w:line="276" w:lineRule="auto"/>
              <w:contextualSpacing/>
              <w:rPr>
                <w:sz w:val="24"/>
                <w:szCs w:val="24"/>
              </w:rPr>
            </w:pPr>
            <w:r w:rsidRPr="00B72249">
              <w:rPr>
                <w:rFonts w:eastAsiaTheme="minorHAnsi"/>
                <w:color w:val="000000"/>
                <w:sz w:val="24"/>
                <w:szCs w:val="24"/>
                <w:lang w:val="es-EC" w:eastAsia="en-US"/>
              </w:rPr>
              <w:t xml:space="preserve">Pasaje N13G </w:t>
            </w:r>
          </w:p>
        </w:tc>
        <w:tc>
          <w:tcPr>
            <w:tcW w:w="2976" w:type="dxa"/>
          </w:tcPr>
          <w:p w14:paraId="2D4CA80F" w14:textId="6435A25A" w:rsidR="00B72249" w:rsidRPr="00216D4B" w:rsidRDefault="00216D4B" w:rsidP="00216D4B">
            <w:pPr>
              <w:spacing w:line="276" w:lineRule="auto"/>
              <w:contextualSpacing/>
              <w:rPr>
                <w:sz w:val="24"/>
                <w:szCs w:val="24"/>
              </w:rPr>
            </w:pPr>
            <w:r w:rsidRPr="00216D4B">
              <w:rPr>
                <w:sz w:val="24"/>
                <w:szCs w:val="24"/>
              </w:rPr>
              <w:t xml:space="preserve">8.00 m </w:t>
            </w:r>
          </w:p>
        </w:tc>
      </w:tr>
    </w:tbl>
    <w:p w14:paraId="69E2D210" w14:textId="77777777" w:rsidR="0077086F" w:rsidRDefault="0077086F" w:rsidP="00FB0932">
      <w:pPr>
        <w:spacing w:before="120" w:line="276" w:lineRule="auto"/>
        <w:contextualSpacing/>
        <w:rPr>
          <w:sz w:val="24"/>
          <w:szCs w:val="24"/>
        </w:rPr>
      </w:pPr>
    </w:p>
    <w:p w14:paraId="3DA19438" w14:textId="27624F6E" w:rsidR="00A81320" w:rsidRPr="00FB0932" w:rsidRDefault="00A81320" w:rsidP="00FB0932">
      <w:pPr>
        <w:spacing w:after="240" w:line="276" w:lineRule="auto"/>
        <w:jc w:val="both"/>
        <w:rPr>
          <w:sz w:val="24"/>
          <w:szCs w:val="24"/>
        </w:rPr>
      </w:pPr>
      <w:r w:rsidRPr="00FB0932">
        <w:rPr>
          <w:b/>
          <w:bCs/>
          <w:sz w:val="24"/>
          <w:szCs w:val="24"/>
        </w:rPr>
        <w:t xml:space="preserve">Artículo </w:t>
      </w:r>
      <w:r w:rsidR="00590981" w:rsidRPr="00FB0932">
        <w:rPr>
          <w:b/>
          <w:bCs/>
          <w:sz w:val="24"/>
          <w:szCs w:val="24"/>
        </w:rPr>
        <w:t>10</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976"/>
      </w:tblGrid>
      <w:tr w:rsidR="00A81320" w:rsidRPr="00FB0932" w14:paraId="578C909A" w14:textId="77777777" w:rsidTr="00CC7D97">
        <w:tc>
          <w:tcPr>
            <w:tcW w:w="2127"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976" w:type="dxa"/>
          </w:tcPr>
          <w:p w14:paraId="2FAB3E94" w14:textId="59B9ABD1" w:rsidR="00A81320" w:rsidRPr="00FB0932" w:rsidRDefault="00AF56A0" w:rsidP="00D71251">
            <w:pPr>
              <w:spacing w:line="276" w:lineRule="auto"/>
              <w:contextualSpacing/>
              <w:rPr>
                <w:sz w:val="24"/>
                <w:szCs w:val="24"/>
              </w:rPr>
            </w:pPr>
            <w:r>
              <w:rPr>
                <w:bCs/>
                <w:sz w:val="24"/>
                <w:szCs w:val="24"/>
              </w:rPr>
              <w:t>53,83</w:t>
            </w:r>
            <w:r w:rsidR="00A81320" w:rsidRPr="00FB0932">
              <w:rPr>
                <w:bCs/>
                <w:sz w:val="24"/>
                <w:szCs w:val="24"/>
              </w:rPr>
              <w:t>%</w:t>
            </w:r>
          </w:p>
        </w:tc>
      </w:tr>
      <w:tr w:rsidR="00A81320" w:rsidRPr="00FB0932" w14:paraId="593A9FBD" w14:textId="77777777" w:rsidTr="00CC7D97">
        <w:tc>
          <w:tcPr>
            <w:tcW w:w="2127" w:type="dxa"/>
          </w:tcPr>
          <w:p w14:paraId="46943FCF" w14:textId="77777777" w:rsidR="00A81320" w:rsidRPr="00FB0932" w:rsidRDefault="00A81320" w:rsidP="00FB0932">
            <w:pPr>
              <w:spacing w:line="276" w:lineRule="auto"/>
              <w:contextualSpacing/>
              <w:rPr>
                <w:iCs/>
                <w:sz w:val="24"/>
                <w:szCs w:val="24"/>
              </w:rPr>
            </w:pPr>
            <w:r w:rsidRPr="00FB0932">
              <w:rPr>
                <w:bCs/>
                <w:sz w:val="24"/>
                <w:szCs w:val="24"/>
              </w:rPr>
              <w:t>Bordillos:</w:t>
            </w:r>
          </w:p>
        </w:tc>
        <w:tc>
          <w:tcPr>
            <w:tcW w:w="2976" w:type="dxa"/>
          </w:tcPr>
          <w:p w14:paraId="4060B633" w14:textId="35A03F1A" w:rsidR="00A81320" w:rsidRPr="00FB0932" w:rsidRDefault="00AF56A0" w:rsidP="00D71251">
            <w:pPr>
              <w:spacing w:line="276" w:lineRule="auto"/>
              <w:contextualSpacing/>
              <w:rPr>
                <w:sz w:val="24"/>
                <w:szCs w:val="24"/>
              </w:rPr>
            </w:pPr>
            <w:r>
              <w:rPr>
                <w:bCs/>
                <w:sz w:val="24"/>
                <w:szCs w:val="24"/>
              </w:rPr>
              <w:t>85,41</w:t>
            </w:r>
            <w:r w:rsidR="00A81320" w:rsidRPr="00FB0932">
              <w:rPr>
                <w:bCs/>
                <w:sz w:val="24"/>
                <w:szCs w:val="24"/>
              </w:rPr>
              <w:t>%</w:t>
            </w:r>
          </w:p>
        </w:tc>
      </w:tr>
      <w:tr w:rsidR="00A81320" w:rsidRPr="00FB0932" w14:paraId="3C5FD290" w14:textId="77777777" w:rsidTr="00CC7D97">
        <w:tc>
          <w:tcPr>
            <w:tcW w:w="2127" w:type="dxa"/>
          </w:tcPr>
          <w:p w14:paraId="390EEE00" w14:textId="77777777" w:rsidR="00A81320" w:rsidRPr="00FB0932" w:rsidRDefault="00A81320" w:rsidP="00FB0932">
            <w:pPr>
              <w:spacing w:line="276" w:lineRule="auto"/>
              <w:contextualSpacing/>
              <w:rPr>
                <w:iCs/>
                <w:sz w:val="24"/>
                <w:szCs w:val="24"/>
              </w:rPr>
            </w:pPr>
            <w:r w:rsidRPr="00FB0932">
              <w:rPr>
                <w:bCs/>
                <w:sz w:val="24"/>
                <w:szCs w:val="24"/>
              </w:rPr>
              <w:t>Aceras:</w:t>
            </w:r>
          </w:p>
        </w:tc>
        <w:tc>
          <w:tcPr>
            <w:tcW w:w="2976" w:type="dxa"/>
          </w:tcPr>
          <w:p w14:paraId="0CCD55C3" w14:textId="6291C5D7" w:rsidR="00A81320" w:rsidRPr="00FB0932" w:rsidRDefault="00AF56A0" w:rsidP="00D71251">
            <w:pPr>
              <w:spacing w:line="276" w:lineRule="auto"/>
              <w:contextualSpacing/>
              <w:rPr>
                <w:sz w:val="24"/>
                <w:szCs w:val="24"/>
              </w:rPr>
            </w:pPr>
            <w:r>
              <w:rPr>
                <w:bCs/>
                <w:sz w:val="24"/>
                <w:szCs w:val="24"/>
              </w:rPr>
              <w:t>83,63</w:t>
            </w:r>
            <w:r w:rsidR="00A81320" w:rsidRPr="00FB0932">
              <w:rPr>
                <w:bCs/>
                <w:sz w:val="24"/>
                <w:szCs w:val="24"/>
              </w:rPr>
              <w:t>%</w:t>
            </w:r>
          </w:p>
        </w:tc>
      </w:tr>
      <w:tr w:rsidR="00A81320" w:rsidRPr="00FB0932" w14:paraId="49147460" w14:textId="77777777" w:rsidTr="00CC7D97">
        <w:tc>
          <w:tcPr>
            <w:tcW w:w="2127"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976" w:type="dxa"/>
          </w:tcPr>
          <w:p w14:paraId="635182D1" w14:textId="4D636338" w:rsidR="00A81320" w:rsidRPr="00FB0932" w:rsidRDefault="00AF56A0" w:rsidP="00FB0932">
            <w:pPr>
              <w:spacing w:line="276" w:lineRule="auto"/>
              <w:contextualSpacing/>
              <w:rPr>
                <w:sz w:val="24"/>
                <w:szCs w:val="24"/>
              </w:rPr>
            </w:pPr>
            <w:r>
              <w:rPr>
                <w:bCs/>
                <w:sz w:val="24"/>
                <w:szCs w:val="24"/>
              </w:rPr>
              <w:t>92,70</w:t>
            </w:r>
            <w:r w:rsidR="00A81320" w:rsidRPr="00FB0932">
              <w:rPr>
                <w:bCs/>
                <w:sz w:val="24"/>
                <w:szCs w:val="24"/>
              </w:rPr>
              <w:t>%</w:t>
            </w:r>
          </w:p>
        </w:tc>
      </w:tr>
      <w:tr w:rsidR="00A81320" w:rsidRPr="00FB0932" w14:paraId="46C16FF8" w14:textId="77777777" w:rsidTr="00CC7D97">
        <w:tc>
          <w:tcPr>
            <w:tcW w:w="2127"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976" w:type="dxa"/>
          </w:tcPr>
          <w:p w14:paraId="06D8D073" w14:textId="1AE26972" w:rsidR="00A81320" w:rsidRPr="00FB0932" w:rsidRDefault="00AF56A0" w:rsidP="00FB0932">
            <w:pPr>
              <w:spacing w:line="276" w:lineRule="auto"/>
              <w:contextualSpacing/>
              <w:rPr>
                <w:sz w:val="24"/>
                <w:szCs w:val="24"/>
              </w:rPr>
            </w:pPr>
            <w:r>
              <w:rPr>
                <w:bCs/>
                <w:sz w:val="24"/>
                <w:szCs w:val="24"/>
              </w:rPr>
              <w:t>92,70</w:t>
            </w:r>
            <w:r w:rsidR="00CC7D97" w:rsidRPr="00FB0932">
              <w:rPr>
                <w:bCs/>
                <w:sz w:val="24"/>
                <w:szCs w:val="24"/>
              </w:rPr>
              <w:t>%</w:t>
            </w:r>
          </w:p>
        </w:tc>
      </w:tr>
      <w:tr w:rsidR="00592D76" w:rsidRPr="00FB0932" w14:paraId="71B8BF35" w14:textId="77777777" w:rsidTr="00CC7D97">
        <w:tc>
          <w:tcPr>
            <w:tcW w:w="2127"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976" w:type="dxa"/>
          </w:tcPr>
          <w:p w14:paraId="780BA4A8" w14:textId="7BB20D38" w:rsidR="00592D76" w:rsidRPr="00FB0932" w:rsidRDefault="00AF56A0" w:rsidP="00AF56A0">
            <w:pPr>
              <w:spacing w:line="276" w:lineRule="auto"/>
              <w:contextualSpacing/>
              <w:rPr>
                <w:bCs/>
                <w:sz w:val="24"/>
                <w:szCs w:val="24"/>
              </w:rPr>
            </w:pPr>
            <w:r>
              <w:rPr>
                <w:bCs/>
                <w:sz w:val="24"/>
                <w:szCs w:val="24"/>
              </w:rPr>
              <w:t>92,70</w:t>
            </w:r>
            <w:r w:rsidR="00CC7D97" w:rsidRPr="00FB0932">
              <w:rPr>
                <w:bCs/>
                <w:sz w:val="24"/>
                <w:szCs w:val="24"/>
              </w:rPr>
              <w:t>%</w:t>
            </w:r>
          </w:p>
        </w:tc>
      </w:tr>
    </w:tbl>
    <w:p w14:paraId="05F14CAC" w14:textId="77777777" w:rsidR="00A81320" w:rsidRDefault="00A81320" w:rsidP="00FB0932">
      <w:pPr>
        <w:spacing w:line="276" w:lineRule="auto"/>
        <w:rPr>
          <w:bCs/>
          <w:sz w:val="24"/>
          <w:szCs w:val="24"/>
        </w:rPr>
      </w:pPr>
    </w:p>
    <w:p w14:paraId="15171237" w14:textId="45DE52F3"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11</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77777777" w:rsidR="00DB3663" w:rsidRPr="00FB0932" w:rsidRDefault="00DB3663" w:rsidP="00FB0932">
      <w:pPr>
        <w:spacing w:after="240" w:line="276" w:lineRule="auto"/>
        <w:jc w:val="both"/>
        <w:rPr>
          <w:bCs/>
          <w:sz w:val="24"/>
          <w:szCs w:val="24"/>
        </w:rPr>
      </w:pPr>
      <w:r w:rsidRPr="00FB0932">
        <w:rPr>
          <w:bCs/>
          <w:sz w:val="24"/>
          <w:szCs w:val="24"/>
        </w:rPr>
        <w:t>Las obras de infraestructura podrán ser ejecutadas, mediante gestión individual o concurrente bajo las siguientes modalidades: gestión municipal o pública, gestión directa o cogestión de conformidad a lo establecido en el artículo IV.7.72  del Código Municipal para el Distrito de Quito. El valor por contribución especial a mejoras se aplicará conforme la modalidad ejecutada.</w:t>
      </w:r>
    </w:p>
    <w:p w14:paraId="16F4BA7E" w14:textId="76A35807"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12</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4C50794A"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03028A" w:rsidRPr="00FB0932">
        <w:rPr>
          <w:b/>
          <w:bCs/>
          <w:sz w:val="24"/>
          <w:szCs w:val="24"/>
        </w:rPr>
        <w:t>13</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Pr="00FB0932">
        <w:rPr>
          <w:sz w:val="24"/>
          <w:szCs w:val="24"/>
        </w:rPr>
        <w:t xml:space="preserve">Comité </w:t>
      </w:r>
      <w:proofErr w:type="spellStart"/>
      <w:r w:rsidRPr="00FB0932">
        <w:rPr>
          <w:sz w:val="24"/>
          <w:szCs w:val="24"/>
        </w:rPr>
        <w:t>Pro</w:t>
      </w:r>
      <w:r w:rsidR="001A7052">
        <w:rPr>
          <w:sz w:val="24"/>
          <w:szCs w:val="24"/>
        </w:rPr>
        <w:t>m</w:t>
      </w:r>
      <w:r w:rsidRPr="00FB0932">
        <w:rPr>
          <w:sz w:val="24"/>
          <w:szCs w:val="24"/>
        </w:rPr>
        <w:t>ejoras</w:t>
      </w:r>
      <w:proofErr w:type="spellEnd"/>
      <w:r w:rsidRPr="00FB0932">
        <w:rPr>
          <w:sz w:val="24"/>
          <w:szCs w:val="24"/>
        </w:rPr>
        <w:t xml:space="preserve"> del Barrio “</w:t>
      </w:r>
      <w:r w:rsidR="001A7052">
        <w:rPr>
          <w:sz w:val="24"/>
          <w:szCs w:val="24"/>
        </w:rPr>
        <w:t>San Isidro</w:t>
      </w:r>
      <w:r w:rsidR="0003028A" w:rsidRPr="00FB0932">
        <w:rPr>
          <w:sz w:val="24"/>
          <w:szCs w:val="24"/>
        </w:rPr>
        <w:t xml:space="preserve"> de Calderón</w:t>
      </w:r>
      <w:r w:rsidRPr="00FB0932">
        <w:rPr>
          <w:sz w:val="24"/>
          <w:szCs w:val="24"/>
        </w:rPr>
        <w:t>”,</w:t>
      </w:r>
      <w:r w:rsidR="001A7052">
        <w:rPr>
          <w:sz w:val="24"/>
          <w:szCs w:val="24"/>
        </w:rPr>
        <w:t xml:space="preserve"> </w:t>
      </w:r>
      <w:r w:rsidRPr="00FB0932">
        <w:rPr>
          <w:bCs/>
          <w:sz w:val="24"/>
          <w:szCs w:val="24"/>
        </w:rPr>
        <w:t>se sujetarán a las sanciones contempladas en el Ordenamiento Jurídico Nacional y Metropolitano.</w:t>
      </w:r>
    </w:p>
    <w:p w14:paraId="11E38F59" w14:textId="2FAE5FAA" w:rsidR="00272710" w:rsidRPr="00FB0932" w:rsidRDefault="008D13D0" w:rsidP="00FB0932">
      <w:pPr>
        <w:spacing w:after="240" w:line="276" w:lineRule="auto"/>
        <w:jc w:val="both"/>
        <w:rPr>
          <w:bCs/>
          <w:sz w:val="24"/>
          <w:szCs w:val="24"/>
        </w:rPr>
      </w:pPr>
      <w:r w:rsidRPr="00FB0932">
        <w:rPr>
          <w:b/>
          <w:bCs/>
          <w:sz w:val="24"/>
          <w:szCs w:val="24"/>
        </w:rPr>
        <w:lastRenderedPageBreak/>
        <w:t xml:space="preserve">Artículo </w:t>
      </w:r>
      <w:r w:rsidR="0003028A" w:rsidRPr="00FB0932">
        <w:rPr>
          <w:b/>
          <w:bCs/>
          <w:sz w:val="24"/>
          <w:szCs w:val="24"/>
        </w:rPr>
        <w:t>14</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Pr="00FB0932">
        <w:rPr>
          <w:sz w:val="24"/>
          <w:szCs w:val="24"/>
        </w:rPr>
        <w:t xml:space="preserve">Comité </w:t>
      </w:r>
      <w:proofErr w:type="spellStart"/>
      <w:r w:rsidRPr="00FB0932">
        <w:rPr>
          <w:sz w:val="24"/>
          <w:szCs w:val="24"/>
        </w:rPr>
        <w:t>Pro</w:t>
      </w:r>
      <w:r w:rsidR="001A7052">
        <w:rPr>
          <w:sz w:val="24"/>
          <w:szCs w:val="24"/>
        </w:rPr>
        <w:t>m</w:t>
      </w:r>
      <w:r w:rsidRPr="00FB0932">
        <w:rPr>
          <w:sz w:val="24"/>
          <w:szCs w:val="24"/>
        </w:rPr>
        <w:t>ejoras</w:t>
      </w:r>
      <w:proofErr w:type="spellEnd"/>
      <w:r w:rsidRPr="00FB0932">
        <w:rPr>
          <w:sz w:val="24"/>
          <w:szCs w:val="24"/>
        </w:rPr>
        <w:t xml:space="preserve"> del Barrio </w:t>
      </w:r>
      <w:r w:rsidR="0003028A" w:rsidRPr="00FB0932">
        <w:rPr>
          <w:sz w:val="24"/>
          <w:szCs w:val="24"/>
        </w:rPr>
        <w:t>“</w:t>
      </w:r>
      <w:r w:rsidR="001A7052">
        <w:rPr>
          <w:sz w:val="24"/>
          <w:szCs w:val="24"/>
        </w:rPr>
        <w:t xml:space="preserve">San Isidro </w:t>
      </w:r>
      <w:r w:rsidR="0003028A" w:rsidRPr="00FB0932">
        <w:rPr>
          <w:sz w:val="24"/>
          <w:szCs w:val="24"/>
        </w:rPr>
        <w:t>de Calderón”</w:t>
      </w:r>
      <w:r w:rsidRPr="00FB0932">
        <w:rPr>
          <w:sz w:val="24"/>
          <w:szCs w:val="24"/>
        </w:rPr>
        <w:t xml:space="preserve">, </w:t>
      </w:r>
      <w:r w:rsidRPr="00FB0932">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w:t>
      </w:r>
      <w:r w:rsidR="00272710" w:rsidRPr="00FB0932">
        <w:rPr>
          <w:bCs/>
          <w:sz w:val="24"/>
          <w:szCs w:val="24"/>
        </w:rPr>
        <w:t xml:space="preserve"> </w:t>
      </w:r>
    </w:p>
    <w:p w14:paraId="07FF4C66" w14:textId="08131BA5"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15</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5261F3" w:rsidRPr="00FB0932">
        <w:rPr>
          <w:sz w:val="24"/>
          <w:szCs w:val="24"/>
        </w:rPr>
        <w:t xml:space="preserve">Comité </w:t>
      </w:r>
      <w:proofErr w:type="spellStart"/>
      <w:r w:rsidR="005261F3" w:rsidRPr="00FB0932">
        <w:rPr>
          <w:sz w:val="24"/>
          <w:szCs w:val="24"/>
        </w:rPr>
        <w:t>Pro</w:t>
      </w:r>
      <w:r w:rsidR="001A7052">
        <w:rPr>
          <w:sz w:val="24"/>
          <w:szCs w:val="24"/>
        </w:rPr>
        <w:t>m</w:t>
      </w:r>
      <w:r w:rsidR="005261F3" w:rsidRPr="00FB0932">
        <w:rPr>
          <w:sz w:val="24"/>
          <w:szCs w:val="24"/>
        </w:rPr>
        <w:t>ejoras</w:t>
      </w:r>
      <w:proofErr w:type="spellEnd"/>
      <w:r w:rsidR="005261F3" w:rsidRPr="00FB0932">
        <w:rPr>
          <w:sz w:val="24"/>
          <w:szCs w:val="24"/>
        </w:rPr>
        <w:t xml:space="preserve"> del Barrio </w:t>
      </w:r>
      <w:r w:rsidR="00DA013B" w:rsidRPr="00FB0932">
        <w:rPr>
          <w:sz w:val="24"/>
          <w:szCs w:val="24"/>
        </w:rPr>
        <w:t>“</w:t>
      </w:r>
      <w:r w:rsidR="001A7052">
        <w:rPr>
          <w:sz w:val="24"/>
          <w:szCs w:val="24"/>
        </w:rPr>
        <w:t>San Isidro</w:t>
      </w:r>
      <w:r w:rsidR="00DA013B" w:rsidRPr="00FB0932">
        <w:rPr>
          <w:sz w:val="24"/>
          <w:szCs w:val="24"/>
        </w:rPr>
        <w:t xml:space="preserve"> de Calderón”</w:t>
      </w:r>
      <w:r w:rsidR="005261F3" w:rsidRPr="00FB0932">
        <w:rPr>
          <w:sz w:val="24"/>
          <w:szCs w:val="24"/>
        </w:rPr>
        <w:t>,</w:t>
      </w:r>
      <w:r w:rsidR="001A7052">
        <w:rPr>
          <w:sz w:val="24"/>
          <w:szCs w:val="24"/>
        </w:rPr>
        <w:t xml:space="preserve"> </w:t>
      </w:r>
      <w:r w:rsidRPr="00FB0932">
        <w:rPr>
          <w:bCs/>
          <w:sz w:val="24"/>
          <w:szCs w:val="24"/>
        </w:rPr>
        <w:t xml:space="preserve">deberán protocolizar la presente Ordenanza ante Notario Público e inscribirla en el Registro de la Propiedad del Distrito Metropolitano de Quito, con todos sus documentos habilitantes. </w:t>
      </w:r>
    </w:p>
    <w:p w14:paraId="718C9B46" w14:textId="6822960E" w:rsidR="00272710" w:rsidRPr="00FB0932" w:rsidRDefault="008D13D0" w:rsidP="00FB0932">
      <w:pPr>
        <w:spacing w:after="240" w:line="276" w:lineRule="auto"/>
        <w:jc w:val="both"/>
        <w:rPr>
          <w:bCs/>
          <w:sz w:val="24"/>
          <w:szCs w:val="24"/>
        </w:rPr>
      </w:pPr>
      <w:r w:rsidRPr="00FB0932">
        <w:rPr>
          <w:bCs/>
          <w:sz w:val="24"/>
          <w:szCs w:val="24"/>
        </w:rPr>
        <w:t>En caso de no legalizar la presente ordenanza, ésta caducará en el plazo de tres (03) años de conformidad con lo dispuesto en el artículo IV.7.64 de la Ordenanza No. 001 de 29 de marzo de 2019.</w:t>
      </w:r>
      <w:r w:rsidR="00272710" w:rsidRPr="00FB0932">
        <w:rPr>
          <w:bCs/>
          <w:sz w:val="24"/>
          <w:szCs w:val="24"/>
        </w:rPr>
        <w:t xml:space="preserve"> </w:t>
      </w:r>
    </w:p>
    <w:p w14:paraId="7B0A9ECC" w14:textId="34B7776D"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 áreas verdes, a favor del Municipio.</w:t>
      </w:r>
    </w:p>
    <w:p w14:paraId="5678423E" w14:textId="21EA531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DA013B" w:rsidRPr="00FB0932">
        <w:rPr>
          <w:b/>
          <w:bCs/>
          <w:sz w:val="24"/>
          <w:szCs w:val="24"/>
        </w:rPr>
        <w:t>6</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390875FB"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17</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lastRenderedPageBreak/>
        <w:t>Dichas solicitudes para ser evaluadas, deberán ser presentadas con al menos tres meses de anticipación a la conclusión del plazo establecido para la ejecución de las obras referidas y debidamente justificadas.</w:t>
      </w:r>
    </w:p>
    <w:p w14:paraId="5D073F87" w14:textId="2B984D5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35187D" w:rsidRPr="00FB0932">
        <w:rPr>
          <w:b/>
          <w:bCs/>
          <w:sz w:val="24"/>
          <w:szCs w:val="24"/>
        </w:rPr>
        <w:t>8</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55613566" w:rsidR="002C5B50" w:rsidRPr="00566301" w:rsidRDefault="002C5B50" w:rsidP="00566301">
      <w:pPr>
        <w:spacing w:after="240" w:line="276" w:lineRule="auto"/>
        <w:jc w:val="both"/>
        <w:rPr>
          <w:sz w:val="24"/>
          <w:szCs w:val="24"/>
          <w:lang w:val="es-ES_tradnl"/>
        </w:rPr>
      </w:pPr>
      <w:r w:rsidRPr="00566301">
        <w:rPr>
          <w:b/>
          <w:sz w:val="24"/>
          <w:szCs w:val="24"/>
          <w:lang w:val="es-ES_tradnl"/>
        </w:rPr>
        <w:t xml:space="preserve">Segunda.-  </w:t>
      </w:r>
      <w:r w:rsidRPr="00566301">
        <w:rPr>
          <w:sz w:val="24"/>
          <w:szCs w:val="24"/>
          <w:lang w:val="es-ES_tradnl"/>
        </w:rPr>
        <w:t xml:space="preserve">De acuerdo </w:t>
      </w:r>
      <w:r w:rsidR="00EC2EE0" w:rsidRPr="00566301">
        <w:rPr>
          <w:sz w:val="24"/>
          <w:szCs w:val="24"/>
          <w:lang w:val="es-ES_tradnl"/>
        </w:rPr>
        <w:t>al i</w:t>
      </w:r>
      <w:proofErr w:type="spellStart"/>
      <w:r w:rsidR="00EC2EE0" w:rsidRPr="00566301">
        <w:rPr>
          <w:sz w:val="24"/>
          <w:szCs w:val="24"/>
        </w:rPr>
        <w:t>nforme</w:t>
      </w:r>
      <w:proofErr w:type="spellEnd"/>
      <w:r w:rsidR="00EC2EE0" w:rsidRPr="00566301">
        <w:rPr>
          <w:sz w:val="24"/>
          <w:szCs w:val="24"/>
        </w:rPr>
        <w:t xml:space="preserve"> de la Dirección Metropolitana de Gestión de Riesgos No. </w:t>
      </w:r>
      <w:r w:rsidR="000F49F3" w:rsidRPr="00E71A87">
        <w:rPr>
          <w:rFonts w:eastAsiaTheme="minorHAnsi"/>
          <w:sz w:val="24"/>
          <w:szCs w:val="24"/>
          <w:lang w:val="es-EC" w:eastAsia="en-US"/>
        </w:rPr>
        <w:t>I</w:t>
      </w:r>
      <w:r w:rsidR="000F49F3" w:rsidRPr="00FB0932">
        <w:rPr>
          <w:sz w:val="24"/>
          <w:szCs w:val="24"/>
        </w:rPr>
        <w:t>-</w:t>
      </w:r>
      <w:r w:rsidR="000F49F3" w:rsidRPr="00FB0932">
        <w:rPr>
          <w:color w:val="000000"/>
          <w:sz w:val="24"/>
          <w:szCs w:val="24"/>
          <w:shd w:val="clear" w:color="auto" w:fill="FFFFFF"/>
        </w:rPr>
        <w:t>000</w:t>
      </w:r>
      <w:r w:rsidR="000F49F3">
        <w:rPr>
          <w:color w:val="000000"/>
          <w:sz w:val="24"/>
          <w:szCs w:val="24"/>
          <w:shd w:val="clear" w:color="auto" w:fill="FFFFFF"/>
        </w:rPr>
        <w:t>6</w:t>
      </w:r>
      <w:r w:rsidR="000F49F3" w:rsidRPr="00FB0932">
        <w:rPr>
          <w:color w:val="000000"/>
          <w:sz w:val="24"/>
          <w:szCs w:val="24"/>
          <w:shd w:val="clear" w:color="auto" w:fill="FFFFFF"/>
        </w:rPr>
        <w:t>-EAH-AT</w:t>
      </w:r>
      <w:r w:rsidR="000F49F3" w:rsidRPr="00FB0932">
        <w:rPr>
          <w:sz w:val="24"/>
          <w:szCs w:val="24"/>
        </w:rPr>
        <w:t xml:space="preserve">-DMGR-2021, de </w:t>
      </w:r>
      <w:r w:rsidR="000F49F3">
        <w:rPr>
          <w:sz w:val="24"/>
          <w:szCs w:val="24"/>
        </w:rPr>
        <w:t>0</w:t>
      </w:r>
      <w:r w:rsidR="000F49F3" w:rsidRPr="00FB0932">
        <w:rPr>
          <w:sz w:val="24"/>
          <w:szCs w:val="24"/>
        </w:rPr>
        <w:t xml:space="preserve">2 de </w:t>
      </w:r>
      <w:r w:rsidR="000F49F3">
        <w:rPr>
          <w:sz w:val="24"/>
          <w:szCs w:val="24"/>
        </w:rPr>
        <w:t>febrer</w:t>
      </w:r>
      <w:r w:rsidR="000F49F3" w:rsidRPr="00FB0932">
        <w:rPr>
          <w:sz w:val="24"/>
          <w:szCs w:val="24"/>
        </w:rPr>
        <w:t>o de 2021</w:t>
      </w:r>
      <w:r w:rsidR="00EC2EE0" w:rsidRPr="00566301">
        <w:rPr>
          <w:sz w:val="24"/>
          <w:szCs w:val="24"/>
        </w:rPr>
        <w:t>,</w:t>
      </w:r>
      <w:r w:rsidRPr="00566301">
        <w:rPr>
          <w:sz w:val="24"/>
          <w:szCs w:val="24"/>
          <w:lang w:val="es-ES_tradnl"/>
        </w:rPr>
        <w:t xml:space="preserve"> el asentamiento deberá cumplir las siguientes disposiciones</w:t>
      </w:r>
      <w:r w:rsidR="00EC2EE0" w:rsidRPr="00566301">
        <w:rPr>
          <w:sz w:val="24"/>
          <w:szCs w:val="24"/>
          <w:lang w:val="es-ES_tradnl"/>
        </w:rPr>
        <w:t>:</w:t>
      </w:r>
    </w:p>
    <w:p w14:paraId="7AF9B502" w14:textId="56B8D9FB"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los propietarios/posesionarios de los lotes </w:t>
      </w:r>
      <w:r w:rsidR="00975C2E" w:rsidRPr="00FB0932">
        <w:rPr>
          <w:bCs/>
          <w:sz w:val="24"/>
          <w:szCs w:val="24"/>
        </w:rPr>
        <w:t xml:space="preserve">del asentamiento humano de hecho y consolidado de interés social denominado </w:t>
      </w:r>
      <w:r w:rsidR="00975C2E" w:rsidRPr="00FB0932">
        <w:rPr>
          <w:sz w:val="24"/>
          <w:szCs w:val="24"/>
        </w:rPr>
        <w:t xml:space="preserve">Comité </w:t>
      </w:r>
      <w:proofErr w:type="spellStart"/>
      <w:r w:rsidR="00975C2E" w:rsidRPr="00FB0932">
        <w:rPr>
          <w:sz w:val="24"/>
          <w:szCs w:val="24"/>
        </w:rPr>
        <w:t>Pro</w:t>
      </w:r>
      <w:r w:rsidR="004134B3">
        <w:rPr>
          <w:sz w:val="24"/>
          <w:szCs w:val="24"/>
        </w:rPr>
        <w:t>m</w:t>
      </w:r>
      <w:r w:rsidR="00975C2E" w:rsidRPr="00FB0932">
        <w:rPr>
          <w:sz w:val="24"/>
          <w:szCs w:val="24"/>
        </w:rPr>
        <w:t>ejoras</w:t>
      </w:r>
      <w:proofErr w:type="spellEnd"/>
      <w:r w:rsidR="00975C2E" w:rsidRPr="00FB0932">
        <w:rPr>
          <w:sz w:val="24"/>
          <w:szCs w:val="24"/>
        </w:rPr>
        <w:t xml:space="preserve"> del Barrio “</w:t>
      </w:r>
      <w:r w:rsidR="004134B3">
        <w:rPr>
          <w:sz w:val="24"/>
          <w:szCs w:val="24"/>
        </w:rPr>
        <w:t>San Isidro</w:t>
      </w:r>
      <w:r w:rsidR="00975C2E" w:rsidRPr="00FB0932">
        <w:rPr>
          <w:sz w:val="24"/>
          <w:szCs w:val="24"/>
        </w:rPr>
        <w:t xml:space="preserve"> de Calderón”,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14:paraId="58A21053" w14:textId="26AD6C7E"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00975C2E" w:rsidRPr="00FB0932">
        <w:rPr>
          <w:bCs/>
          <w:sz w:val="24"/>
          <w:szCs w:val="24"/>
        </w:rPr>
        <w:t xml:space="preserve">de interés social denominado </w:t>
      </w:r>
      <w:r w:rsidR="004134B3" w:rsidRPr="00FB0932">
        <w:rPr>
          <w:sz w:val="24"/>
          <w:szCs w:val="24"/>
        </w:rPr>
        <w:t xml:space="preserve">Comité </w:t>
      </w:r>
      <w:proofErr w:type="spellStart"/>
      <w:r w:rsidR="004134B3" w:rsidRPr="00FB0932">
        <w:rPr>
          <w:sz w:val="24"/>
          <w:szCs w:val="24"/>
        </w:rPr>
        <w:t>Pro</w:t>
      </w:r>
      <w:r w:rsidR="004134B3">
        <w:rPr>
          <w:sz w:val="24"/>
          <w:szCs w:val="24"/>
        </w:rPr>
        <w:t>m</w:t>
      </w:r>
      <w:r w:rsidR="004134B3" w:rsidRPr="00FB0932">
        <w:rPr>
          <w:sz w:val="24"/>
          <w:szCs w:val="24"/>
        </w:rPr>
        <w:t>ejoras</w:t>
      </w:r>
      <w:proofErr w:type="spellEnd"/>
      <w:r w:rsidR="004134B3" w:rsidRPr="00FB0932">
        <w:rPr>
          <w:sz w:val="24"/>
          <w:szCs w:val="24"/>
        </w:rPr>
        <w:t xml:space="preserve"> del Barrio “</w:t>
      </w:r>
      <w:r w:rsidR="004134B3">
        <w:rPr>
          <w:sz w:val="24"/>
          <w:szCs w:val="24"/>
        </w:rPr>
        <w:t>San Isidro</w:t>
      </w:r>
      <w:r w:rsidR="004134B3" w:rsidRPr="00FB0932">
        <w:rPr>
          <w:sz w:val="24"/>
          <w:szCs w:val="24"/>
        </w:rPr>
        <w:t xml:space="preserve"> de Calderón”, </w:t>
      </w:r>
      <w:r w:rsidRPr="00566301">
        <w:rPr>
          <w:rFonts w:eastAsiaTheme="minorHAnsi"/>
          <w:color w:val="000000"/>
          <w:sz w:val="24"/>
          <w:szCs w:val="24"/>
          <w:lang w:val="es-EC" w:eastAsia="en-US"/>
        </w:rPr>
        <w:t xml:space="preserve">el asentamiento realice las obras públicas tales como alcantarillado, bordillos y adoquinado como medida de mitigación para los procesos de erosión superficial. </w:t>
      </w:r>
    </w:p>
    <w:p w14:paraId="5C593111" w14:textId="5C169536"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4134B3" w:rsidRPr="00FB0932">
        <w:rPr>
          <w:sz w:val="24"/>
          <w:szCs w:val="24"/>
        </w:rPr>
        <w:t xml:space="preserve">Comité </w:t>
      </w:r>
      <w:proofErr w:type="spellStart"/>
      <w:r w:rsidR="004134B3" w:rsidRPr="00FB0932">
        <w:rPr>
          <w:sz w:val="24"/>
          <w:szCs w:val="24"/>
        </w:rPr>
        <w:t>Pro</w:t>
      </w:r>
      <w:r w:rsidR="004134B3">
        <w:rPr>
          <w:sz w:val="24"/>
          <w:szCs w:val="24"/>
        </w:rPr>
        <w:t>m</w:t>
      </w:r>
      <w:r w:rsidR="004134B3" w:rsidRPr="00FB0932">
        <w:rPr>
          <w:sz w:val="24"/>
          <w:szCs w:val="24"/>
        </w:rPr>
        <w:t>ejoras</w:t>
      </w:r>
      <w:proofErr w:type="spellEnd"/>
      <w:r w:rsidR="004134B3" w:rsidRPr="00FB0932">
        <w:rPr>
          <w:sz w:val="24"/>
          <w:szCs w:val="24"/>
        </w:rPr>
        <w:t xml:space="preserve"> del Barrio “</w:t>
      </w:r>
      <w:r w:rsidR="004134B3">
        <w:rPr>
          <w:sz w:val="24"/>
          <w:szCs w:val="24"/>
        </w:rPr>
        <w:t>San Isidro</w:t>
      </w:r>
      <w:r w:rsidR="004134B3" w:rsidRPr="00FB0932">
        <w:rPr>
          <w:sz w:val="24"/>
          <w:szCs w:val="24"/>
        </w:rPr>
        <w:t xml:space="preserve"> de Calderón”,</w:t>
      </w:r>
      <w:r w:rsidRPr="00566301">
        <w:rPr>
          <w:rFonts w:eastAsiaTheme="minorHAnsi"/>
          <w:color w:val="000000"/>
          <w:sz w:val="24"/>
          <w:szCs w:val="24"/>
          <w:lang w:val="es-EC" w:eastAsia="en-US"/>
        </w:rPr>
        <w:t xml:space="preserve"> 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0AC94FBF" w:rsidR="00151674" w:rsidRPr="00566301" w:rsidRDefault="002C5B50" w:rsidP="00566301">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975C2E" w:rsidRPr="00FB0932">
        <w:t xml:space="preserve">Comité </w:t>
      </w:r>
      <w:proofErr w:type="spellStart"/>
      <w:r w:rsidR="00975C2E" w:rsidRPr="00FB0932">
        <w:t>Pro</w:t>
      </w:r>
      <w:r w:rsidR="003F6C67">
        <w:t>m</w:t>
      </w:r>
      <w:r w:rsidR="00975C2E" w:rsidRPr="00FB0932">
        <w:t>ejoras</w:t>
      </w:r>
      <w:proofErr w:type="spellEnd"/>
      <w:r w:rsidR="00975C2E" w:rsidRPr="00FB0932">
        <w:t xml:space="preserve"> del Barrio “</w:t>
      </w:r>
      <w:r w:rsidR="003F6C67">
        <w:t xml:space="preserve">San Isidro </w:t>
      </w:r>
      <w:r w:rsidR="00975C2E" w:rsidRPr="00FB0932">
        <w:t xml:space="preserve">de Calderón”, </w:t>
      </w:r>
      <w:r w:rsidRPr="00566301">
        <w:rPr>
          <w:lang w:val="es-ES_tradnl"/>
        </w:rPr>
        <w:t xml:space="preserve">lo </w:t>
      </w:r>
      <w:r w:rsidRPr="00566301">
        <w:rPr>
          <w:lang w:val="es-ES_tradnl"/>
        </w:rPr>
        <w:lastRenderedPageBreak/>
        <w:t>descrito en el informe,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Pr="00566301" w:rsidRDefault="00151674" w:rsidP="00566301">
      <w:pPr>
        <w:pStyle w:val="Default"/>
        <w:spacing w:line="276" w:lineRule="auto"/>
        <w:jc w:val="both"/>
        <w:rPr>
          <w:lang w:val="es-ES_tradnl"/>
        </w:rPr>
      </w:pPr>
    </w:p>
    <w:p w14:paraId="5E5819F8" w14:textId="70F69E79"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 xml:space="preserve">Dada, en la Sala de Sesiones del Concejo Metropolitano de Quito, </w:t>
      </w:r>
      <w:proofErr w:type="gramStart"/>
      <w:r w:rsidRPr="00566301">
        <w:rPr>
          <w:sz w:val="24"/>
          <w:szCs w:val="24"/>
        </w:rPr>
        <w:t>el.…</w:t>
      </w:r>
      <w:proofErr w:type="gramEnd"/>
      <w:r w:rsidRPr="00566301">
        <w:rPr>
          <w:sz w:val="24"/>
          <w:szCs w:val="24"/>
        </w:rPr>
        <w:t>…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387A5E8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 xml:space="preserve">Abg. Damaris Priscila Ortiz </w:t>
      </w:r>
      <w:proofErr w:type="spellStart"/>
      <w:r w:rsidRPr="00566301">
        <w:rPr>
          <w:rFonts w:ascii="Times New Roman" w:eastAsia="MS Mincho" w:hAnsi="Times New Roman"/>
          <w:sz w:val="24"/>
          <w:szCs w:val="24"/>
        </w:rPr>
        <w:t>Pasuy</w:t>
      </w:r>
      <w:proofErr w:type="spellEnd"/>
    </w:p>
    <w:p w14:paraId="4989EA24" w14:textId="77777777" w:rsidR="002C5B50" w:rsidRPr="00566301" w:rsidRDefault="002C5B50" w:rsidP="00566301">
      <w:pPr>
        <w:pStyle w:val="Textopredeterminado"/>
        <w:spacing w:line="276" w:lineRule="auto"/>
        <w:jc w:val="center"/>
        <w:rPr>
          <w:b/>
          <w:szCs w:val="24"/>
        </w:rPr>
      </w:pPr>
      <w:r w:rsidRPr="00566301">
        <w:rPr>
          <w:b/>
          <w:szCs w:val="24"/>
        </w:rPr>
        <w:t>SECRETARIA GENERAL DEL CONCEJO METROPOLITANO DE QUITO (E)</w:t>
      </w:r>
    </w:p>
    <w:p w14:paraId="4AE83348" w14:textId="77777777" w:rsidR="002C5B50" w:rsidRPr="00566301" w:rsidRDefault="002C5B50" w:rsidP="00566301">
      <w:pPr>
        <w:pStyle w:val="Textopredeterminado"/>
        <w:shd w:val="clear" w:color="auto" w:fill="FFFFFF"/>
        <w:spacing w:line="276" w:lineRule="auto"/>
        <w:jc w:val="both"/>
        <w:rPr>
          <w:szCs w:val="24"/>
        </w:rPr>
      </w:pPr>
    </w:p>
    <w:p w14:paraId="49042094" w14:textId="77777777" w:rsidR="002C5B50" w:rsidRPr="00566301" w:rsidRDefault="002C5B50" w:rsidP="00566301">
      <w:pPr>
        <w:pStyle w:val="Textopredeterminado"/>
        <w:shd w:val="clear" w:color="auto" w:fill="FFFFFF"/>
        <w:spacing w:line="276" w:lineRule="auto"/>
        <w:jc w:val="both"/>
        <w:rPr>
          <w:szCs w:val="24"/>
        </w:rPr>
      </w:pPr>
    </w:p>
    <w:p w14:paraId="3E62BC49" w14:textId="77777777" w:rsidR="002C5B50" w:rsidRPr="00566301" w:rsidRDefault="002C5B50" w:rsidP="00566301">
      <w:pPr>
        <w:pStyle w:val="Textopredeterminado"/>
        <w:shd w:val="clear" w:color="auto" w:fill="FFFFFF"/>
        <w:spacing w:line="276" w:lineRule="auto"/>
        <w:jc w:val="both"/>
        <w:rPr>
          <w:szCs w:val="24"/>
          <w:lang w:val="es-ES"/>
        </w:rPr>
      </w:pPr>
    </w:p>
    <w:p w14:paraId="6CDE1349" w14:textId="77777777" w:rsidR="002C5B50" w:rsidRPr="00566301"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1E96BE6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181311AB"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E9992F5"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4A77F91"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La infrascrita Secretaria General del Concejo Metropolitano de Quito (e), certifica que la presente ordenanza fue discutida y aprobada en dos debates, en sesiones de</w:t>
      </w:r>
      <w:proofErr w:type="gramStart"/>
      <w:r w:rsidRPr="00566301">
        <w:rPr>
          <w:rFonts w:ascii="Times New Roman" w:eastAsia="MS Mincho" w:hAnsi="Times New Roman"/>
          <w:sz w:val="24"/>
          <w:szCs w:val="24"/>
        </w:rPr>
        <w:t xml:space="preserve"> ….</w:t>
      </w:r>
      <w:proofErr w:type="gramEnd"/>
      <w:r w:rsidRPr="00566301">
        <w:rPr>
          <w:rFonts w:ascii="Times New Roman" w:eastAsia="MS Mincho" w:hAnsi="Times New Roman"/>
          <w:sz w:val="24"/>
          <w:szCs w:val="24"/>
        </w:rPr>
        <w:t>.de ……..  y</w:t>
      </w:r>
      <w:proofErr w:type="gramStart"/>
      <w:r w:rsidRPr="00566301">
        <w:rPr>
          <w:rFonts w:ascii="Times New Roman" w:eastAsia="MS Mincho" w:hAnsi="Times New Roman"/>
          <w:sz w:val="24"/>
          <w:szCs w:val="24"/>
        </w:rPr>
        <w:t xml:space="preserve"> ….</w:t>
      </w:r>
      <w:proofErr w:type="gramEnd"/>
      <w:r w:rsidRPr="00566301">
        <w:rPr>
          <w:rFonts w:ascii="Times New Roman" w:eastAsia="MS Mincho" w:hAnsi="Times New Roman"/>
          <w:sz w:val="24"/>
          <w:szCs w:val="24"/>
        </w:rPr>
        <w:t>. de …………. de 2021.- Quito,</w:t>
      </w:r>
    </w:p>
    <w:p w14:paraId="38D5D137"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C80843"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F1F80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46C466BA"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 xml:space="preserve">Abg. Damaris Priscila Ortiz </w:t>
      </w:r>
      <w:proofErr w:type="spellStart"/>
      <w:r w:rsidRPr="00566301">
        <w:rPr>
          <w:rFonts w:ascii="Times New Roman" w:eastAsia="MS Mincho" w:hAnsi="Times New Roman"/>
          <w:sz w:val="24"/>
          <w:szCs w:val="24"/>
        </w:rPr>
        <w:t>Pasuy</w:t>
      </w:r>
      <w:proofErr w:type="spellEnd"/>
    </w:p>
    <w:p w14:paraId="77A5CD1A" w14:textId="77777777" w:rsidR="002C5B50" w:rsidRPr="00566301" w:rsidRDefault="002C5B50" w:rsidP="00566301">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SECRETARIA GENERAL DEL CONCEJO METROPOLITANO DE QUITO (E)</w:t>
      </w:r>
    </w:p>
    <w:p w14:paraId="2EBA4EFD"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3C75132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726CB7CD"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p>
    <w:p w14:paraId="4FD41E3F"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17992A9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A036BD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04D35E1"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4D18CE9B"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Dr. Jorge Yunda Machado</w:t>
      </w:r>
    </w:p>
    <w:p w14:paraId="4BBAF04B" w14:textId="77777777" w:rsidR="002C5B50" w:rsidRPr="00566301" w:rsidRDefault="002C5B50" w:rsidP="00566301">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5DA13ADF"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Jorge Yunda Machado</w:t>
      </w:r>
    </w:p>
    <w:p w14:paraId="0D5C5DBF"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 Alcalde  del Distrito Metropolitano de Quito, el</w:t>
      </w:r>
    </w:p>
    <w:p w14:paraId="2B852EF9" w14:textId="77777777" w:rsidR="002C5B50" w:rsidRPr="00566301" w:rsidRDefault="002C5B50" w:rsidP="00566301">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lastRenderedPageBreak/>
        <w:t>.- Distrito Metropolitano de Quito,</w:t>
      </w:r>
    </w:p>
    <w:p w14:paraId="2F67BDFB" w14:textId="77777777" w:rsidR="002C5B50" w:rsidRPr="00566301" w:rsidRDefault="002C5B50" w:rsidP="00566301">
      <w:pPr>
        <w:spacing w:line="276" w:lineRule="auto"/>
        <w:jc w:val="both"/>
        <w:rPr>
          <w:rFonts w:eastAsia="MS Mincho"/>
          <w:sz w:val="24"/>
          <w:szCs w:val="24"/>
        </w:rPr>
      </w:pPr>
    </w:p>
    <w:p w14:paraId="39F01083" w14:textId="77777777" w:rsidR="002C5B50" w:rsidRPr="00566301" w:rsidRDefault="002C5B50" w:rsidP="00566301">
      <w:pPr>
        <w:spacing w:line="276" w:lineRule="auto"/>
        <w:jc w:val="both"/>
        <w:rPr>
          <w:rFonts w:eastAsia="MS Mincho"/>
          <w:sz w:val="24"/>
          <w:szCs w:val="24"/>
        </w:rPr>
      </w:pPr>
    </w:p>
    <w:p w14:paraId="07DC6E9E" w14:textId="77777777" w:rsidR="003902D3" w:rsidRPr="00566301" w:rsidRDefault="003902D3" w:rsidP="00566301">
      <w:pPr>
        <w:spacing w:after="240" w:line="276" w:lineRule="auto"/>
        <w:jc w:val="both"/>
        <w:rPr>
          <w:rFonts w:eastAsia="MS Mincho"/>
          <w:sz w:val="24"/>
          <w:szCs w:val="24"/>
        </w:rPr>
      </w:pPr>
    </w:p>
    <w:sectPr w:rsidR="003902D3" w:rsidRPr="00566301" w:rsidSect="00A11D79">
      <w:headerReference w:type="even" r:id="rId8"/>
      <w:headerReference w:type="default" r:id="rId9"/>
      <w:footerReference w:type="default" r:id="rId10"/>
      <w:headerReference w:type="first" r:id="rId11"/>
      <w:footerReference w:type="first" r:id="rId12"/>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FEE2" w14:textId="77777777" w:rsidR="00102FC8" w:rsidRDefault="00102FC8">
      <w:r>
        <w:separator/>
      </w:r>
    </w:p>
  </w:endnote>
  <w:endnote w:type="continuationSeparator" w:id="0">
    <w:p w14:paraId="3A72FA6C" w14:textId="77777777" w:rsidR="00102FC8" w:rsidRDefault="0010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DC3318">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C3318">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CD6B3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D6B36">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72D4" w14:textId="77777777" w:rsidR="00102FC8" w:rsidRDefault="00102FC8">
      <w:r>
        <w:separator/>
      </w:r>
    </w:p>
  </w:footnote>
  <w:footnote w:type="continuationSeparator" w:id="0">
    <w:p w14:paraId="72630BBF" w14:textId="77777777" w:rsidR="00102FC8" w:rsidRDefault="00102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FE92" w14:textId="1638B31E" w:rsidR="0033794B" w:rsidRDefault="00102FC8">
    <w:pPr>
      <w:pStyle w:val="Encabezado"/>
    </w:pPr>
    <w:r>
      <w:rPr>
        <w:noProof/>
      </w:rPr>
      <w:pict w14:anchorId="36F2A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360" o:spid="_x0000_s2050" type="#_x0000_t136" style="position:absolute;margin-left:0;margin-top:0;width:536.9pt;height:82.6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8392" w14:textId="661FD118" w:rsidR="008D13D0" w:rsidRDefault="00102FC8" w:rsidP="00D35EBE">
    <w:pPr>
      <w:pStyle w:val="a"/>
      <w:rPr>
        <w:rFonts w:ascii="Palatino Linotype" w:hAnsi="Palatino Linotype" w:cs="Arial"/>
        <w:sz w:val="22"/>
        <w:szCs w:val="22"/>
      </w:rPr>
    </w:pPr>
    <w:r>
      <w:rPr>
        <w:noProof/>
      </w:rPr>
      <w:pict w14:anchorId="023C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361" o:spid="_x0000_s2051" type="#_x0000_t136" style="position:absolute;left:0;text-align:left;margin-left:0;margin-top:0;width:536.9pt;height:82.6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83F6" w14:textId="2C051FCD" w:rsidR="0033794B" w:rsidRDefault="00102FC8">
    <w:pPr>
      <w:pStyle w:val="Encabezado"/>
    </w:pPr>
    <w:r>
      <w:rPr>
        <w:noProof/>
      </w:rPr>
      <w:pict w14:anchorId="7333F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359" o:spid="_x0000_s2049" type="#_x0000_t136" style="position:absolute;margin-left:0;margin-top:0;width:536.9pt;height:82.6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F13EF5"/>
    <w:multiLevelType w:val="hybridMultilevel"/>
    <w:tmpl w:val="BAA9F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DBE355C"/>
    <w:multiLevelType w:val="hybridMultilevel"/>
    <w:tmpl w:val="6169AD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6"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4"/>
  </w:num>
  <w:num w:numId="9">
    <w:abstractNumId w:val="3"/>
  </w:num>
  <w:num w:numId="10">
    <w:abstractNumId w:val="17"/>
  </w:num>
  <w:num w:numId="11">
    <w:abstractNumId w:val="10"/>
  </w:num>
  <w:num w:numId="12">
    <w:abstractNumId w:val="14"/>
  </w:num>
  <w:num w:numId="13">
    <w:abstractNumId w:val="5"/>
  </w:num>
  <w:num w:numId="14">
    <w:abstractNumId w:val="0"/>
  </w:num>
  <w:num w:numId="15">
    <w:abstractNumId w:val="9"/>
  </w:num>
  <w:num w:numId="16">
    <w:abstractNumId w:val="6"/>
  </w:num>
  <w:num w:numId="17">
    <w:abstractNumId w:val="2"/>
  </w:num>
  <w:num w:numId="18">
    <w:abstractNumId w:val="13"/>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28"/>
    <w:rsid w:val="00000899"/>
    <w:rsid w:val="00005E72"/>
    <w:rsid w:val="00011FD2"/>
    <w:rsid w:val="00013673"/>
    <w:rsid w:val="000145F9"/>
    <w:rsid w:val="00015F4A"/>
    <w:rsid w:val="00016ED5"/>
    <w:rsid w:val="00022816"/>
    <w:rsid w:val="00025E1D"/>
    <w:rsid w:val="00026A1F"/>
    <w:rsid w:val="0003028A"/>
    <w:rsid w:val="00031354"/>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7EA0"/>
    <w:rsid w:val="000D283F"/>
    <w:rsid w:val="000D4A49"/>
    <w:rsid w:val="000D747F"/>
    <w:rsid w:val="000E65FF"/>
    <w:rsid w:val="000F0DC2"/>
    <w:rsid w:val="000F20C4"/>
    <w:rsid w:val="000F3EEA"/>
    <w:rsid w:val="000F49F3"/>
    <w:rsid w:val="000F579F"/>
    <w:rsid w:val="00100762"/>
    <w:rsid w:val="00100D9A"/>
    <w:rsid w:val="00101BAE"/>
    <w:rsid w:val="00102FC8"/>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56242"/>
    <w:rsid w:val="00157665"/>
    <w:rsid w:val="00160128"/>
    <w:rsid w:val="00160BAE"/>
    <w:rsid w:val="00167BCC"/>
    <w:rsid w:val="00170B41"/>
    <w:rsid w:val="001711DF"/>
    <w:rsid w:val="00175585"/>
    <w:rsid w:val="00182B3E"/>
    <w:rsid w:val="00186187"/>
    <w:rsid w:val="00191D21"/>
    <w:rsid w:val="001A0072"/>
    <w:rsid w:val="001A4DE3"/>
    <w:rsid w:val="001A5E4F"/>
    <w:rsid w:val="001A60FB"/>
    <w:rsid w:val="001A7052"/>
    <w:rsid w:val="001C3338"/>
    <w:rsid w:val="001C4F66"/>
    <w:rsid w:val="001C6EAB"/>
    <w:rsid w:val="001D13B4"/>
    <w:rsid w:val="001D3BFC"/>
    <w:rsid w:val="001D7068"/>
    <w:rsid w:val="001E2C15"/>
    <w:rsid w:val="001E6E8D"/>
    <w:rsid w:val="001F46BD"/>
    <w:rsid w:val="001F66B8"/>
    <w:rsid w:val="002100B5"/>
    <w:rsid w:val="00216D4B"/>
    <w:rsid w:val="00226908"/>
    <w:rsid w:val="0022787B"/>
    <w:rsid w:val="00241E74"/>
    <w:rsid w:val="00245302"/>
    <w:rsid w:val="00245547"/>
    <w:rsid w:val="00247A80"/>
    <w:rsid w:val="002556D6"/>
    <w:rsid w:val="00260748"/>
    <w:rsid w:val="00260770"/>
    <w:rsid w:val="00261D47"/>
    <w:rsid w:val="0026636B"/>
    <w:rsid w:val="002709BC"/>
    <w:rsid w:val="00272710"/>
    <w:rsid w:val="002776A8"/>
    <w:rsid w:val="00280C8E"/>
    <w:rsid w:val="00293AE0"/>
    <w:rsid w:val="00293DCE"/>
    <w:rsid w:val="00294C22"/>
    <w:rsid w:val="002953BE"/>
    <w:rsid w:val="002A778C"/>
    <w:rsid w:val="002B008B"/>
    <w:rsid w:val="002B0C97"/>
    <w:rsid w:val="002B1595"/>
    <w:rsid w:val="002C5B50"/>
    <w:rsid w:val="002C5FEB"/>
    <w:rsid w:val="002C61E0"/>
    <w:rsid w:val="002E037B"/>
    <w:rsid w:val="002E29B6"/>
    <w:rsid w:val="002F2A2C"/>
    <w:rsid w:val="00311915"/>
    <w:rsid w:val="00313A2E"/>
    <w:rsid w:val="003234A6"/>
    <w:rsid w:val="00332FC3"/>
    <w:rsid w:val="00335588"/>
    <w:rsid w:val="0033794B"/>
    <w:rsid w:val="00342AED"/>
    <w:rsid w:val="003503BB"/>
    <w:rsid w:val="0035187D"/>
    <w:rsid w:val="003601A0"/>
    <w:rsid w:val="0036107B"/>
    <w:rsid w:val="00361728"/>
    <w:rsid w:val="00367FAA"/>
    <w:rsid w:val="00374106"/>
    <w:rsid w:val="003770E6"/>
    <w:rsid w:val="00386664"/>
    <w:rsid w:val="00386E3E"/>
    <w:rsid w:val="00387FE3"/>
    <w:rsid w:val="003902D3"/>
    <w:rsid w:val="00391F73"/>
    <w:rsid w:val="0039687D"/>
    <w:rsid w:val="003A1975"/>
    <w:rsid w:val="003A5BF9"/>
    <w:rsid w:val="003B6B40"/>
    <w:rsid w:val="003B72E1"/>
    <w:rsid w:val="003C199B"/>
    <w:rsid w:val="003D07F3"/>
    <w:rsid w:val="003D2313"/>
    <w:rsid w:val="003D308B"/>
    <w:rsid w:val="003E0163"/>
    <w:rsid w:val="003E1E12"/>
    <w:rsid w:val="003E2E75"/>
    <w:rsid w:val="003E35F0"/>
    <w:rsid w:val="003E769A"/>
    <w:rsid w:val="003F06F0"/>
    <w:rsid w:val="003F6467"/>
    <w:rsid w:val="003F6C67"/>
    <w:rsid w:val="00407CF5"/>
    <w:rsid w:val="004134B3"/>
    <w:rsid w:val="00413975"/>
    <w:rsid w:val="004200C2"/>
    <w:rsid w:val="004230DF"/>
    <w:rsid w:val="00431301"/>
    <w:rsid w:val="00431FAB"/>
    <w:rsid w:val="0045019E"/>
    <w:rsid w:val="004505DB"/>
    <w:rsid w:val="00450722"/>
    <w:rsid w:val="00452E2F"/>
    <w:rsid w:val="004620F8"/>
    <w:rsid w:val="00465CB6"/>
    <w:rsid w:val="00481DEF"/>
    <w:rsid w:val="004842E0"/>
    <w:rsid w:val="00492BEC"/>
    <w:rsid w:val="0049307C"/>
    <w:rsid w:val="00495CE4"/>
    <w:rsid w:val="0049736D"/>
    <w:rsid w:val="004A518A"/>
    <w:rsid w:val="004A6045"/>
    <w:rsid w:val="004B2F36"/>
    <w:rsid w:val="004C13B8"/>
    <w:rsid w:val="004C3D11"/>
    <w:rsid w:val="004C4BFA"/>
    <w:rsid w:val="004C6CF2"/>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4F49"/>
    <w:rsid w:val="00546F26"/>
    <w:rsid w:val="00547E5B"/>
    <w:rsid w:val="0056347D"/>
    <w:rsid w:val="00566301"/>
    <w:rsid w:val="005703FD"/>
    <w:rsid w:val="00572508"/>
    <w:rsid w:val="00590981"/>
    <w:rsid w:val="00592C7E"/>
    <w:rsid w:val="00592D76"/>
    <w:rsid w:val="005949B7"/>
    <w:rsid w:val="00597312"/>
    <w:rsid w:val="005B1B7E"/>
    <w:rsid w:val="005B51E8"/>
    <w:rsid w:val="005B73D4"/>
    <w:rsid w:val="005C5D5D"/>
    <w:rsid w:val="005D2B78"/>
    <w:rsid w:val="005D52D0"/>
    <w:rsid w:val="005D60D7"/>
    <w:rsid w:val="005E2686"/>
    <w:rsid w:val="005E777E"/>
    <w:rsid w:val="005F10A5"/>
    <w:rsid w:val="00605466"/>
    <w:rsid w:val="00606113"/>
    <w:rsid w:val="00606645"/>
    <w:rsid w:val="00635B6E"/>
    <w:rsid w:val="006403CA"/>
    <w:rsid w:val="00640573"/>
    <w:rsid w:val="00646A4A"/>
    <w:rsid w:val="00655023"/>
    <w:rsid w:val="006551C7"/>
    <w:rsid w:val="00657205"/>
    <w:rsid w:val="00660706"/>
    <w:rsid w:val="00665C1C"/>
    <w:rsid w:val="00671AF0"/>
    <w:rsid w:val="006726AD"/>
    <w:rsid w:val="006754A7"/>
    <w:rsid w:val="00687BC5"/>
    <w:rsid w:val="00696358"/>
    <w:rsid w:val="006B1565"/>
    <w:rsid w:val="006B68D0"/>
    <w:rsid w:val="006B6A24"/>
    <w:rsid w:val="006C417C"/>
    <w:rsid w:val="006C66A2"/>
    <w:rsid w:val="006D0D23"/>
    <w:rsid w:val="006D4A86"/>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36D93"/>
    <w:rsid w:val="0074466B"/>
    <w:rsid w:val="007528C3"/>
    <w:rsid w:val="007555EE"/>
    <w:rsid w:val="007573F4"/>
    <w:rsid w:val="0075774C"/>
    <w:rsid w:val="0076432C"/>
    <w:rsid w:val="007705E1"/>
    <w:rsid w:val="00770855"/>
    <w:rsid w:val="0077086F"/>
    <w:rsid w:val="007730B0"/>
    <w:rsid w:val="00783C8A"/>
    <w:rsid w:val="00785D5E"/>
    <w:rsid w:val="007A2DE6"/>
    <w:rsid w:val="007A3851"/>
    <w:rsid w:val="007A5259"/>
    <w:rsid w:val="007C19C3"/>
    <w:rsid w:val="007C4AFB"/>
    <w:rsid w:val="007D0F48"/>
    <w:rsid w:val="007D24C0"/>
    <w:rsid w:val="007D422E"/>
    <w:rsid w:val="007D4481"/>
    <w:rsid w:val="007D4EEC"/>
    <w:rsid w:val="007F2761"/>
    <w:rsid w:val="007F3A04"/>
    <w:rsid w:val="0081550E"/>
    <w:rsid w:val="00815646"/>
    <w:rsid w:val="00816E10"/>
    <w:rsid w:val="0082243A"/>
    <w:rsid w:val="0082357C"/>
    <w:rsid w:val="0082368A"/>
    <w:rsid w:val="008342A9"/>
    <w:rsid w:val="00837CD9"/>
    <w:rsid w:val="0084658E"/>
    <w:rsid w:val="00850FCF"/>
    <w:rsid w:val="00853B87"/>
    <w:rsid w:val="00856DB0"/>
    <w:rsid w:val="00857903"/>
    <w:rsid w:val="00870973"/>
    <w:rsid w:val="00874F69"/>
    <w:rsid w:val="008756FE"/>
    <w:rsid w:val="00895BFC"/>
    <w:rsid w:val="00897452"/>
    <w:rsid w:val="00897B83"/>
    <w:rsid w:val="008B5C7E"/>
    <w:rsid w:val="008D13D0"/>
    <w:rsid w:val="008D4A2E"/>
    <w:rsid w:val="008E2F68"/>
    <w:rsid w:val="008F2D62"/>
    <w:rsid w:val="008F3B1B"/>
    <w:rsid w:val="008F51CC"/>
    <w:rsid w:val="00914229"/>
    <w:rsid w:val="009148B7"/>
    <w:rsid w:val="00917AF0"/>
    <w:rsid w:val="00920038"/>
    <w:rsid w:val="00935B1F"/>
    <w:rsid w:val="00937A0B"/>
    <w:rsid w:val="00937DB0"/>
    <w:rsid w:val="00942AFB"/>
    <w:rsid w:val="00943964"/>
    <w:rsid w:val="00953F45"/>
    <w:rsid w:val="00955E1B"/>
    <w:rsid w:val="0096035A"/>
    <w:rsid w:val="00965B4B"/>
    <w:rsid w:val="00972559"/>
    <w:rsid w:val="00975C2E"/>
    <w:rsid w:val="009A01A0"/>
    <w:rsid w:val="009B0F0D"/>
    <w:rsid w:val="009B3588"/>
    <w:rsid w:val="009B427D"/>
    <w:rsid w:val="009B44C6"/>
    <w:rsid w:val="009B506A"/>
    <w:rsid w:val="009B556F"/>
    <w:rsid w:val="009B672C"/>
    <w:rsid w:val="009B78D0"/>
    <w:rsid w:val="009C1941"/>
    <w:rsid w:val="009C2AD3"/>
    <w:rsid w:val="009C35F6"/>
    <w:rsid w:val="009D2573"/>
    <w:rsid w:val="009E46C0"/>
    <w:rsid w:val="009E7806"/>
    <w:rsid w:val="009F22E9"/>
    <w:rsid w:val="00A0106D"/>
    <w:rsid w:val="00A02A3B"/>
    <w:rsid w:val="00A0324D"/>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66954"/>
    <w:rsid w:val="00A74F98"/>
    <w:rsid w:val="00A7753B"/>
    <w:rsid w:val="00A81320"/>
    <w:rsid w:val="00A85712"/>
    <w:rsid w:val="00A86289"/>
    <w:rsid w:val="00A8710E"/>
    <w:rsid w:val="00A92E62"/>
    <w:rsid w:val="00AA1E38"/>
    <w:rsid w:val="00AC3350"/>
    <w:rsid w:val="00AD3CD5"/>
    <w:rsid w:val="00AD683D"/>
    <w:rsid w:val="00AF08F8"/>
    <w:rsid w:val="00AF2F72"/>
    <w:rsid w:val="00AF4F52"/>
    <w:rsid w:val="00AF56A0"/>
    <w:rsid w:val="00AF6452"/>
    <w:rsid w:val="00B1679F"/>
    <w:rsid w:val="00B1770E"/>
    <w:rsid w:val="00B17FDE"/>
    <w:rsid w:val="00B2386D"/>
    <w:rsid w:val="00B244D1"/>
    <w:rsid w:val="00B26009"/>
    <w:rsid w:val="00B34886"/>
    <w:rsid w:val="00B405E8"/>
    <w:rsid w:val="00B4591C"/>
    <w:rsid w:val="00B50435"/>
    <w:rsid w:val="00B55856"/>
    <w:rsid w:val="00B56965"/>
    <w:rsid w:val="00B56EC2"/>
    <w:rsid w:val="00B576FF"/>
    <w:rsid w:val="00B6276A"/>
    <w:rsid w:val="00B664D4"/>
    <w:rsid w:val="00B67EB2"/>
    <w:rsid w:val="00B71EC0"/>
    <w:rsid w:val="00B72249"/>
    <w:rsid w:val="00B7661B"/>
    <w:rsid w:val="00B80666"/>
    <w:rsid w:val="00B97F78"/>
    <w:rsid w:val="00BA2845"/>
    <w:rsid w:val="00BA4642"/>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36D71"/>
    <w:rsid w:val="00C377B4"/>
    <w:rsid w:val="00C54860"/>
    <w:rsid w:val="00C65027"/>
    <w:rsid w:val="00C66FF9"/>
    <w:rsid w:val="00C8171A"/>
    <w:rsid w:val="00C81E5C"/>
    <w:rsid w:val="00C85637"/>
    <w:rsid w:val="00C8784E"/>
    <w:rsid w:val="00C95D61"/>
    <w:rsid w:val="00C9705B"/>
    <w:rsid w:val="00CA0414"/>
    <w:rsid w:val="00CA0BB8"/>
    <w:rsid w:val="00CA22A2"/>
    <w:rsid w:val="00CA356B"/>
    <w:rsid w:val="00CB19B0"/>
    <w:rsid w:val="00CB523A"/>
    <w:rsid w:val="00CB5B78"/>
    <w:rsid w:val="00CB6CDA"/>
    <w:rsid w:val="00CC152F"/>
    <w:rsid w:val="00CC681C"/>
    <w:rsid w:val="00CC706E"/>
    <w:rsid w:val="00CC7D97"/>
    <w:rsid w:val="00CD245F"/>
    <w:rsid w:val="00CD27B9"/>
    <w:rsid w:val="00CD3E74"/>
    <w:rsid w:val="00CD4769"/>
    <w:rsid w:val="00CD49BD"/>
    <w:rsid w:val="00CD4FDB"/>
    <w:rsid w:val="00CD6B36"/>
    <w:rsid w:val="00CE65DD"/>
    <w:rsid w:val="00CF7D79"/>
    <w:rsid w:val="00D16771"/>
    <w:rsid w:val="00D16C4F"/>
    <w:rsid w:val="00D25033"/>
    <w:rsid w:val="00D26B84"/>
    <w:rsid w:val="00D30211"/>
    <w:rsid w:val="00D35EBE"/>
    <w:rsid w:val="00D41A04"/>
    <w:rsid w:val="00D42B47"/>
    <w:rsid w:val="00D43795"/>
    <w:rsid w:val="00D454E6"/>
    <w:rsid w:val="00D5557D"/>
    <w:rsid w:val="00D61311"/>
    <w:rsid w:val="00D71251"/>
    <w:rsid w:val="00D81DF4"/>
    <w:rsid w:val="00D840AD"/>
    <w:rsid w:val="00D850B8"/>
    <w:rsid w:val="00D91518"/>
    <w:rsid w:val="00D91687"/>
    <w:rsid w:val="00DA013B"/>
    <w:rsid w:val="00DA4B8C"/>
    <w:rsid w:val="00DA4D4E"/>
    <w:rsid w:val="00DA6460"/>
    <w:rsid w:val="00DB17E7"/>
    <w:rsid w:val="00DB3496"/>
    <w:rsid w:val="00DB3663"/>
    <w:rsid w:val="00DC16D8"/>
    <w:rsid w:val="00DC31FD"/>
    <w:rsid w:val="00DC3318"/>
    <w:rsid w:val="00DD02FA"/>
    <w:rsid w:val="00DD1A49"/>
    <w:rsid w:val="00DE3C84"/>
    <w:rsid w:val="00DE5D70"/>
    <w:rsid w:val="00DF0148"/>
    <w:rsid w:val="00DF1A80"/>
    <w:rsid w:val="00E038EB"/>
    <w:rsid w:val="00E04F08"/>
    <w:rsid w:val="00E12100"/>
    <w:rsid w:val="00E13A19"/>
    <w:rsid w:val="00E16C60"/>
    <w:rsid w:val="00E16D31"/>
    <w:rsid w:val="00E330BC"/>
    <w:rsid w:val="00E33F9A"/>
    <w:rsid w:val="00E463F2"/>
    <w:rsid w:val="00E53A57"/>
    <w:rsid w:val="00E60413"/>
    <w:rsid w:val="00E615AD"/>
    <w:rsid w:val="00E62FDF"/>
    <w:rsid w:val="00E71050"/>
    <w:rsid w:val="00E72641"/>
    <w:rsid w:val="00E77A91"/>
    <w:rsid w:val="00E949C4"/>
    <w:rsid w:val="00EA5C6E"/>
    <w:rsid w:val="00EA6FE6"/>
    <w:rsid w:val="00EB2BB2"/>
    <w:rsid w:val="00EC0DB0"/>
    <w:rsid w:val="00EC1048"/>
    <w:rsid w:val="00EC2EE0"/>
    <w:rsid w:val="00EC2F2C"/>
    <w:rsid w:val="00EC5774"/>
    <w:rsid w:val="00EC602D"/>
    <w:rsid w:val="00ED0D06"/>
    <w:rsid w:val="00ED4F82"/>
    <w:rsid w:val="00EE2B78"/>
    <w:rsid w:val="00EE2FEB"/>
    <w:rsid w:val="00EE3533"/>
    <w:rsid w:val="00EE7202"/>
    <w:rsid w:val="00EF4A1B"/>
    <w:rsid w:val="00EF7924"/>
    <w:rsid w:val="00F02637"/>
    <w:rsid w:val="00F11576"/>
    <w:rsid w:val="00F13C3F"/>
    <w:rsid w:val="00F168DF"/>
    <w:rsid w:val="00F27DAE"/>
    <w:rsid w:val="00F30C45"/>
    <w:rsid w:val="00F37FCC"/>
    <w:rsid w:val="00F45308"/>
    <w:rsid w:val="00F533CD"/>
    <w:rsid w:val="00F56405"/>
    <w:rsid w:val="00F57D72"/>
    <w:rsid w:val="00F65222"/>
    <w:rsid w:val="00F777FF"/>
    <w:rsid w:val="00F9008F"/>
    <w:rsid w:val="00F92D02"/>
    <w:rsid w:val="00FB0932"/>
    <w:rsid w:val="00FB0CB1"/>
    <w:rsid w:val="00FC0670"/>
    <w:rsid w:val="00FC29F6"/>
    <w:rsid w:val="00FC413B"/>
    <w:rsid w:val="00FC7853"/>
    <w:rsid w:val="00FD7076"/>
    <w:rsid w:val="00FE09E5"/>
    <w:rsid w:val="00FF1F6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F7AAE69D-83EB-42C0-8C17-45938A80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
    <w:name w:val="Light Shading"/>
    <w:basedOn w:val="Tablanormal"/>
    <w:uiPriority w:val="60"/>
    <w:rsid w:val="00B459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BFD64-BEC2-4F37-AA83-345FD6CE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4555</Words>
  <Characters>25056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Usuario</cp:lastModifiedBy>
  <cp:revision>2</cp:revision>
  <cp:lastPrinted>2017-12-07T19:57:00Z</cp:lastPrinted>
  <dcterms:created xsi:type="dcterms:W3CDTF">2021-05-28T20:52:00Z</dcterms:created>
  <dcterms:modified xsi:type="dcterms:W3CDTF">2021-05-28T20:52:00Z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