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hint="default" w:ascii="Times New Roman" w:hAnsi="Times New Roman" w:cs="Times New Roman"/>
          <w:b/>
          <w:bCs/>
          <w:sz w:val="24"/>
          <w:szCs w:val="24"/>
          <w:lang w:val="es-EC"/>
        </w:rPr>
      </w:pPr>
      <w:r>
        <w:rPr>
          <w:rFonts w:hint="default" w:ascii="Times New Roman" w:hAnsi="Times New Roman" w:cs="Times New Roman"/>
          <w:b/>
          <w:bCs/>
          <w:sz w:val="24"/>
          <w:szCs w:val="24"/>
        </w:rPr>
        <w:t xml:space="preserve">RESOLUCIÓN Nro. C </w:t>
      </w:r>
      <w:r>
        <w:rPr>
          <w:rFonts w:hint="default" w:ascii="Times New Roman" w:hAnsi="Times New Roman" w:cs="Times New Roman"/>
          <w:b/>
          <w:bCs/>
          <w:sz w:val="24"/>
          <w:szCs w:val="24"/>
          <w:highlight w:val="green"/>
        </w:rPr>
        <w:t>XXX</w:t>
      </w:r>
      <w:r>
        <w:rPr>
          <w:rFonts w:hint="default" w:ascii="Times New Roman" w:hAnsi="Times New Roman" w:cs="Times New Roman"/>
          <w:b/>
          <w:bCs/>
          <w:sz w:val="24"/>
          <w:szCs w:val="24"/>
        </w:rPr>
        <w:t>-202</w:t>
      </w:r>
      <w:r>
        <w:rPr>
          <w:rFonts w:hint="default" w:ascii="Times New Roman" w:hAnsi="Times New Roman" w:cs="Times New Roman"/>
          <w:b/>
          <w:bCs/>
          <w:sz w:val="24"/>
          <w:szCs w:val="24"/>
          <w:lang w:val="es-EC"/>
        </w:rPr>
        <w:t>3</w:t>
      </w:r>
    </w:p>
    <w:p>
      <w:pPr>
        <w:autoSpaceDE w:val="0"/>
        <w:autoSpaceDN w:val="0"/>
        <w:adjustRightInd w:val="0"/>
        <w:spacing w:after="0" w:line="240" w:lineRule="auto"/>
        <w:jc w:val="center"/>
        <w:rPr>
          <w:rFonts w:hint="default" w:ascii="Times New Roman" w:hAnsi="Times New Roman" w:cs="Times New Roman"/>
          <w:b/>
          <w:bCs/>
          <w:sz w:val="24"/>
          <w:szCs w:val="24"/>
        </w:rPr>
      </w:pPr>
    </w:p>
    <w:p>
      <w:pPr>
        <w:autoSpaceDE w:val="0"/>
        <w:autoSpaceDN w:val="0"/>
        <w:adjustRightInd w:val="0"/>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EL CONCEJO METROPOLITANO DE QUITO</w:t>
      </w:r>
    </w:p>
    <w:p>
      <w:pPr>
        <w:autoSpaceDE w:val="0"/>
        <w:autoSpaceDN w:val="0"/>
        <w:adjustRightInd w:val="0"/>
        <w:spacing w:after="0" w:line="240" w:lineRule="auto"/>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CONSIDERANDO:</w:t>
      </w:r>
    </w:p>
    <w:p>
      <w:pPr>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 </w:t>
      </w:r>
      <w:r>
        <w:rPr>
          <w:rFonts w:hint="default" w:ascii="Times New Roman" w:hAnsi="Times New Roman" w:cs="Times New Roman"/>
          <w:sz w:val="24"/>
          <w:szCs w:val="24"/>
        </w:rPr>
        <w:t xml:space="preserve">el artículo 190 de la Constitución de la República del Ecuador dispone que: </w:t>
      </w:r>
      <w:r>
        <w:rPr>
          <w:rFonts w:hint="default" w:ascii="Times New Roman" w:hAnsi="Times New Roman" w:cs="Times New Roman"/>
          <w:i/>
          <w:sz w:val="24"/>
          <w:szCs w:val="24"/>
        </w:rPr>
        <w:t>“Se reconoce el arbitraje, la mediación y otros procedimientos alternativos para la solución de conflictos. Estos procedimientos se aplicarán con sujeción a la ley, en materias en las que por su naturaleza se pueda transigir. En la contratación pública procederá el arbitraje en derecho, previo pronunciamiento favorable de la Procuraduría General del Estado, conforme a las condiciones establecidas en la ley.”;</w:t>
      </w:r>
    </w:p>
    <w:p>
      <w:pPr>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 </w:t>
      </w:r>
      <w:r>
        <w:rPr>
          <w:rFonts w:hint="default" w:ascii="Times New Roman" w:hAnsi="Times New Roman" w:cs="Times New Roman"/>
          <w:sz w:val="24"/>
          <w:szCs w:val="24"/>
        </w:rPr>
        <w:t>el artículo 226 de la Constitución de la República del Ecuador, en relación al principio de legalidad, dispone que las servidoras o servidores públicos y las personas que actúen en virtud de una potestad estatal ejercerán solamente las competencias y facultades que les sean atribuidas en la Constitución y la Ley;</w:t>
      </w:r>
    </w:p>
    <w:p>
      <w:pPr>
        <w:jc w:val="both"/>
        <w:rPr>
          <w:rFonts w:hint="default" w:ascii="Times New Roman" w:hAnsi="Times New Roman" w:cs="Times New Roman"/>
          <w:i/>
          <w:iCs/>
          <w:sz w:val="24"/>
          <w:szCs w:val="24"/>
        </w:rPr>
      </w:pPr>
      <w:r>
        <w:rPr>
          <w:rFonts w:hint="default" w:ascii="Times New Roman" w:hAnsi="Times New Roman" w:cs="Times New Roman"/>
          <w:b/>
          <w:sz w:val="24"/>
          <w:szCs w:val="24"/>
        </w:rPr>
        <w:t xml:space="preserve">Que, </w:t>
      </w:r>
      <w:r>
        <w:rPr>
          <w:rFonts w:hint="default" w:ascii="Times New Roman" w:hAnsi="Times New Roman" w:cs="Times New Roman"/>
          <w:sz w:val="24"/>
          <w:szCs w:val="24"/>
        </w:rPr>
        <w:t xml:space="preserve">el artículo 227 de la Constitución de la República del Ecuador, dispone: </w:t>
      </w:r>
      <w:r>
        <w:rPr>
          <w:rFonts w:hint="default" w:ascii="Times New Roman" w:hAnsi="Times New Roman" w:cs="Times New Roman"/>
          <w:i/>
          <w:sz w:val="24"/>
          <w:szCs w:val="24"/>
        </w:rPr>
        <w:t>“</w:t>
      </w:r>
      <w:r>
        <w:rPr>
          <w:rFonts w:hint="default" w:ascii="Times New Roman" w:hAnsi="Times New Roman" w:cs="Times New Roman"/>
          <w:i/>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r>
        <w:rPr>
          <w:rFonts w:hint="default" w:ascii="Times New Roman" w:hAnsi="Times New Roman" w:cs="Times New Roman"/>
          <w:i/>
          <w:iCs/>
          <w:sz w:val="24"/>
          <w:szCs w:val="24"/>
        </w:rPr>
        <w:t>”;</w:t>
      </w:r>
    </w:p>
    <w:p>
      <w:pPr>
        <w:jc w:val="both"/>
        <w:rPr>
          <w:rFonts w:hint="default" w:ascii="Times New Roman" w:hAnsi="Times New Roman" w:eastAsia="Times New Roman" w:cs="Times New Roman"/>
          <w:i/>
          <w:iCs w:val="0"/>
          <w:sz w:val="24"/>
          <w:szCs w:val="24"/>
        </w:rPr>
      </w:pPr>
      <w:r>
        <w:rPr>
          <w:rFonts w:hint="default" w:ascii="Times New Roman" w:hAnsi="Times New Roman" w:cs="Times New Roman"/>
          <w:b/>
          <w:iCs/>
          <w:sz w:val="24"/>
          <w:szCs w:val="24"/>
        </w:rPr>
        <w:t>Que,</w:t>
      </w:r>
      <w:r>
        <w:rPr>
          <w:rFonts w:hint="default" w:ascii="Times New Roman" w:hAnsi="Times New Roman" w:cs="Times New Roman"/>
          <w:iCs/>
          <w:sz w:val="24"/>
          <w:szCs w:val="24"/>
        </w:rPr>
        <w:t xml:space="preserve"> el artículo 264 </w:t>
      </w:r>
      <w:r>
        <w:rPr>
          <w:rFonts w:hint="default" w:ascii="Times New Roman" w:hAnsi="Times New Roman" w:cs="Times New Roman"/>
          <w:i/>
          <w:iCs/>
          <w:sz w:val="24"/>
          <w:szCs w:val="24"/>
        </w:rPr>
        <w:t xml:space="preserve">ibídem </w:t>
      </w:r>
      <w:r>
        <w:rPr>
          <w:rFonts w:hint="default" w:ascii="Times New Roman" w:hAnsi="Times New Roman" w:cs="Times New Roman"/>
          <w:iCs/>
          <w:sz w:val="24"/>
          <w:szCs w:val="24"/>
        </w:rPr>
        <w:t xml:space="preserve">dispone que: </w:t>
      </w:r>
      <w:r>
        <w:rPr>
          <w:rFonts w:hint="default" w:ascii="Times New Roman" w:hAnsi="Times New Roman" w:cs="Times New Roman"/>
          <w:i/>
          <w:iCs w:val="0"/>
          <w:sz w:val="24"/>
          <w:szCs w:val="24"/>
        </w:rPr>
        <w:t>“</w:t>
      </w:r>
      <w:r>
        <w:rPr>
          <w:rFonts w:hint="default" w:ascii="Times New Roman" w:hAnsi="Times New Roman" w:eastAsia="Times New Roman" w:cs="Times New Roman"/>
          <w:i/>
          <w:iCs w:val="0"/>
          <w:sz w:val="24"/>
          <w:szCs w:val="24"/>
        </w:rPr>
        <w:t>Los gobiernos municipales tendrán las siguientes competencias exclusivas sin perjuicio de otras que determine la ley: “6. Planificar, regular y controlar el tránsito y el transporte público dentro de su territorio cantonal.”;</w:t>
      </w:r>
    </w:p>
    <w:p>
      <w:pPr>
        <w:jc w:val="both"/>
        <w:rPr>
          <w:rFonts w:hint="default" w:ascii="Times New Roman" w:hAnsi="Times New Roman" w:eastAsia="Times New Roman" w:cs="Times New Roman"/>
          <w:sz w:val="24"/>
          <w:szCs w:val="24"/>
        </w:rPr>
      </w:pPr>
      <w:r>
        <w:rPr>
          <w:rFonts w:hint="default" w:ascii="Times New Roman" w:hAnsi="Times New Roman" w:cs="Times New Roman"/>
          <w:b/>
          <w:iCs/>
          <w:sz w:val="24"/>
          <w:szCs w:val="24"/>
        </w:rPr>
        <w:t>Que,</w:t>
      </w:r>
      <w:r>
        <w:rPr>
          <w:rFonts w:hint="default" w:ascii="Times New Roman" w:hAnsi="Times New Roman" w:cs="Times New Roman"/>
          <w:iCs/>
          <w:sz w:val="24"/>
          <w:szCs w:val="24"/>
        </w:rPr>
        <w:t xml:space="preserve"> el artículo 87 </w:t>
      </w:r>
      <w:r>
        <w:rPr>
          <w:rFonts w:hint="default" w:ascii="Times New Roman" w:hAnsi="Times New Roman" w:cs="Times New Roman"/>
          <w:sz w:val="24"/>
          <w:szCs w:val="24"/>
        </w:rPr>
        <w:t xml:space="preserve">del Código Orgánico de Organización Territorial Autonomía y Descentralización menciona que: </w:t>
      </w:r>
      <w:r>
        <w:rPr>
          <w:rFonts w:hint="default" w:ascii="Times New Roman" w:hAnsi="Times New Roman" w:cs="Times New Roman"/>
          <w:i/>
          <w:sz w:val="24"/>
          <w:szCs w:val="24"/>
        </w:rPr>
        <w:t>“a) Ejercer la facultad normativa en las materias de competencia del gobierno autónomo descentralizado metropolitano, mediante la expedición de ordenanzas metropolitanas, acuerdos y resoluciones”</w:t>
      </w:r>
      <w:r>
        <w:rPr>
          <w:rFonts w:hint="default" w:ascii="Times New Roman" w:hAnsi="Times New Roman" w:cs="Times New Roman"/>
          <w:sz w:val="24"/>
          <w:szCs w:val="24"/>
        </w:rPr>
        <w:t xml:space="preserve">; y, </w:t>
      </w:r>
      <w:r>
        <w:rPr>
          <w:rFonts w:hint="default" w:ascii="Times New Roman" w:hAnsi="Times New Roman" w:cs="Times New Roman"/>
          <w:i/>
          <w:sz w:val="24"/>
          <w:szCs w:val="24"/>
        </w:rPr>
        <w:t>“</w:t>
      </w:r>
      <w:r>
        <w:rPr>
          <w:rFonts w:hint="default" w:ascii="Times New Roman" w:hAnsi="Times New Roman" w:eastAsia="Times New Roman" w:cs="Times New Roman"/>
          <w:i/>
          <w:sz w:val="24"/>
          <w:szCs w:val="24"/>
        </w:rPr>
        <w:t>d) Expedir acuerdos o resoluciones en el ámbito de sus competencias para regular temas institucionales específicos o reconocer derechos particulares”</w:t>
      </w:r>
      <w:r>
        <w:rPr>
          <w:rFonts w:hint="default" w:ascii="Times New Roman" w:hAnsi="Times New Roman" w:eastAsia="Times New Roman" w:cs="Times New Roman"/>
          <w:sz w:val="24"/>
          <w:szCs w:val="24"/>
        </w:rPr>
        <w:t>;</w:t>
      </w:r>
    </w:p>
    <w:p>
      <w:pPr>
        <w:jc w:val="both"/>
        <w:rPr>
          <w:rFonts w:hint="default" w:ascii="Times New Roman" w:hAnsi="Times New Roman" w:eastAsia="Times New Roman" w:cs="Times New Roman"/>
          <w:i/>
          <w:sz w:val="24"/>
          <w:szCs w:val="24"/>
        </w:rPr>
      </w:pPr>
      <w:r>
        <w:rPr>
          <w:rFonts w:hint="default" w:ascii="Times New Roman" w:hAnsi="Times New Roman" w:cs="Times New Roman"/>
          <w:b/>
          <w:iCs/>
          <w:sz w:val="24"/>
          <w:szCs w:val="24"/>
        </w:rPr>
        <w:t>Que,</w:t>
      </w:r>
      <w:r>
        <w:rPr>
          <w:rFonts w:hint="default" w:ascii="Times New Roman" w:hAnsi="Times New Roman" w:cs="Times New Roman"/>
          <w:iCs/>
          <w:sz w:val="24"/>
          <w:szCs w:val="24"/>
        </w:rPr>
        <w:t xml:space="preserve"> el artículo 90  </w:t>
      </w:r>
      <w:r>
        <w:rPr>
          <w:rFonts w:hint="default" w:ascii="Times New Roman" w:hAnsi="Times New Roman" w:cs="Times New Roman"/>
          <w:sz w:val="24"/>
          <w:szCs w:val="24"/>
        </w:rPr>
        <w:t xml:space="preserve">del Código Orgánico de Organización Territorial Autonomía y Descentralización  señala: </w:t>
      </w:r>
      <w:r>
        <w:rPr>
          <w:rFonts w:hint="default" w:ascii="Times New Roman" w:hAnsi="Times New Roman" w:cs="Times New Roman"/>
          <w:i/>
          <w:sz w:val="24"/>
          <w:szCs w:val="24"/>
        </w:rPr>
        <w:t>“Le corresponde al alcalde o alcaldesa metropolitano: “a) Ejercer la representación legal del gobierno del distrito metropolitano autónomo; y, la representación judicial conjuntamente con el procurador síndico”</w:t>
      </w:r>
      <w:r>
        <w:rPr>
          <w:rFonts w:hint="default" w:ascii="Times New Roman" w:hAnsi="Times New Roman" w:cs="Times New Roman"/>
          <w:sz w:val="24"/>
          <w:szCs w:val="24"/>
        </w:rPr>
        <w:t>;</w:t>
      </w:r>
      <w:r>
        <w:rPr>
          <w:rFonts w:hint="default" w:ascii="Times New Roman" w:hAnsi="Times New Roman" w:cs="Times New Roman"/>
          <w:i/>
          <w:sz w:val="24"/>
          <w:szCs w:val="24"/>
        </w:rPr>
        <w:t xml:space="preserve"> “l) Designar delegados institucionales en entidades, empresas u organismos colegiados donde tenga participación la institución”; “n) Suscribir contratos, convenios e instrumentos que comprometan al gobierno autónomo metropolitano, de acuerdo con la ley. Los convenios de crédito o aquellos que comprometan el patrimonio institucional requerirán de la autorización del concejo metropolitano, en los montos y casos previstos en las ordenanzas distritales que se dicten en la materia”; </w:t>
      </w:r>
      <w:r>
        <w:rPr>
          <w:rFonts w:hint="default" w:ascii="Times New Roman" w:hAnsi="Times New Roman" w:cs="Times New Roman"/>
          <w:sz w:val="24"/>
          <w:szCs w:val="24"/>
        </w:rPr>
        <w:t xml:space="preserve">y; </w:t>
      </w:r>
      <w:r>
        <w:rPr>
          <w:rFonts w:hint="default" w:ascii="Times New Roman" w:hAnsi="Times New Roman" w:cs="Times New Roman"/>
          <w:i/>
          <w:sz w:val="24"/>
          <w:szCs w:val="24"/>
        </w:rPr>
        <w:t>“</w:t>
      </w:r>
      <w:r>
        <w:rPr>
          <w:rFonts w:hint="default" w:ascii="Times New Roman" w:hAnsi="Times New Roman" w:eastAsia="Times New Roman" w:cs="Times New Roman"/>
          <w:i/>
          <w:sz w:val="24"/>
          <w:szCs w:val="24"/>
        </w:rPr>
        <w:t>t) Designar a sus representantes institucionales en entidades, empresas u organismos colegiados donde tenga participación el gobierno metropolitano: así como delegar atribuciones y deberes al vicealcalde o vicealcaldesa, concejalas, concejales y funcionarios, dentro del ámbito de sus competencias”;</w:t>
      </w:r>
    </w:p>
    <w:p>
      <w:pPr>
        <w:jc w:val="both"/>
        <w:rPr>
          <w:rFonts w:hint="default" w:ascii="Times New Roman" w:hAnsi="Times New Roman" w:cs="Times New Roman"/>
          <w:i/>
          <w:iCs/>
          <w:sz w:val="24"/>
          <w:szCs w:val="24"/>
        </w:rPr>
      </w:pPr>
      <w:r>
        <w:rPr>
          <w:rFonts w:hint="default" w:ascii="Times New Roman" w:hAnsi="Times New Roman" w:cs="Times New Roman"/>
          <w:b/>
          <w:iCs/>
          <w:sz w:val="24"/>
          <w:szCs w:val="24"/>
        </w:rPr>
        <w:t>Que,</w:t>
      </w:r>
      <w:r>
        <w:rPr>
          <w:rFonts w:hint="default" w:ascii="Times New Roman" w:hAnsi="Times New Roman" w:cs="Times New Roman"/>
          <w:iCs/>
          <w:sz w:val="24"/>
          <w:szCs w:val="24"/>
        </w:rPr>
        <w:t xml:space="preserve"> el artículo 323 del </w:t>
      </w:r>
      <w:r>
        <w:rPr>
          <w:rFonts w:hint="default" w:ascii="Times New Roman" w:hAnsi="Times New Roman" w:cs="Times New Roman"/>
          <w:sz w:val="24"/>
          <w:szCs w:val="24"/>
        </w:rPr>
        <w:t>Código Orgánico de Organización Territorial Autonomía y Descentralización dispone: “</w:t>
      </w:r>
      <w:r>
        <w:rPr>
          <w:rFonts w:hint="default" w:ascii="Times New Roman" w:hAnsi="Times New Roman" w:cs="Times New Roman"/>
          <w:i/>
          <w:sz w:val="24"/>
          <w:szCs w:val="24"/>
        </w:rPr>
        <w:t xml:space="preserve">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Pr>
          <w:rFonts w:hint="default" w:ascii="Times New Roman" w:hAnsi="Times New Roman" w:cs="Times New Roman"/>
          <w:sz w:val="24"/>
          <w:szCs w:val="24"/>
        </w:rPr>
        <w:t xml:space="preserve">(…); </w:t>
      </w:r>
    </w:p>
    <w:p>
      <w:pPr>
        <w:jc w:val="both"/>
        <w:rPr>
          <w:rFonts w:hint="default" w:ascii="Times New Roman" w:hAnsi="Times New Roman" w:cs="Times New Roman"/>
          <w:iCs/>
          <w:sz w:val="24"/>
          <w:szCs w:val="24"/>
        </w:rPr>
      </w:pPr>
      <w:r>
        <w:rPr>
          <w:rFonts w:hint="default" w:ascii="Times New Roman" w:hAnsi="Times New Roman" w:cs="Times New Roman"/>
          <w:b/>
          <w:iCs/>
          <w:sz w:val="24"/>
          <w:szCs w:val="24"/>
        </w:rPr>
        <w:t>Que,</w:t>
      </w:r>
      <w:r>
        <w:rPr>
          <w:rFonts w:hint="default" w:ascii="Times New Roman" w:hAnsi="Times New Roman" w:cs="Times New Roman"/>
          <w:iCs/>
          <w:sz w:val="24"/>
          <w:szCs w:val="24"/>
        </w:rPr>
        <w:t xml:space="preserve"> el artículo 331 </w:t>
      </w:r>
      <w:r>
        <w:rPr>
          <w:rFonts w:hint="default" w:ascii="Times New Roman" w:hAnsi="Times New Roman" w:cs="Times New Roman"/>
          <w:iCs/>
          <w:sz w:val="24"/>
          <w:szCs w:val="24"/>
          <w:lang w:val="es-EC"/>
        </w:rPr>
        <w:t xml:space="preserve">del </w:t>
      </w:r>
      <w:r>
        <w:rPr>
          <w:rFonts w:hint="default" w:ascii="Times New Roman" w:hAnsi="Times New Roman" w:cs="Times New Roman"/>
          <w:sz w:val="24"/>
          <w:szCs w:val="24"/>
        </w:rPr>
        <w:t>Código Orgánico de Organización Territorial Autonomía y Descentralización</w:t>
      </w:r>
      <w:r>
        <w:rPr>
          <w:rFonts w:hint="default" w:ascii="Times New Roman" w:hAnsi="Times New Roman" w:cs="Times New Roman"/>
          <w:i/>
          <w:iCs/>
          <w:sz w:val="24"/>
          <w:szCs w:val="24"/>
        </w:rPr>
        <w:t xml:space="preserve"> </w:t>
      </w:r>
      <w:r>
        <w:rPr>
          <w:rFonts w:hint="default" w:ascii="Times New Roman" w:hAnsi="Times New Roman" w:cs="Times New Roman"/>
          <w:i w:val="0"/>
          <w:iCs w:val="0"/>
          <w:sz w:val="24"/>
          <w:szCs w:val="24"/>
          <w:lang w:val="es-EC"/>
        </w:rPr>
        <w:t>claramente ordena:</w:t>
      </w:r>
      <w:r>
        <w:rPr>
          <w:rFonts w:hint="default" w:ascii="Times New Roman" w:hAnsi="Times New Roman" w:cs="Times New Roman"/>
          <w:i/>
          <w:iCs/>
          <w:sz w:val="24"/>
          <w:szCs w:val="24"/>
          <w:lang w:val="es-EC"/>
        </w:rPr>
        <w:t xml:space="preserve"> </w:t>
      </w:r>
      <w:r>
        <w:rPr>
          <w:rFonts w:hint="default" w:ascii="Times New Roman" w:hAnsi="Times New Roman" w:cs="Times New Roman"/>
          <w:i/>
          <w:iCs/>
          <w:sz w:val="24"/>
          <w:szCs w:val="24"/>
        </w:rPr>
        <w:t>“Está prohibido al ejecutivo de los gobiernos autónomos descentralizados: …</w:t>
      </w:r>
      <w:r>
        <w:rPr>
          <w:rFonts w:hint="default" w:ascii="Times New Roman" w:hAnsi="Times New Roman" w:cs="Times New Roman"/>
          <w:i/>
          <w:sz w:val="24"/>
          <w:szCs w:val="24"/>
        </w:rPr>
        <w:t xml:space="preserve"> </w:t>
      </w:r>
      <w:r>
        <w:rPr>
          <w:rFonts w:hint="default" w:ascii="Times New Roman" w:hAnsi="Times New Roman" w:cs="Times New Roman"/>
          <w:i/>
          <w:iCs/>
          <w:sz w:val="24"/>
          <w:szCs w:val="24"/>
        </w:rPr>
        <w:t>j) Absolver posiciones, deferir el juramento decisorio, allanarse a la demanda o desistir de una planteada, y aceptar conciliaciones conforme a la ley sin previa autorización del órgano de legislación”</w:t>
      </w:r>
      <w:r>
        <w:rPr>
          <w:rFonts w:hint="default" w:ascii="Times New Roman" w:hAnsi="Times New Roman" w:cs="Times New Roman"/>
          <w:iCs/>
          <w:sz w:val="24"/>
          <w:szCs w:val="24"/>
        </w:rPr>
        <w:t>;</w:t>
      </w:r>
    </w:p>
    <w:p>
      <w:pPr>
        <w:jc w:val="both"/>
        <w:rPr>
          <w:rFonts w:hint="default" w:ascii="Times New Roman" w:hAnsi="Times New Roman" w:cs="Times New Roman"/>
          <w:i/>
          <w:iCs/>
          <w:sz w:val="24"/>
          <w:szCs w:val="24"/>
        </w:rPr>
      </w:pPr>
      <w:r>
        <w:rPr>
          <w:rFonts w:hint="default" w:ascii="Times New Roman" w:hAnsi="Times New Roman" w:cs="Times New Roman"/>
          <w:b/>
          <w:iCs/>
          <w:sz w:val="24"/>
          <w:szCs w:val="24"/>
        </w:rPr>
        <w:t xml:space="preserve">Que, </w:t>
      </w:r>
      <w:r>
        <w:rPr>
          <w:rFonts w:hint="default" w:ascii="Times New Roman" w:hAnsi="Times New Roman" w:cs="Times New Roman"/>
          <w:iCs/>
          <w:sz w:val="24"/>
          <w:szCs w:val="24"/>
        </w:rPr>
        <w:t xml:space="preserve">el artículo 47 del Código Orgánico Administrativo, establece: </w:t>
      </w:r>
      <w:r>
        <w:rPr>
          <w:rFonts w:hint="default" w:ascii="Times New Roman" w:hAnsi="Times New Roman" w:cs="Times New Roman"/>
          <w:i/>
          <w:iCs/>
          <w:sz w:val="24"/>
          <w:szCs w:val="24"/>
        </w:rPr>
        <w:t>“La máxima autoridad administrativa de la correspondiente entidad pública ejerce su representación para intervenir en todos los actos, contratos y relaciones jurídicas sujetas a su competencia. Esta autoridad no requiere delegación o autorización alguna de un órgano o entidad superior, salvo en los casos expresamente previstos en la ley.”;</w:t>
      </w:r>
    </w:p>
    <w:p>
      <w:pPr>
        <w:autoSpaceDE w:val="0"/>
        <w:autoSpaceDN w:val="0"/>
        <w:adjustRightInd w:val="0"/>
        <w:spacing w:line="276" w:lineRule="auto"/>
        <w:jc w:val="both"/>
        <w:rPr>
          <w:rFonts w:hint="default" w:ascii="Times New Roman" w:hAnsi="Times New Roman" w:cs="Times New Roman"/>
          <w:sz w:val="24"/>
          <w:szCs w:val="24"/>
        </w:rPr>
      </w:pPr>
      <w:r>
        <w:rPr>
          <w:rFonts w:hint="default" w:ascii="Times New Roman" w:hAnsi="Times New Roman" w:cs="Times New Roman"/>
          <w:b/>
          <w:iCs/>
          <w:sz w:val="24"/>
          <w:szCs w:val="24"/>
        </w:rPr>
        <w:t xml:space="preserve">Que, </w:t>
      </w:r>
      <w:r>
        <w:rPr>
          <w:rFonts w:hint="default" w:ascii="Times New Roman" w:hAnsi="Times New Roman" w:cs="Times New Roman"/>
          <w:iCs/>
          <w:sz w:val="24"/>
          <w:szCs w:val="24"/>
        </w:rPr>
        <w:t xml:space="preserve">el artículo 69 del del Código Orgánico Administrativo contempla que: </w:t>
      </w:r>
      <w:r>
        <w:rPr>
          <w:rFonts w:hint="default" w:ascii="Times New Roman" w:hAnsi="Times New Roman" w:cs="Times New Roman"/>
          <w:i/>
          <w:iCs/>
          <w:sz w:val="24"/>
          <w:szCs w:val="24"/>
        </w:rPr>
        <w:t>“</w:t>
      </w:r>
      <w:r>
        <w:rPr>
          <w:rFonts w:hint="default" w:ascii="Times New Roman" w:hAnsi="Times New Roman" w:cs="Times New Roman"/>
          <w:i/>
          <w:sz w:val="24"/>
          <w:szCs w:val="24"/>
        </w:rPr>
        <w:t>Los órganos administrativos pueden delegar el ejercicio de sus competencias, incluida la de gestión, en: “1. Otros órganos o entidades de la misma administración pública, jerárquicamente dependientes.”</w:t>
      </w:r>
      <w:r>
        <w:rPr>
          <w:rFonts w:hint="default" w:ascii="Times New Roman" w:hAnsi="Times New Roman" w:cs="Times New Roman"/>
          <w:sz w:val="24"/>
          <w:szCs w:val="24"/>
        </w:rPr>
        <w:t>;</w:t>
      </w:r>
    </w:p>
    <w:p>
      <w:pPr>
        <w:autoSpaceDE w:val="0"/>
        <w:autoSpaceDN w:val="0"/>
        <w:adjustRightInd w:val="0"/>
        <w:spacing w:line="276" w:lineRule="auto"/>
        <w:jc w:val="both"/>
        <w:rPr>
          <w:rFonts w:hint="default" w:ascii="Times New Roman" w:hAnsi="Times New Roman" w:cs="Times New Roman"/>
          <w:iCs/>
          <w:sz w:val="24"/>
          <w:szCs w:val="24"/>
        </w:rPr>
      </w:pPr>
      <w:r>
        <w:rPr>
          <w:rFonts w:hint="default" w:ascii="Times New Roman" w:hAnsi="Times New Roman" w:cs="Times New Roman"/>
          <w:b/>
          <w:iCs/>
          <w:sz w:val="24"/>
          <w:szCs w:val="24"/>
        </w:rPr>
        <w:t xml:space="preserve">Que, </w:t>
      </w:r>
      <w:r>
        <w:rPr>
          <w:rFonts w:hint="default" w:ascii="Times New Roman" w:hAnsi="Times New Roman" w:cs="Times New Roman"/>
          <w:iCs/>
          <w:sz w:val="24"/>
          <w:szCs w:val="24"/>
        </w:rPr>
        <w:t xml:space="preserve">el artículo 70 </w:t>
      </w:r>
      <w:r>
        <w:rPr>
          <w:rFonts w:hint="default" w:ascii="Times New Roman" w:hAnsi="Times New Roman" w:cs="Times New Roman"/>
          <w:i/>
          <w:iCs/>
          <w:sz w:val="24"/>
          <w:szCs w:val="24"/>
        </w:rPr>
        <w:t xml:space="preserve">ibídem </w:t>
      </w:r>
      <w:r>
        <w:rPr>
          <w:rFonts w:hint="default" w:ascii="Times New Roman" w:hAnsi="Times New Roman" w:cs="Times New Roman"/>
          <w:iCs/>
          <w:sz w:val="24"/>
          <w:szCs w:val="24"/>
        </w:rPr>
        <w:t xml:space="preserve">señala que: </w:t>
      </w:r>
      <w:r>
        <w:rPr>
          <w:rFonts w:hint="default" w:ascii="Times New Roman" w:hAnsi="Times New Roman" w:cs="Times New Roman"/>
          <w:i/>
          <w:iCs/>
          <w:sz w:val="24"/>
          <w:szCs w:val="24"/>
        </w:rPr>
        <w:t>“La delegación contendrá: 1. La especificación del delegado. 2. La especificación del órgano delegante y la atribución para delegar dicha competencia. 3. Las competencias que son objeto de delegación o los actos que el delegado debe ejercer para el cumplimiento de las mismas.  4. El plazo o condición, cuando sean necesarios.  5. El acto del que conste la delegación expresará además lugar, fecha y número. 6. Las decisiones que pueden adoptarse por delegación La delegación de competencias y su revocación se publicarán por el órgano delegante, a través de los medios de difusión institucional.”</w:t>
      </w:r>
      <w:r>
        <w:rPr>
          <w:rFonts w:hint="default" w:ascii="Times New Roman" w:hAnsi="Times New Roman" w:cs="Times New Roman"/>
          <w:iCs/>
          <w:sz w:val="24"/>
          <w:szCs w:val="24"/>
        </w:rPr>
        <w:t>;</w:t>
      </w:r>
    </w:p>
    <w:p>
      <w:pPr>
        <w:autoSpaceDE w:val="0"/>
        <w:autoSpaceDN w:val="0"/>
        <w:adjustRightInd w:val="0"/>
        <w:spacing w:line="276" w:lineRule="auto"/>
        <w:jc w:val="both"/>
        <w:rPr>
          <w:rFonts w:hint="default" w:ascii="Times New Roman" w:hAnsi="Times New Roman" w:cs="Times New Roman"/>
          <w:iCs/>
          <w:sz w:val="24"/>
          <w:szCs w:val="24"/>
        </w:rPr>
      </w:pPr>
      <w:r>
        <w:rPr>
          <w:rFonts w:hint="default" w:ascii="Times New Roman" w:hAnsi="Times New Roman" w:cs="Times New Roman"/>
          <w:b/>
          <w:iCs/>
          <w:sz w:val="24"/>
          <w:szCs w:val="24"/>
        </w:rPr>
        <w:t xml:space="preserve">Que, </w:t>
      </w:r>
      <w:r>
        <w:rPr>
          <w:rFonts w:hint="default" w:ascii="Times New Roman" w:hAnsi="Times New Roman" w:cs="Times New Roman"/>
          <w:iCs/>
          <w:sz w:val="24"/>
          <w:szCs w:val="24"/>
        </w:rPr>
        <w:t>el 22 abril de 2013</w:t>
      </w:r>
      <w:r>
        <w:rPr>
          <w:rFonts w:hint="default" w:ascii="Times New Roman" w:hAnsi="Times New Roman" w:cs="Times New Roman"/>
          <w:iCs/>
          <w:sz w:val="24"/>
          <w:szCs w:val="24"/>
          <w:lang w:val="es-EC"/>
        </w:rPr>
        <w:t>,</w:t>
      </w:r>
      <w:r>
        <w:rPr>
          <w:rFonts w:hint="default" w:ascii="Times New Roman" w:hAnsi="Times New Roman" w:cs="Times New Roman"/>
          <w:iCs/>
          <w:sz w:val="24"/>
          <w:szCs w:val="24"/>
        </w:rPr>
        <w:t xml:space="preserve"> el Alcalde Metropolitano, resolvió expedir la resolución administrativa de creación de la Agencia Metropolitana de Control de Transporte Terrestre, Tránsito y Seguridad del Distrito Metropolitano de Quito (AMT);</w:t>
      </w:r>
    </w:p>
    <w:p>
      <w:pPr>
        <w:autoSpaceDE w:val="0"/>
        <w:autoSpaceDN w:val="0"/>
        <w:adjustRightInd w:val="0"/>
        <w:spacing w:line="276" w:lineRule="auto"/>
        <w:jc w:val="both"/>
        <w:rPr>
          <w:rFonts w:hint="default" w:ascii="Times New Roman" w:hAnsi="Times New Roman" w:cs="Times New Roman"/>
          <w:b w:val="0"/>
          <w:bCs/>
          <w:i/>
          <w:iCs w:val="0"/>
          <w:sz w:val="24"/>
          <w:szCs w:val="24"/>
        </w:rPr>
      </w:pPr>
      <w:r>
        <w:rPr>
          <w:rFonts w:hint="default" w:ascii="Times New Roman" w:hAnsi="Times New Roman" w:cs="Times New Roman"/>
          <w:b/>
          <w:iCs/>
          <w:sz w:val="24"/>
          <w:szCs w:val="24"/>
        </w:rPr>
        <w:t xml:space="preserve">Que, </w:t>
      </w:r>
      <w:r>
        <w:rPr>
          <w:rFonts w:hint="default" w:ascii="Times New Roman" w:hAnsi="Times New Roman" w:cs="Times New Roman"/>
          <w:b w:val="0"/>
          <w:bCs/>
          <w:iCs/>
          <w:sz w:val="24"/>
          <w:szCs w:val="24"/>
          <w:lang w:val="es-EC"/>
        </w:rPr>
        <w:t xml:space="preserve">mediante </w:t>
      </w:r>
      <w:r>
        <w:rPr>
          <w:rFonts w:hint="default" w:ascii="Times New Roman" w:hAnsi="Times New Roman" w:cs="Times New Roman"/>
          <w:b w:val="0"/>
          <w:bCs/>
          <w:iCs/>
          <w:sz w:val="24"/>
          <w:szCs w:val="24"/>
        </w:rPr>
        <w:t>oficio No. GADDMQ-AMT-2022-0893-O, de 30 de agosto de 2022, suscrito por la Econ. Laura Silvana Vallejo Páez, Directora General Metropolitana de Tránsito de la Agencia Metropolitana de Control de Transporte Terrestre, Tránsito y Seguridad Vial, con relación al procedimiento de mediación Nro. 0647-DNCM-2022-QUI, sustanciado en el Centro de Mediación de la Procuraduría General del Estado, relativo al contrato Nro. ACP-032-2014, cuyo objeto es “EQUIPAMIENTO DE LA INFRAESTRUCTURA, DE COMUNICACIONES DEL CENTRO DE DATOS PRINCIPAL Y CONTINGENCIA DE LA PLATAFORMA TECNOLÓGICA DE LA AMT”, suscrito entre la AMT y la compañía TOTAL TEK S.A., ante la falta de pago a la compañía contratista,</w:t>
      </w:r>
      <w:r>
        <w:rPr>
          <w:rFonts w:hint="default" w:ascii="Times New Roman" w:hAnsi="Times New Roman" w:cs="Times New Roman"/>
          <w:b w:val="0"/>
          <w:bCs/>
          <w:iCs/>
          <w:sz w:val="24"/>
          <w:szCs w:val="24"/>
          <w:lang w:val="es-EC"/>
        </w:rPr>
        <w:t xml:space="preserve"> requirió </w:t>
      </w:r>
      <w:r>
        <w:rPr>
          <w:rFonts w:hint="default" w:ascii="Times New Roman" w:hAnsi="Times New Roman" w:cs="Times New Roman"/>
          <w:b w:val="0"/>
          <w:bCs/>
          <w:iCs/>
          <w:sz w:val="24"/>
          <w:szCs w:val="24"/>
        </w:rPr>
        <w:t xml:space="preserve">lo siguiente: </w:t>
      </w:r>
      <w:r>
        <w:rPr>
          <w:rFonts w:hint="default" w:ascii="Times New Roman" w:hAnsi="Times New Roman" w:cs="Times New Roman"/>
          <w:b w:val="0"/>
          <w:bCs/>
          <w:i/>
          <w:iCs w:val="0"/>
          <w:sz w:val="24"/>
          <w:szCs w:val="24"/>
        </w:rPr>
        <w:t>"...se solicita a sus Autoridades, de acuerdo al ámbito de sus atribuciones y competencias se analice la pertinencia de conciliar o mediar con la compañía TOTAL TEK S.A., referente al contrato Nro. ACP-032-2014, cuyo objeto consiste en “EQUIPAMIENTO DE LA INFRAESTRUCTURA, DE COMUNICACIONES DEL CENTRO DE DATOS PRINCIPAL Y CONTINGENCIA DE LA PLATAFORMA TECNOLÓGICA DE LA AMT”, solicitando la correspondiente autorización al Concejo Metropolitano, al amparo de lo determinado en el artículo 331 letra j) del COOTAD".</w:t>
      </w:r>
    </w:p>
    <w:p>
      <w:pPr>
        <w:autoSpaceDE w:val="0"/>
        <w:autoSpaceDN w:val="0"/>
        <w:adjustRightInd w:val="0"/>
        <w:spacing w:line="276" w:lineRule="auto"/>
        <w:jc w:val="both"/>
        <w:rPr>
          <w:rStyle w:val="5"/>
          <w:rFonts w:hint="default" w:ascii="Times New Roman" w:hAnsi="Times New Roman" w:eastAsia="SimSun" w:cs="Times New Roman"/>
          <w:caps w:val="0"/>
          <w:color w:val="222222"/>
          <w:spacing w:val="0"/>
          <w:sz w:val="24"/>
          <w:szCs w:val="24"/>
        </w:rPr>
      </w:pPr>
      <w:r>
        <w:rPr>
          <w:rFonts w:hint="default" w:ascii="Times New Roman" w:hAnsi="Times New Roman" w:cs="Times New Roman"/>
          <w:b/>
          <w:bCs w:val="0"/>
          <w:i w:val="0"/>
          <w:iCs/>
          <w:sz w:val="24"/>
          <w:szCs w:val="24"/>
          <w:lang w:val="es-EC"/>
        </w:rPr>
        <w:t>Que,</w:t>
      </w:r>
      <w:r>
        <w:rPr>
          <w:rFonts w:hint="default" w:ascii="Times New Roman" w:hAnsi="Times New Roman" w:cs="Times New Roman"/>
          <w:b w:val="0"/>
          <w:bCs/>
          <w:i/>
          <w:iCs w:val="0"/>
          <w:sz w:val="24"/>
          <w:szCs w:val="24"/>
          <w:lang w:val="es-EC"/>
        </w:rPr>
        <w:t xml:space="preserve"> </w:t>
      </w:r>
      <w:r>
        <w:rPr>
          <w:rFonts w:hint="default" w:ascii="Times New Roman" w:hAnsi="Times New Roman" w:cs="Times New Roman"/>
          <w:b w:val="0"/>
          <w:bCs/>
          <w:i w:val="0"/>
          <w:iCs/>
          <w:sz w:val="24"/>
          <w:szCs w:val="24"/>
          <w:lang w:val="es-EC"/>
        </w:rPr>
        <w:t xml:space="preserve">con </w:t>
      </w:r>
      <w:r>
        <w:rPr>
          <w:rFonts w:hint="default" w:ascii="Times New Roman" w:hAnsi="Times New Roman" w:eastAsia="SimSun" w:cs="Times New Roman"/>
          <w:i w:val="0"/>
          <w:iCs/>
          <w:caps w:val="0"/>
          <w:color w:val="222222"/>
          <w:spacing w:val="0"/>
          <w:sz w:val="24"/>
          <w:szCs w:val="24"/>
          <w:shd w:val="clear" w:fill="FFFFFF"/>
        </w:rPr>
        <w:t>of</w:t>
      </w:r>
      <w:r>
        <w:rPr>
          <w:rFonts w:hint="default" w:ascii="Times New Roman" w:hAnsi="Times New Roman" w:eastAsia="SimSun" w:cs="Times New Roman"/>
          <w:i w:val="0"/>
          <w:iCs w:val="0"/>
          <w:caps w:val="0"/>
          <w:color w:val="222222"/>
          <w:spacing w:val="0"/>
          <w:sz w:val="24"/>
          <w:szCs w:val="24"/>
          <w:shd w:val="clear" w:fill="FFFFFF"/>
        </w:rPr>
        <w:t xml:space="preserve">icio No. GADDMQ-PM-2022-5120-O de 20 de diciembre de 2022, el Magíster Sandro Vinicio Vallejo Aristizábal, Procurador Metropolitano, </w:t>
      </w:r>
      <w:r>
        <w:rPr>
          <w:rFonts w:hint="default" w:ascii="Times New Roman" w:hAnsi="Times New Roman" w:eastAsia="SimSun" w:cs="Times New Roman"/>
          <w:i w:val="0"/>
          <w:iCs w:val="0"/>
          <w:caps w:val="0"/>
          <w:color w:val="222222"/>
          <w:spacing w:val="0"/>
          <w:sz w:val="24"/>
          <w:szCs w:val="24"/>
          <w:shd w:val="clear" w:fill="FFFFFF"/>
          <w:lang w:val="es-EC"/>
        </w:rPr>
        <w:t xml:space="preserve">emitió su informe jurídico en los siguientes términos: </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val="0"/>
          <w:iCs w:val="0"/>
          <w:caps w:val="0"/>
          <w:color w:val="222222"/>
          <w:spacing w:val="0"/>
          <w:sz w:val="24"/>
          <w:szCs w:val="24"/>
        </w:rPr>
        <w:br w:type="textWrapping"/>
      </w:r>
      <w:r>
        <w:rPr>
          <w:rFonts w:hint="default" w:ascii="Times New Roman" w:hAnsi="Times New Roman" w:eastAsia="SimSun" w:cs="Times New Roman"/>
          <w:i w:val="0"/>
          <w:iCs w:val="0"/>
          <w:caps w:val="0"/>
          <w:color w:val="222222"/>
          <w:spacing w:val="0"/>
          <w:sz w:val="24"/>
          <w:szCs w:val="24"/>
        </w:rPr>
        <w:br w:type="textWrapping"/>
      </w:r>
      <w:r>
        <w:rPr>
          <w:rStyle w:val="7"/>
          <w:rFonts w:hint="default" w:ascii="Times New Roman" w:hAnsi="Times New Roman" w:eastAsia="SimSun" w:cs="Times New Roman"/>
          <w:i/>
          <w:iCs/>
          <w:caps w:val="0"/>
          <w:color w:val="222222"/>
          <w:spacing w:val="0"/>
          <w:sz w:val="24"/>
          <w:szCs w:val="24"/>
        </w:rPr>
        <w:t>"III.             ANÁLISIS</w:t>
      </w:r>
      <w:r>
        <w:rPr>
          <w:rStyle w:val="5"/>
          <w:rFonts w:hint="default" w:ascii="Times New Roman" w:hAnsi="Times New Roman" w:eastAsia="SimSun" w:cs="Times New Roman"/>
          <w:i/>
          <w:iCs/>
          <w:caps w:val="0"/>
          <w:color w:val="222222"/>
          <w:spacing w:val="0"/>
          <w:sz w:val="24"/>
          <w:szCs w:val="24"/>
        </w:rPr>
        <w:br w:type="textWrapping"/>
      </w:r>
      <w:r>
        <w:rPr>
          <w:rStyle w:val="5"/>
          <w:rFonts w:hint="default" w:ascii="Times New Roman" w:hAnsi="Times New Roman" w:eastAsia="SimSun" w:cs="Times New Roman"/>
          <w:caps w:val="0"/>
          <w:color w:val="222222"/>
          <w:spacing w:val="0"/>
          <w:sz w:val="24"/>
          <w:szCs w:val="24"/>
        </w:rPr>
        <w:t>De conformidad a los hechos e informes expuestos a su conocimiento, me permito indicar que ante un eventual proceso judicial, las posibilidades de hacer una defensa a favor de la institución podrían resultar infructuosas y complejas , pues no se cuenta con el expediente original además que el acta entrega recepción definitiva ya fue ingresada en el portal de compras públicas, por lo que el proceso se encuentra finalizado.</w:t>
      </w:r>
      <w:r>
        <w:rPr>
          <w:rStyle w:val="5"/>
          <w:rFonts w:hint="default" w:ascii="Times New Roman" w:hAnsi="Times New Roman" w:eastAsia="SimSun" w:cs="Times New Roman"/>
          <w:caps w:val="0"/>
          <w:color w:val="222222"/>
          <w:spacing w:val="0"/>
          <w:sz w:val="24"/>
          <w:szCs w:val="24"/>
        </w:rPr>
        <w:br w:type="textWrapping"/>
      </w:r>
    </w:p>
    <w:p>
      <w:pPr>
        <w:autoSpaceDE w:val="0"/>
        <w:autoSpaceDN w:val="0"/>
        <w:adjustRightInd w:val="0"/>
        <w:spacing w:line="276" w:lineRule="auto"/>
        <w:jc w:val="both"/>
        <w:rPr>
          <w:rStyle w:val="5"/>
          <w:rFonts w:hint="default" w:ascii="Times New Roman" w:hAnsi="Times New Roman" w:eastAsia="SimSun" w:cs="Times New Roman"/>
          <w:caps w:val="0"/>
          <w:color w:val="222222"/>
          <w:spacing w:val="0"/>
          <w:sz w:val="24"/>
          <w:szCs w:val="24"/>
        </w:rPr>
      </w:pPr>
      <w:r>
        <w:rPr>
          <w:rStyle w:val="5"/>
          <w:rFonts w:hint="default" w:ascii="Times New Roman" w:hAnsi="Times New Roman" w:eastAsia="SimSun" w:cs="Times New Roman"/>
          <w:caps w:val="0"/>
          <w:color w:val="222222"/>
          <w:spacing w:val="0"/>
          <w:sz w:val="24"/>
          <w:szCs w:val="24"/>
        </w:rPr>
        <w:t xml:space="preserve">El artículo 81 de la Ley Orgánica del Sistema Nacional de Contratación Pública manda que: </w:t>
      </w:r>
    </w:p>
    <w:p>
      <w:pPr>
        <w:autoSpaceDE w:val="0"/>
        <w:autoSpaceDN w:val="0"/>
        <w:adjustRightInd w:val="0"/>
        <w:spacing w:line="276" w:lineRule="auto"/>
        <w:jc w:val="both"/>
        <w:rPr>
          <w:rStyle w:val="5"/>
          <w:rFonts w:hint="default" w:ascii="Times New Roman" w:hAnsi="Times New Roman" w:eastAsia="SimSun" w:cs="Times New Roman"/>
          <w:caps w:val="0"/>
          <w:color w:val="222222"/>
          <w:spacing w:val="0"/>
          <w:sz w:val="24"/>
          <w:szCs w:val="24"/>
        </w:rPr>
      </w:pPr>
      <w:r>
        <w:rPr>
          <w:rStyle w:val="5"/>
          <w:rFonts w:hint="default" w:ascii="Times New Roman" w:hAnsi="Times New Roman" w:eastAsia="SimSun" w:cs="Times New Roman"/>
          <w:caps w:val="0"/>
          <w:color w:val="222222"/>
          <w:spacing w:val="0"/>
          <w:sz w:val="24"/>
          <w:szCs w:val="24"/>
        </w:rPr>
        <w:t>“(…) En los contratos de adquisición de bienes y de prestación de servicios, incluidos los de consultoría, existirá una sola recepción, que se producirá de conformidad con lo establecido en el contrato y tendrá los efectos de recepción definitiva. Producida la recepción se devolverán las garantías otorgadas (…)” (Lo subrayado me perten</w:t>
      </w:r>
      <w:r>
        <w:rPr>
          <w:rStyle w:val="5"/>
          <w:rFonts w:hint="default" w:ascii="Times New Roman" w:hAnsi="Times New Roman" w:eastAsia="SimSun" w:cs="Times New Roman"/>
          <w:caps w:val="0"/>
          <w:color w:val="222222"/>
          <w:spacing w:val="0"/>
          <w:sz w:val="24"/>
          <w:szCs w:val="24"/>
          <w:lang w:val="es-EC"/>
        </w:rPr>
        <w:t>e</w:t>
      </w:r>
      <w:r>
        <w:rPr>
          <w:rStyle w:val="5"/>
          <w:rFonts w:hint="default" w:ascii="Times New Roman" w:hAnsi="Times New Roman" w:eastAsia="SimSun" w:cs="Times New Roman"/>
          <w:caps w:val="0"/>
          <w:color w:val="222222"/>
          <w:spacing w:val="0"/>
          <w:sz w:val="24"/>
          <w:szCs w:val="24"/>
        </w:rPr>
        <w:t xml:space="preserve">ce) </w:t>
      </w:r>
    </w:p>
    <w:p>
      <w:pPr>
        <w:autoSpaceDE w:val="0"/>
        <w:autoSpaceDN w:val="0"/>
        <w:adjustRightInd w:val="0"/>
        <w:spacing w:line="276" w:lineRule="auto"/>
        <w:jc w:val="both"/>
        <w:rPr>
          <w:rStyle w:val="5"/>
          <w:rFonts w:hint="default" w:ascii="Times New Roman" w:hAnsi="Times New Roman" w:eastAsia="SimSun" w:cs="Times New Roman"/>
          <w:caps w:val="0"/>
          <w:color w:val="222222"/>
          <w:spacing w:val="0"/>
          <w:sz w:val="24"/>
          <w:szCs w:val="24"/>
        </w:rPr>
      </w:pPr>
      <w:r>
        <w:rPr>
          <w:rStyle w:val="5"/>
          <w:rFonts w:hint="default" w:ascii="Times New Roman" w:hAnsi="Times New Roman" w:eastAsia="SimSun" w:cs="Times New Roman"/>
          <w:caps w:val="0"/>
          <w:color w:val="222222"/>
          <w:spacing w:val="0"/>
          <w:sz w:val="24"/>
          <w:szCs w:val="24"/>
        </w:rPr>
        <w:t xml:space="preserve">De igual forma el artículo 319 del reglamento de la norma ibídem señala: </w:t>
      </w:r>
    </w:p>
    <w:p>
      <w:pPr>
        <w:autoSpaceDE w:val="0"/>
        <w:autoSpaceDN w:val="0"/>
        <w:adjustRightInd w:val="0"/>
        <w:spacing w:line="276" w:lineRule="auto"/>
        <w:jc w:val="both"/>
        <w:rPr>
          <w:rStyle w:val="5"/>
          <w:rFonts w:hint="default" w:ascii="Times New Roman" w:hAnsi="Times New Roman" w:eastAsia="SimSun" w:cs="Times New Roman"/>
          <w:caps w:val="0"/>
          <w:color w:val="222222"/>
          <w:spacing w:val="0"/>
          <w:sz w:val="24"/>
          <w:szCs w:val="24"/>
          <w:lang w:val="es-EC"/>
        </w:rPr>
      </w:pPr>
      <w:r>
        <w:rPr>
          <w:rStyle w:val="5"/>
          <w:rFonts w:hint="default" w:ascii="Times New Roman" w:hAnsi="Times New Roman" w:eastAsia="SimSun" w:cs="Times New Roman"/>
          <w:caps w:val="0"/>
          <w:color w:val="222222"/>
          <w:spacing w:val="0"/>
          <w:sz w:val="24"/>
          <w:szCs w:val="24"/>
        </w:rPr>
        <w:t>“(…) En el caso de adquisición de bienes, el contratista solicitará por escrito al administrador del contrato que se reciban los mismos, dentro del plazo de entrega establecido en el contrato o la orden de compra. Para el efecto, el administrador y el guard</w:t>
      </w:r>
      <w:r>
        <w:rPr>
          <w:rStyle w:val="5"/>
          <w:rFonts w:hint="default" w:ascii="Times New Roman" w:hAnsi="Times New Roman" w:eastAsia="SimSun" w:cs="Times New Roman"/>
          <w:caps w:val="0"/>
          <w:color w:val="222222"/>
          <w:spacing w:val="0"/>
          <w:sz w:val="24"/>
          <w:szCs w:val="24"/>
          <w:lang w:val="es-EC"/>
        </w:rPr>
        <w:t>a</w:t>
      </w:r>
      <w:r>
        <w:rPr>
          <w:rStyle w:val="5"/>
          <w:rFonts w:hint="default" w:ascii="Times New Roman" w:hAnsi="Times New Roman" w:eastAsia="SimSun" w:cs="Times New Roman"/>
          <w:caps w:val="0"/>
          <w:color w:val="222222"/>
          <w:spacing w:val="0"/>
          <w:sz w:val="24"/>
          <w:szCs w:val="24"/>
        </w:rPr>
        <w:t>lmacén, recibirán los bienes y suscribirán la respectiva acta de entrega única y definitiva; sin exceder el termino máximo de diez (10) días, contados a partir de la petición de recepción por parte del contratista. En caso de no estar conformes, se rechazará por escrito la recepción, indicando con precisión qué aspectos no cumple y qué cosas deben ser corregidas a efectos de proceder con la recepción a entera satisfacción de la entidad contratante (…)”</w:t>
      </w:r>
      <w:r>
        <w:rPr>
          <w:rStyle w:val="5"/>
          <w:rFonts w:hint="default" w:ascii="Times New Roman" w:hAnsi="Times New Roman" w:eastAsia="SimSun" w:cs="Times New Roman"/>
          <w:caps w:val="0"/>
          <w:color w:val="222222"/>
          <w:spacing w:val="0"/>
          <w:sz w:val="24"/>
          <w:szCs w:val="24"/>
          <w:lang w:val="es-EC"/>
        </w:rPr>
        <w:t>.</w:t>
      </w:r>
    </w:p>
    <w:p>
      <w:pPr>
        <w:autoSpaceDE w:val="0"/>
        <w:autoSpaceDN w:val="0"/>
        <w:adjustRightInd w:val="0"/>
        <w:spacing w:line="276" w:lineRule="auto"/>
        <w:jc w:val="both"/>
        <w:rPr>
          <w:rStyle w:val="5"/>
          <w:rFonts w:hint="default" w:ascii="Times New Roman" w:hAnsi="Times New Roman" w:eastAsia="SimSun" w:cs="Times New Roman"/>
          <w:caps w:val="0"/>
          <w:color w:val="222222"/>
          <w:spacing w:val="0"/>
          <w:sz w:val="24"/>
          <w:szCs w:val="24"/>
        </w:rPr>
      </w:pPr>
      <w:r>
        <w:rPr>
          <w:rStyle w:val="5"/>
          <w:rFonts w:hint="default" w:ascii="Times New Roman" w:hAnsi="Times New Roman" w:eastAsia="SimSun" w:cs="Times New Roman"/>
          <w:caps w:val="0"/>
          <w:color w:val="222222"/>
          <w:spacing w:val="0"/>
          <w:sz w:val="24"/>
          <w:szCs w:val="24"/>
        </w:rPr>
        <w:t>De conformidad a las normas antes señaladas, el haber suscrito el acta entrega recepción definitiva por parte del administrador del contrato, sin hacer ninguna observación, la consecuencia jurídica de ello, es que la AMT aceptó que la Compañía TOTAL TEK dio pleno cumplimiento al contrato</w:t>
      </w:r>
      <w:r>
        <w:rPr>
          <w:rFonts w:ascii="SimSun" w:hAnsi="SimSun" w:eastAsia="SimSun" w:cs="SimSun"/>
          <w:sz w:val="24"/>
          <w:szCs w:val="24"/>
        </w:rPr>
        <w:t xml:space="preserve">. </w:t>
      </w:r>
      <w:r>
        <w:rPr>
          <w:rStyle w:val="5"/>
          <w:rFonts w:hint="default" w:ascii="Times New Roman" w:hAnsi="Times New Roman" w:eastAsia="SimSun" w:cs="Times New Roman"/>
          <w:caps w:val="0"/>
          <w:color w:val="222222"/>
          <w:spacing w:val="0"/>
          <w:sz w:val="24"/>
          <w:szCs w:val="24"/>
        </w:rPr>
        <w:t> </w:t>
      </w:r>
      <w:r>
        <w:rPr>
          <w:rStyle w:val="5"/>
          <w:rFonts w:hint="default" w:ascii="Times New Roman" w:hAnsi="Times New Roman" w:eastAsia="SimSun" w:cs="Times New Roman"/>
          <w:caps w:val="0"/>
          <w:color w:val="222222"/>
          <w:spacing w:val="0"/>
          <w:sz w:val="24"/>
          <w:szCs w:val="24"/>
        </w:rPr>
        <w:br w:type="textWrapping"/>
      </w:r>
    </w:p>
    <w:p>
      <w:pPr>
        <w:autoSpaceDE w:val="0"/>
        <w:autoSpaceDN w:val="0"/>
        <w:adjustRightInd w:val="0"/>
        <w:spacing w:line="276" w:lineRule="auto"/>
        <w:jc w:val="both"/>
        <w:rPr>
          <w:rFonts w:hint="default" w:ascii="Times New Roman" w:hAnsi="Times New Roman" w:cs="Times New Roman"/>
          <w:b w:val="0"/>
          <w:bCs/>
          <w:i/>
          <w:iCs w:val="0"/>
          <w:sz w:val="24"/>
          <w:szCs w:val="24"/>
          <w:lang w:val="es-EC"/>
        </w:rPr>
      </w:pPr>
      <w:r>
        <w:rPr>
          <w:rStyle w:val="5"/>
          <w:rFonts w:hint="default" w:ascii="Times New Roman" w:hAnsi="Times New Roman" w:eastAsia="SimSun" w:cs="Times New Roman"/>
          <w:caps w:val="0"/>
          <w:color w:val="222222"/>
          <w:spacing w:val="0"/>
          <w:sz w:val="24"/>
          <w:szCs w:val="24"/>
        </w:rPr>
        <w:t>Ahora, lo que corresponde es cancelar los valores que adeuda la Agencia a la compañía, pues dado el tiempo transcurrido, desde el acta entrega recepción e informe del administrador del contrato de 2015, la compañía TOTAL TEK, solicita, en este procedimiento de mediación, que la AMT cumpla y honre las obligaciones relativo al pago de la que se adeuda, indicando que no es atribuible a dicha compañía los errores cometidos por las autoridades y funcionarios anteriores, y que la falta de documentación es un hecho que no le corresponde ser subsanado por dicha compañía, sino que se debe efectuar las diligencias necesarias para recabar la información y documentación de soporte para el pago correspondiente, cumpliendo las Normas de Control Interno de la Contraloría General del Estado</w:t>
      </w:r>
      <w:r>
        <w:rPr>
          <w:rFonts w:hint="default" w:ascii="Times New Roman" w:hAnsi="Times New Roman" w:eastAsia="SimSun" w:cs="Times New Roman"/>
          <w:i w:val="0"/>
          <w:iCs w:val="0"/>
          <w:caps w:val="0"/>
          <w:color w:val="222222"/>
          <w:spacing w:val="0"/>
          <w:sz w:val="24"/>
          <w:szCs w:val="24"/>
          <w:shd w:val="clear" w:fill="FFFFFF"/>
        </w:rPr>
        <w:t>.</w:t>
      </w:r>
      <w:r>
        <w:rPr>
          <w:rFonts w:hint="default" w:ascii="Times New Roman" w:hAnsi="Times New Roman" w:eastAsia="SimSun" w:cs="Times New Roman"/>
          <w:i w:val="0"/>
          <w:iCs w:val="0"/>
          <w:caps w:val="0"/>
          <w:color w:val="222222"/>
          <w:spacing w:val="0"/>
          <w:sz w:val="24"/>
          <w:szCs w:val="24"/>
        </w:rPr>
        <w:br w:type="textWrapping"/>
      </w:r>
      <w:r>
        <w:rPr>
          <w:rStyle w:val="5"/>
          <w:rFonts w:hint="default" w:ascii="Times New Roman" w:hAnsi="Times New Roman" w:eastAsia="SimSun" w:cs="Times New Roman"/>
          <w:caps w:val="0"/>
          <w:color w:val="222222"/>
          <w:spacing w:val="0"/>
          <w:sz w:val="24"/>
          <w:szCs w:val="24"/>
        </w:rPr>
        <w:t>(...) </w:t>
      </w:r>
      <w:r>
        <w:rPr>
          <w:rStyle w:val="5"/>
          <w:rFonts w:hint="default" w:ascii="Times New Roman" w:hAnsi="Times New Roman" w:eastAsia="SimSun" w:cs="Times New Roman"/>
          <w:caps w:val="0"/>
          <w:color w:val="222222"/>
          <w:spacing w:val="0"/>
          <w:sz w:val="24"/>
          <w:szCs w:val="24"/>
        </w:rPr>
        <w:br w:type="textWrapping"/>
      </w:r>
      <w:r>
        <w:rPr>
          <w:rStyle w:val="5"/>
          <w:rFonts w:hint="default" w:ascii="Times New Roman" w:hAnsi="Times New Roman" w:eastAsia="SimSun" w:cs="Times New Roman"/>
          <w:caps w:val="0"/>
          <w:color w:val="222222"/>
          <w:spacing w:val="0"/>
          <w:sz w:val="24"/>
          <w:szCs w:val="24"/>
        </w:rPr>
        <w:t> </w:t>
      </w:r>
      <w:r>
        <w:rPr>
          <w:rStyle w:val="5"/>
          <w:rFonts w:hint="default" w:ascii="Times New Roman" w:hAnsi="Times New Roman" w:eastAsia="SimSun" w:cs="Times New Roman"/>
          <w:caps w:val="0"/>
          <w:color w:val="222222"/>
          <w:spacing w:val="0"/>
          <w:sz w:val="24"/>
          <w:szCs w:val="24"/>
        </w:rPr>
        <w:br w:type="textWrapping"/>
      </w:r>
      <w:r>
        <w:rPr>
          <w:rStyle w:val="7"/>
          <w:rFonts w:hint="default" w:ascii="Times New Roman" w:hAnsi="Times New Roman" w:eastAsia="SimSun" w:cs="Times New Roman"/>
          <w:i/>
          <w:iCs/>
          <w:caps w:val="0"/>
          <w:color w:val="222222"/>
          <w:spacing w:val="0"/>
          <w:sz w:val="24"/>
          <w:szCs w:val="24"/>
        </w:rPr>
        <w:t>V.                PETICIÓN:</w:t>
      </w:r>
      <w:r>
        <w:rPr>
          <w:rStyle w:val="5"/>
          <w:rFonts w:hint="default" w:ascii="Times New Roman" w:hAnsi="Times New Roman" w:eastAsia="SimSun" w:cs="Times New Roman"/>
          <w:i/>
          <w:iCs/>
          <w:caps w:val="0"/>
          <w:color w:val="222222"/>
          <w:spacing w:val="0"/>
          <w:sz w:val="24"/>
          <w:szCs w:val="24"/>
        </w:rPr>
        <w:br w:type="textWrapping"/>
      </w:r>
      <w:r>
        <w:rPr>
          <w:rStyle w:val="5"/>
          <w:rFonts w:hint="default" w:ascii="Times New Roman" w:hAnsi="Times New Roman" w:eastAsia="SimSun" w:cs="Times New Roman"/>
          <w:caps w:val="0"/>
          <w:color w:val="222222"/>
          <w:spacing w:val="0"/>
          <w:sz w:val="24"/>
          <w:szCs w:val="24"/>
        </w:rPr>
        <w:t>Sobre la base de los antecedentes de hecho y derecho expuestos, esta Procuraduría Metropolitana, acogiendo los informes emitidos por la Agencia Metropolitana de Tránsito, dentro de la Mediación No. 0949-DNCM-2021-QUI, a fin de actuar conforme las disposiciones legales, solicita que se disponga a quien corresponda se incluya en el orden del día de la próxima sesión del Concejo Metropolitano, la autorización al ejecutivo para la suscripción de un acuerdo conciliatorio con la compañía TOTAL TEK, por el valor indicado en el informe financiero que se adjunta". </w:t>
      </w:r>
    </w:p>
    <w:p>
      <w:pPr>
        <w:autoSpaceDE w:val="0"/>
        <w:autoSpaceDN w:val="0"/>
        <w:adjustRightInd w:val="0"/>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En ejercicio de las atribuciones establecidas en los artículos 226, 264, 289 de la Constitución del Ecuador, artículos 87 literales a) y d), 90 literales a), l), n) y t) del Código Orgánico de Organización Territorial, Autonomía y Descentralización, artículos 47 y 69 del Código Orgánico Administrativo y artículo 10 de la Ley de régimen para el Distrito Metropolitano de Quito.</w:t>
      </w:r>
    </w:p>
    <w:p>
      <w:pPr>
        <w:autoSpaceDE w:val="0"/>
        <w:autoSpaceDN w:val="0"/>
        <w:adjustRightInd w:val="0"/>
        <w:spacing w:after="0" w:line="240" w:lineRule="auto"/>
        <w:jc w:val="both"/>
        <w:rPr>
          <w:rFonts w:hint="default" w:ascii="Times New Roman" w:hAnsi="Times New Roman" w:cs="Times New Roman"/>
          <w:sz w:val="24"/>
          <w:szCs w:val="24"/>
        </w:rPr>
      </w:pPr>
    </w:p>
    <w:p>
      <w:pPr>
        <w:autoSpaceDE w:val="0"/>
        <w:autoSpaceDN w:val="0"/>
        <w:adjustRightInd w:val="0"/>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RESUELVE:</w:t>
      </w:r>
    </w:p>
    <w:p>
      <w:pPr>
        <w:autoSpaceDE w:val="0"/>
        <w:autoSpaceDN w:val="0"/>
        <w:adjustRightInd w:val="0"/>
        <w:spacing w:after="0" w:line="240" w:lineRule="auto"/>
        <w:jc w:val="center"/>
        <w:rPr>
          <w:rFonts w:hint="default" w:ascii="Times New Roman" w:hAnsi="Times New Roman" w:cs="Times New Roman"/>
          <w:b/>
          <w:sz w:val="24"/>
          <w:szCs w:val="24"/>
        </w:rPr>
      </w:pPr>
      <w:r>
        <w:rPr>
          <w:rFonts w:hint="default" w:ascii="Times New Roman" w:hAnsi="Times New Roman" w:cs="Times New Roman"/>
          <w:color w:val="000000"/>
          <w:sz w:val="24"/>
          <w:szCs w:val="24"/>
        </w:rPr>
        <w:t>.</w:t>
      </w:r>
    </w:p>
    <w:p>
      <w:pPr>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Artículo 1.-</w:t>
      </w:r>
      <w:r>
        <w:rPr>
          <w:rFonts w:hint="default" w:ascii="Times New Roman" w:hAnsi="Times New Roman" w:cs="Times New Roman"/>
          <w:color w:val="000000"/>
          <w:sz w:val="24"/>
          <w:szCs w:val="24"/>
        </w:rPr>
        <w:t xml:space="preserve"> Autorizar a</w:t>
      </w:r>
      <w:r>
        <w:rPr>
          <w:rFonts w:hint="default" w:ascii="Times New Roman" w:hAnsi="Times New Roman" w:cs="Times New Roman"/>
          <w:color w:val="000000"/>
          <w:sz w:val="24"/>
          <w:szCs w:val="24"/>
          <w:lang w:val="es-EC"/>
        </w:rPr>
        <w:t xml:space="preserve">l señor Alcalde Metropolitano o su delegado, </w:t>
      </w:r>
      <w:r>
        <w:rPr>
          <w:rFonts w:hint="default" w:ascii="Times New Roman" w:hAnsi="Times New Roman" w:cs="Times New Roman"/>
          <w:color w:val="000000"/>
          <w:sz w:val="24"/>
          <w:szCs w:val="24"/>
        </w:rPr>
        <w:t xml:space="preserve"> a suscribir el acta de acuerdo parcial</w:t>
      </w:r>
      <w:r>
        <w:rPr>
          <w:rFonts w:hint="default" w:ascii="Times New Roman" w:hAnsi="Times New Roman" w:cs="Times New Roman"/>
          <w:color w:val="000000"/>
          <w:sz w:val="24"/>
          <w:szCs w:val="24"/>
          <w:lang w:val="es-EC"/>
        </w:rPr>
        <w:t>,</w:t>
      </w:r>
      <w:r>
        <w:rPr>
          <w:rFonts w:hint="default" w:ascii="Times New Roman" w:hAnsi="Times New Roman" w:cs="Times New Roman"/>
          <w:color w:val="000000"/>
          <w:sz w:val="24"/>
          <w:szCs w:val="24"/>
        </w:rPr>
        <w:t xml:space="preserve"> total o de imposibilidad</w:t>
      </w:r>
      <w:r>
        <w:rPr>
          <w:rFonts w:hint="default" w:ascii="Times New Roman" w:hAnsi="Times New Roman" w:cs="Times New Roman"/>
          <w:color w:val="000000"/>
          <w:sz w:val="24"/>
          <w:szCs w:val="24"/>
          <w:lang w:val="es-EC"/>
        </w:rPr>
        <w:t xml:space="preserve"> de acuerdo,</w:t>
      </w:r>
      <w:r>
        <w:rPr>
          <w:rFonts w:hint="default" w:ascii="Times New Roman" w:hAnsi="Times New Roman" w:cs="Times New Roman"/>
          <w:color w:val="000000"/>
          <w:sz w:val="24"/>
          <w:szCs w:val="24"/>
        </w:rPr>
        <w:t xml:space="preserve"> dentro del proceso de mediación Nro. </w:t>
      </w:r>
      <w:r>
        <w:rPr>
          <w:rFonts w:hint="default" w:ascii="Times New Roman" w:hAnsi="Times New Roman" w:cs="Times New Roman"/>
          <w:color w:val="000000"/>
          <w:sz w:val="24"/>
          <w:szCs w:val="24"/>
          <w:lang w:val="es-EC"/>
        </w:rPr>
        <w:t>0949</w:t>
      </w:r>
      <w:r>
        <w:rPr>
          <w:rFonts w:hint="default" w:ascii="Times New Roman" w:hAnsi="Times New Roman" w:cs="Times New Roman"/>
          <w:color w:val="000000"/>
          <w:sz w:val="24"/>
          <w:szCs w:val="24"/>
        </w:rPr>
        <w:t>-DNCM-202</w:t>
      </w:r>
      <w:r>
        <w:rPr>
          <w:rFonts w:hint="default" w:ascii="Times New Roman" w:hAnsi="Times New Roman" w:cs="Times New Roman"/>
          <w:color w:val="000000"/>
          <w:sz w:val="24"/>
          <w:szCs w:val="24"/>
          <w:lang w:val="es-EC"/>
        </w:rPr>
        <w:t>1</w:t>
      </w:r>
      <w:r>
        <w:rPr>
          <w:rFonts w:hint="default" w:ascii="Times New Roman" w:hAnsi="Times New Roman" w:cs="Times New Roman"/>
          <w:color w:val="000000"/>
          <w:sz w:val="24"/>
          <w:szCs w:val="24"/>
        </w:rPr>
        <w:t xml:space="preserve">-QUI que se lleva ante </w:t>
      </w:r>
      <w:r>
        <w:rPr>
          <w:rFonts w:hint="default" w:ascii="Times New Roman" w:hAnsi="Times New Roman" w:cs="Times New Roman"/>
          <w:color w:val="000000"/>
          <w:sz w:val="24"/>
          <w:szCs w:val="24"/>
          <w:lang w:val="es-EC"/>
        </w:rPr>
        <w:t xml:space="preserve">el Centro de Mediación de la </w:t>
      </w:r>
      <w:r>
        <w:rPr>
          <w:rFonts w:hint="default" w:ascii="Times New Roman" w:hAnsi="Times New Roman" w:cs="Times New Roman"/>
          <w:color w:val="000000"/>
          <w:sz w:val="24"/>
          <w:szCs w:val="24"/>
        </w:rPr>
        <w:t xml:space="preserve">Procuraduría General del Estado. </w:t>
      </w:r>
    </w:p>
    <w:p>
      <w:pPr>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Artículo 2.- </w:t>
      </w:r>
      <w:r>
        <w:rPr>
          <w:rFonts w:hint="default" w:ascii="Times New Roman" w:hAnsi="Times New Roman" w:cs="Times New Roman"/>
          <w:color w:val="000000"/>
          <w:sz w:val="24"/>
          <w:szCs w:val="24"/>
        </w:rPr>
        <w:t>La presente delegación estará vigente hasta la conclusión del proceso de mediación a través de acta de acuerdo parcial</w:t>
      </w:r>
      <w:r>
        <w:rPr>
          <w:rFonts w:hint="default" w:ascii="Times New Roman" w:hAnsi="Times New Roman" w:cs="Times New Roman"/>
          <w:color w:val="000000"/>
          <w:sz w:val="24"/>
          <w:szCs w:val="24"/>
          <w:lang w:val="es-EC"/>
        </w:rPr>
        <w:t>,</w:t>
      </w:r>
      <w:r>
        <w:rPr>
          <w:rFonts w:hint="default" w:ascii="Times New Roman" w:hAnsi="Times New Roman" w:cs="Times New Roman"/>
          <w:color w:val="000000"/>
          <w:sz w:val="24"/>
          <w:szCs w:val="24"/>
        </w:rPr>
        <w:t xml:space="preserve"> total o de imposibilidad de acuerdo.</w:t>
      </w:r>
    </w:p>
    <w:p>
      <w:pPr>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Disposición General Primera.- </w:t>
      </w:r>
      <w:r>
        <w:rPr>
          <w:rFonts w:hint="default" w:ascii="Times New Roman" w:hAnsi="Times New Roman" w:cs="Times New Roman"/>
          <w:color w:val="000000"/>
          <w:sz w:val="24"/>
          <w:szCs w:val="24"/>
        </w:rPr>
        <w:t xml:space="preserve">El alcance de los acuerdos </w:t>
      </w:r>
      <w:r>
        <w:rPr>
          <w:rFonts w:hint="default" w:ascii="Times New Roman" w:hAnsi="Times New Roman" w:cs="Times New Roman"/>
          <w:color w:val="000000"/>
          <w:sz w:val="24"/>
          <w:szCs w:val="24"/>
          <w:lang w:val="es-EC"/>
        </w:rPr>
        <w:t xml:space="preserve">a los que se arribare, </w:t>
      </w:r>
      <w:r>
        <w:rPr>
          <w:rFonts w:hint="default" w:ascii="Times New Roman" w:hAnsi="Times New Roman" w:cs="Times New Roman"/>
          <w:color w:val="000000"/>
          <w:sz w:val="24"/>
          <w:szCs w:val="24"/>
        </w:rPr>
        <w:t xml:space="preserve">serán de </w:t>
      </w:r>
      <w:r>
        <w:rPr>
          <w:rFonts w:hint="default" w:ascii="Times New Roman" w:hAnsi="Times New Roman" w:cs="Times New Roman"/>
          <w:color w:val="000000"/>
          <w:sz w:val="24"/>
          <w:szCs w:val="24"/>
          <w:lang w:val="es-EC"/>
        </w:rPr>
        <w:t xml:space="preserve">exclusiva </w:t>
      </w:r>
      <w:r>
        <w:rPr>
          <w:rFonts w:hint="default" w:ascii="Times New Roman" w:hAnsi="Times New Roman" w:cs="Times New Roman"/>
          <w:color w:val="000000"/>
          <w:sz w:val="24"/>
          <w:szCs w:val="24"/>
        </w:rPr>
        <w:t>responsabilidad de los funcionarios que elaboraron los correspondientes informes técnicos</w:t>
      </w:r>
      <w:r>
        <w:rPr>
          <w:rFonts w:hint="default" w:ascii="Times New Roman" w:hAnsi="Times New Roman" w:cs="Times New Roman"/>
          <w:color w:val="000000"/>
          <w:sz w:val="24"/>
          <w:szCs w:val="24"/>
          <w:lang w:val="es-EC"/>
        </w:rPr>
        <w:t>, jurídicos y financieros</w:t>
      </w:r>
      <w:r>
        <w:rPr>
          <w:rFonts w:hint="default" w:ascii="Times New Roman" w:hAnsi="Times New Roman" w:cs="Times New Roman"/>
          <w:color w:val="000000"/>
          <w:sz w:val="24"/>
          <w:szCs w:val="24"/>
        </w:rPr>
        <w:t>.</w:t>
      </w:r>
    </w:p>
    <w:p>
      <w:pPr>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Disposición General Segunda.-</w:t>
      </w:r>
      <w:r>
        <w:rPr>
          <w:rFonts w:hint="default" w:ascii="Times New Roman" w:hAnsi="Times New Roman" w:cs="Times New Roman"/>
          <w:color w:val="000000"/>
          <w:sz w:val="24"/>
          <w:szCs w:val="24"/>
        </w:rPr>
        <w:t xml:space="preserve"> La presente autorización corresponde exclusivamente a la posibilidad legal de alcanzar una conciliación en los términos de la letra j) del </w:t>
      </w:r>
      <w:r>
        <w:rPr>
          <w:rFonts w:hint="default" w:ascii="Times New Roman" w:hAnsi="Times New Roman" w:cs="Times New Roman"/>
          <w:color w:val="000000"/>
          <w:sz w:val="24"/>
          <w:szCs w:val="24"/>
          <w:lang w:val="es-EC"/>
        </w:rPr>
        <w:t>a</w:t>
      </w:r>
      <w:r>
        <w:rPr>
          <w:rFonts w:hint="default" w:ascii="Times New Roman" w:hAnsi="Times New Roman" w:cs="Times New Roman"/>
          <w:color w:val="000000"/>
          <w:sz w:val="24"/>
          <w:szCs w:val="24"/>
        </w:rPr>
        <w:t>rt</w:t>
      </w:r>
      <w:r>
        <w:rPr>
          <w:rFonts w:hint="default" w:ascii="Times New Roman" w:hAnsi="Times New Roman" w:cs="Times New Roman"/>
          <w:color w:val="000000"/>
          <w:sz w:val="24"/>
          <w:szCs w:val="24"/>
          <w:lang w:val="es-EC"/>
        </w:rPr>
        <w:t xml:space="preserve">ículo </w:t>
      </w:r>
      <w:r>
        <w:rPr>
          <w:rFonts w:hint="default" w:ascii="Times New Roman" w:hAnsi="Times New Roman" w:cs="Times New Roman"/>
          <w:color w:val="000000"/>
          <w:sz w:val="24"/>
          <w:szCs w:val="24"/>
        </w:rPr>
        <w:t>331 del COOTAD y en ningún caso avala o valida cualquier error, acción u omisión que se hubiese generado en el marco de la ejecución del contrato o de su proceso de cierre y mediación, que en los términos de la Constitución y las leyes de la República, son de exclusiva responsabilidad de los funcionarios que actuaron en dichos procesos o suscribieron los informes, actas y demás documentos en el marco de tales procesos.</w:t>
      </w:r>
    </w:p>
    <w:p>
      <w:pPr>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Disposición General Tercera.- </w:t>
      </w:r>
      <w:r>
        <w:rPr>
          <w:rFonts w:hint="default" w:ascii="Times New Roman" w:hAnsi="Times New Roman" w:cs="Times New Roman"/>
          <w:color w:val="000000"/>
          <w:sz w:val="24"/>
          <w:szCs w:val="24"/>
        </w:rPr>
        <w:t xml:space="preserve">La presente Resolución entrará en vigencia a partir de su suscripción. </w:t>
      </w:r>
    </w:p>
    <w:p>
      <w:pPr>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Dada, en la sala de Sesiones del Concejo Metropolitano de Quito, el </w:t>
      </w:r>
      <w:r>
        <w:rPr>
          <w:rFonts w:hint="default" w:ascii="Times New Roman" w:hAnsi="Times New Roman" w:cs="Times New Roman"/>
          <w:color w:val="000000"/>
          <w:sz w:val="24"/>
          <w:szCs w:val="24"/>
          <w:highlight w:val="green"/>
        </w:rPr>
        <w:t>XXXX</w:t>
      </w:r>
      <w:r>
        <w:rPr>
          <w:rFonts w:hint="default" w:ascii="Times New Roman" w:hAnsi="Times New Roman" w:cs="Times New Roman"/>
          <w:color w:val="000000"/>
          <w:sz w:val="24"/>
          <w:szCs w:val="24"/>
        </w:rPr>
        <w:t xml:space="preserve"> de </w:t>
      </w:r>
      <w:r>
        <w:rPr>
          <w:rFonts w:hint="default" w:ascii="Times New Roman" w:hAnsi="Times New Roman" w:cs="Times New Roman"/>
          <w:color w:val="000000"/>
          <w:sz w:val="24"/>
          <w:szCs w:val="24"/>
          <w:highlight w:val="green"/>
        </w:rPr>
        <w:t>XXXX</w:t>
      </w:r>
      <w:r>
        <w:rPr>
          <w:rFonts w:hint="default" w:ascii="Times New Roman" w:hAnsi="Times New Roman" w:cs="Times New Roman"/>
          <w:color w:val="000000"/>
          <w:sz w:val="24"/>
          <w:szCs w:val="24"/>
        </w:rPr>
        <w:t xml:space="preserve"> de 202</w:t>
      </w:r>
      <w:r>
        <w:rPr>
          <w:rFonts w:hint="default" w:ascii="Times New Roman" w:hAnsi="Times New Roman" w:cs="Times New Roman"/>
          <w:color w:val="000000"/>
          <w:sz w:val="24"/>
          <w:szCs w:val="24"/>
          <w:lang w:val="es-EC"/>
        </w:rPr>
        <w:t>3</w:t>
      </w:r>
      <w:r>
        <w:rPr>
          <w:rFonts w:hint="default" w:ascii="Times New Roman" w:hAnsi="Times New Roman" w:cs="Times New Roman"/>
          <w:color w:val="000000"/>
          <w:sz w:val="24"/>
          <w:szCs w:val="24"/>
        </w:rPr>
        <w:t xml:space="preserve">. </w:t>
      </w:r>
    </w:p>
    <w:p>
      <w:pPr>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Alcaldía del Distrito Metropolitano.</w:t>
      </w:r>
      <w:r>
        <w:rPr>
          <w:rFonts w:hint="default" w:ascii="Times New Roman" w:hAnsi="Times New Roman" w:cs="Times New Roman"/>
          <w:color w:val="000000"/>
          <w:sz w:val="24"/>
          <w:szCs w:val="24"/>
        </w:rPr>
        <w:t xml:space="preserve"> - Distrito Metropolitano de Quito, </w:t>
      </w:r>
      <w:r>
        <w:rPr>
          <w:rFonts w:hint="default" w:ascii="Times New Roman" w:hAnsi="Times New Roman" w:cs="Times New Roman"/>
          <w:color w:val="000000"/>
          <w:sz w:val="24"/>
          <w:szCs w:val="24"/>
          <w:highlight w:val="green"/>
        </w:rPr>
        <w:t>XXXX</w:t>
      </w:r>
      <w:r>
        <w:rPr>
          <w:rFonts w:hint="default" w:ascii="Times New Roman" w:hAnsi="Times New Roman" w:cs="Times New Roman"/>
          <w:color w:val="000000"/>
          <w:sz w:val="24"/>
          <w:szCs w:val="24"/>
        </w:rPr>
        <w:t xml:space="preserve"> de 202</w:t>
      </w:r>
      <w:r>
        <w:rPr>
          <w:rFonts w:hint="default" w:ascii="Times New Roman" w:hAnsi="Times New Roman" w:cs="Times New Roman"/>
          <w:color w:val="000000"/>
          <w:sz w:val="24"/>
          <w:szCs w:val="24"/>
          <w:lang w:val="es-EC"/>
        </w:rPr>
        <w:t>3</w:t>
      </w:r>
      <w:r>
        <w:rPr>
          <w:rFonts w:hint="default" w:ascii="Times New Roman" w:hAnsi="Times New Roman" w:cs="Times New Roman"/>
          <w:color w:val="000000"/>
          <w:sz w:val="24"/>
          <w:szCs w:val="24"/>
        </w:rPr>
        <w:t xml:space="preserve">. </w:t>
      </w:r>
    </w:p>
    <w:p>
      <w:pPr>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EJECÚTESE:</w:t>
      </w:r>
      <w:r>
        <w:rPr>
          <w:rFonts w:hint="default" w:ascii="Times New Roman" w:hAnsi="Times New Roman" w:cs="Times New Roman"/>
          <w:color w:val="000000"/>
          <w:sz w:val="24"/>
          <w:szCs w:val="24"/>
        </w:rPr>
        <w:t xml:space="preserve"> </w:t>
      </w:r>
    </w:p>
    <w:p>
      <w:pPr>
        <w:jc w:val="both"/>
        <w:rPr>
          <w:rFonts w:hint="default" w:ascii="Times New Roman" w:hAnsi="Times New Roman" w:cs="Times New Roman"/>
          <w:color w:val="000000"/>
          <w:sz w:val="24"/>
          <w:szCs w:val="24"/>
        </w:rPr>
      </w:pPr>
    </w:p>
    <w:p>
      <w:pPr>
        <w:spacing w:after="0" w:line="240" w:lineRule="auto"/>
        <w:jc w:val="center"/>
        <w:rPr>
          <w:rFonts w:hint="default" w:ascii="Times New Roman" w:hAnsi="Times New Roman" w:cs="Times New Roman"/>
          <w:color w:val="000000"/>
          <w:sz w:val="24"/>
          <w:szCs w:val="24"/>
        </w:rPr>
      </w:pPr>
    </w:p>
    <w:p>
      <w:pPr>
        <w:spacing w:after="0" w:line="240" w:lineRule="auto"/>
        <w:jc w:val="center"/>
        <w:rPr>
          <w:rFonts w:hint="default" w:ascii="Times New Roman" w:hAnsi="Times New Roman" w:cs="Times New Roman"/>
          <w:color w:val="000000"/>
          <w:sz w:val="24"/>
          <w:szCs w:val="24"/>
        </w:rPr>
      </w:pPr>
    </w:p>
    <w:p>
      <w:pPr>
        <w:spacing w:after="0"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Dr. Santiago Guarderas Izquierdo.</w:t>
      </w:r>
    </w:p>
    <w:p>
      <w:pPr>
        <w:spacing w:after="0" w:line="240" w:lineRule="auto"/>
        <w:jc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ALCALDE DEL DISTRITO METROPOLITANO DE QUITO</w:t>
      </w:r>
    </w:p>
    <w:p>
      <w:pPr>
        <w:autoSpaceDE w:val="0"/>
        <w:autoSpaceDN w:val="0"/>
        <w:adjustRightInd w:val="0"/>
        <w:spacing w:line="276" w:lineRule="auto"/>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0" w:h="16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Bookman Old Style">
    <w:altName w:val="Segoe Print"/>
    <w:panose1 w:val="02050604050505020204"/>
    <w:charset w:val="00"/>
    <w:family w:val="roman"/>
    <w:pitch w:val="default"/>
    <w:sig w:usb0="00000000" w:usb1="00000000" w:usb2="00000000" w:usb3="00000000" w:csb0="0000009F" w:csb1="00000000"/>
  </w:font>
  <w:font w:name="ＭＳ 明朝">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ES"/>
      </w:rPr>
      <w:pict>
        <v:shape id="PowerPlusWaterMarkObject1" o:spid="_x0000_s2049" o:spt="136" type="#_x0000_t136" style="position:absolute;left:0pt;height:99.85pt;width:499.25pt;mso-position-horizontal:center;mso-position-horizontal-relative:margin;mso-position-vertical:center;mso-position-vertical-relative:margin;rotation:20643840f;z-index:-251657216;mso-width-relative:page;mso-height-relative:page;" fillcolor="#C0C0C0" filled="t" stroked="f" coordsize="21600,21600">
          <v:path/>
          <v:fill on="t" focussize="0,0"/>
          <v:stroke on="f"/>
          <v:imagedata o:title=""/>
          <o:lock v:ext="edit"/>
          <v:textpath on="t" fitpath="t" trim="f" xscale="f" string="BORRADOR" style="font-family:Cambri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ES"/>
      </w:rPr>
      <w:pict>
        <v:shape id="PowerPlusWaterMarkObject2" o:spid="_x0000_s2050" o:spt="136" type="#_x0000_t136" style="position:absolute;left:0pt;height:99.85pt;width:499.25pt;mso-position-horizontal:center;mso-position-horizontal-relative:margin;mso-position-vertical:center;mso-position-vertical-relative:margin;rotation:20643840f;z-index:-251656192;mso-width-relative:page;mso-height-relative:page;" fillcolor="#C0C0C0" filled="t" stroked="f" coordsize="21600,21600">
          <v:path/>
          <v:fill on="t" focussize="0,0"/>
          <v:stroke on="f"/>
          <v:imagedata o:title=""/>
          <o:lock v:ext="edit"/>
          <v:textpath on="t" fitpath="t" trim="f" xscale="f" string="BORRADOR" style="font-family:Cambri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ES"/>
      </w:rPr>
      <w:pict>
        <v:shape id="PowerPlusWaterMarkObject3" o:spid="_x0000_s2051" o:spt="136" type="#_x0000_t136" style="position:absolute;left:0pt;height:99.85pt;width:499.25pt;mso-position-horizontal:center;mso-position-horizontal-relative:margin;mso-position-vertical:center;mso-position-vertical-relative:margin;rotation:20643840f;z-index:-251655168;mso-width-relative:page;mso-height-relative:page;" fillcolor="#C0C0C0" filled="t" stroked="f" coordsize="21600,21600">
          <v:path/>
          <v:fill on="t" focussize="0,0"/>
          <v:stroke on="f"/>
          <v:imagedata o:title=""/>
          <o:lock v:ext="edit"/>
          <v:textpath on="t" fitpath="t" trim="f" xscale="f" string="BORRADOR" style="font-family:Cambria;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5F"/>
    <w:rsid w:val="00006457"/>
    <w:rsid w:val="00027737"/>
    <w:rsid w:val="000A1216"/>
    <w:rsid w:val="000B74A8"/>
    <w:rsid w:val="000C2D71"/>
    <w:rsid w:val="00101507"/>
    <w:rsid w:val="001150EB"/>
    <w:rsid w:val="00163EC7"/>
    <w:rsid w:val="00181FBA"/>
    <w:rsid w:val="001969FA"/>
    <w:rsid w:val="001A09D1"/>
    <w:rsid w:val="00204BCA"/>
    <w:rsid w:val="00227C17"/>
    <w:rsid w:val="00246335"/>
    <w:rsid w:val="002A6572"/>
    <w:rsid w:val="0032065F"/>
    <w:rsid w:val="003312B6"/>
    <w:rsid w:val="00382A20"/>
    <w:rsid w:val="004233B7"/>
    <w:rsid w:val="004B241E"/>
    <w:rsid w:val="004D5FDC"/>
    <w:rsid w:val="005105ED"/>
    <w:rsid w:val="005C7273"/>
    <w:rsid w:val="005D4F17"/>
    <w:rsid w:val="005D6733"/>
    <w:rsid w:val="00605071"/>
    <w:rsid w:val="00664DBB"/>
    <w:rsid w:val="00680DB7"/>
    <w:rsid w:val="006B6E46"/>
    <w:rsid w:val="0071221E"/>
    <w:rsid w:val="007125D8"/>
    <w:rsid w:val="00740EC4"/>
    <w:rsid w:val="00800250"/>
    <w:rsid w:val="0083183D"/>
    <w:rsid w:val="00834981"/>
    <w:rsid w:val="00842E99"/>
    <w:rsid w:val="00844A6F"/>
    <w:rsid w:val="008875A5"/>
    <w:rsid w:val="0090555F"/>
    <w:rsid w:val="00977AED"/>
    <w:rsid w:val="009B0C50"/>
    <w:rsid w:val="00A311DB"/>
    <w:rsid w:val="00A7072A"/>
    <w:rsid w:val="00B01700"/>
    <w:rsid w:val="00C51CCC"/>
    <w:rsid w:val="00D37A26"/>
    <w:rsid w:val="00D456D6"/>
    <w:rsid w:val="00D612A4"/>
    <w:rsid w:val="00DD4349"/>
    <w:rsid w:val="00E02B17"/>
    <w:rsid w:val="00E066A6"/>
    <w:rsid w:val="00E91346"/>
    <w:rsid w:val="00E93C77"/>
    <w:rsid w:val="00ED50EC"/>
    <w:rsid w:val="00F12F64"/>
    <w:rsid w:val="00FD7AFE"/>
    <w:rsid w:val="03941499"/>
    <w:rsid w:val="3C017A86"/>
    <w:rsid w:val="47C97AF9"/>
    <w:rsid w:val="5E555083"/>
  </w:rsids>
  <m:mathPr>
    <m:mathFont m:val="Cambria Math"/>
    <m:brkBin m:val="before"/>
    <m:brkBinSub m:val="--"/>
    <m:smallFrac m:val="0"/>
    <m:dispDef/>
    <m:lMargin m:val="0"/>
    <m:rMargin m:val="0"/>
    <m:defJc m:val="centerGroup"/>
    <m:wrapIndent m:val="1440"/>
    <m:intLim m:val="subSup"/>
    <m:naryLim m:val="undOvr"/>
  </m:mathPr>
  <w:doNotAutoCompressPictures/>
  <w:themeFontLang w:val="es-ES_tradnl"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C" w:eastAsia="en-US" w:bidi="ar-SA"/>
    </w:rPr>
  </w:style>
  <w:style w:type="paragraph" w:styleId="2">
    <w:name w:val="heading 2"/>
    <w:basedOn w:val="1"/>
    <w:next w:val="1"/>
    <w:link w:val="16"/>
    <w:qFormat/>
    <w:uiPriority w:val="1"/>
    <w:pPr>
      <w:widowControl w:val="0"/>
      <w:autoSpaceDE w:val="0"/>
      <w:autoSpaceDN w:val="0"/>
      <w:spacing w:after="0" w:line="240" w:lineRule="auto"/>
      <w:ind w:left="982"/>
      <w:jc w:val="both"/>
      <w:outlineLvl w:val="1"/>
    </w:pPr>
    <w:rPr>
      <w:rFonts w:ascii="Times New Roman" w:hAnsi="Times New Roman" w:eastAsia="Times New Roman" w:cs="Times New Roman"/>
      <w:b/>
      <w:bCs/>
      <w:lang w:val="es-E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page number"/>
    <w:basedOn w:val="3"/>
    <w:semiHidden/>
    <w:unhideWhenUsed/>
    <w:uiPriority w:val="99"/>
  </w:style>
  <w:style w:type="character" w:styleId="7">
    <w:name w:val="Strong"/>
    <w:basedOn w:val="3"/>
    <w:qFormat/>
    <w:uiPriority w:val="22"/>
    <w:rPr>
      <w:b/>
      <w:bCs/>
    </w:rPr>
  </w:style>
  <w:style w:type="paragraph" w:styleId="8">
    <w:name w:val="Balloon Text"/>
    <w:basedOn w:val="1"/>
    <w:link w:val="13"/>
    <w:semiHidden/>
    <w:unhideWhenUsed/>
    <w:uiPriority w:val="99"/>
    <w:pPr>
      <w:spacing w:after="0" w:line="240" w:lineRule="auto"/>
    </w:pPr>
    <w:rPr>
      <w:rFonts w:ascii="Lucida Grande" w:hAnsi="Lucida Grande" w:cs="Lucida Grande"/>
      <w:sz w:val="18"/>
      <w:szCs w:val="18"/>
    </w:rPr>
  </w:style>
  <w:style w:type="paragraph" w:styleId="9">
    <w:name w:val="header"/>
    <w:basedOn w:val="1"/>
    <w:link w:val="20"/>
    <w:unhideWhenUsed/>
    <w:uiPriority w:val="99"/>
    <w:pPr>
      <w:tabs>
        <w:tab w:val="center" w:pos="4252"/>
        <w:tab w:val="right" w:pos="8504"/>
      </w:tabs>
      <w:spacing w:after="0" w:line="240" w:lineRule="auto"/>
    </w:pPr>
  </w:style>
  <w:style w:type="paragraph" w:styleId="10">
    <w:name w:val="footer"/>
    <w:basedOn w:val="1"/>
    <w:link w:val="19"/>
    <w:unhideWhenUsed/>
    <w:qFormat/>
    <w:uiPriority w:val="99"/>
    <w:pPr>
      <w:tabs>
        <w:tab w:val="center" w:pos="4252"/>
        <w:tab w:val="right" w:pos="8504"/>
      </w:tabs>
      <w:spacing w:after="0" w:line="240" w:lineRule="auto"/>
    </w:pPr>
  </w:style>
  <w:style w:type="paragraph" w:styleId="11">
    <w:name w:val="Body Text"/>
    <w:basedOn w:val="1"/>
    <w:link w:val="14"/>
    <w:qFormat/>
    <w:uiPriority w:val="1"/>
    <w:pPr>
      <w:widowControl w:val="0"/>
      <w:autoSpaceDE w:val="0"/>
      <w:autoSpaceDN w:val="0"/>
      <w:spacing w:after="0" w:line="240" w:lineRule="auto"/>
    </w:pPr>
    <w:rPr>
      <w:rFonts w:ascii="Times New Roman" w:hAnsi="Times New Roman" w:eastAsia="Times New Roman" w:cs="Times New Roman"/>
      <w:lang w:val="es-ES"/>
    </w:rPr>
  </w:style>
  <w:style w:type="paragraph" w:styleId="12">
    <w:name w:val="No Spacing"/>
    <w:qFormat/>
    <w:uiPriority w:val="1"/>
    <w:rPr>
      <w:rFonts w:asciiTheme="minorHAnsi" w:hAnsiTheme="minorHAnsi" w:eastAsiaTheme="minorHAnsi" w:cstheme="minorBidi"/>
      <w:sz w:val="22"/>
      <w:szCs w:val="22"/>
      <w:lang w:val="es-MX" w:eastAsia="en-US" w:bidi="ar-SA"/>
    </w:rPr>
  </w:style>
  <w:style w:type="character" w:customStyle="1" w:styleId="13">
    <w:name w:val="Texto de globo Car"/>
    <w:basedOn w:val="3"/>
    <w:link w:val="8"/>
    <w:semiHidden/>
    <w:uiPriority w:val="99"/>
    <w:rPr>
      <w:rFonts w:ascii="Lucida Grande" w:hAnsi="Lucida Grande" w:cs="Lucida Grande" w:eastAsiaTheme="minorHAnsi"/>
      <w:sz w:val="18"/>
      <w:szCs w:val="18"/>
      <w:lang w:val="es-EC" w:eastAsia="en-US"/>
    </w:rPr>
  </w:style>
  <w:style w:type="character" w:customStyle="1" w:styleId="14">
    <w:name w:val="Texto independiente Car"/>
    <w:basedOn w:val="3"/>
    <w:link w:val="11"/>
    <w:uiPriority w:val="1"/>
    <w:rPr>
      <w:rFonts w:ascii="Times New Roman" w:hAnsi="Times New Roman" w:eastAsia="Times New Roman" w:cs="Times New Roman"/>
      <w:sz w:val="22"/>
      <w:szCs w:val="22"/>
      <w:lang w:val="es-ES" w:eastAsia="en-US"/>
    </w:rPr>
  </w:style>
  <w:style w:type="paragraph" w:styleId="15">
    <w:name w:val="List Paragraph"/>
    <w:basedOn w:val="1"/>
    <w:qFormat/>
    <w:uiPriority w:val="1"/>
    <w:pPr>
      <w:widowControl w:val="0"/>
      <w:autoSpaceDE w:val="0"/>
      <w:autoSpaceDN w:val="0"/>
      <w:spacing w:after="0" w:line="240" w:lineRule="auto"/>
      <w:ind w:left="2062" w:hanging="720"/>
    </w:pPr>
    <w:rPr>
      <w:rFonts w:ascii="Times New Roman" w:hAnsi="Times New Roman" w:eastAsia="Times New Roman" w:cs="Times New Roman"/>
      <w:lang w:val="es-ES"/>
    </w:rPr>
  </w:style>
  <w:style w:type="character" w:customStyle="1" w:styleId="16">
    <w:name w:val="Título 2 Car"/>
    <w:basedOn w:val="3"/>
    <w:link w:val="2"/>
    <w:uiPriority w:val="1"/>
    <w:rPr>
      <w:rFonts w:ascii="Times New Roman" w:hAnsi="Times New Roman" w:eastAsia="Times New Roman" w:cs="Times New Roman"/>
      <w:b/>
      <w:bCs/>
      <w:sz w:val="22"/>
      <w:szCs w:val="22"/>
      <w:lang w:val="es-ES" w:eastAsia="en-US"/>
    </w:rPr>
  </w:style>
  <w:style w:type="table" w:customStyle="1" w:styleId="17">
    <w:name w:val="Table Normal"/>
    <w:semiHidden/>
    <w:unhideWhenUsed/>
    <w:qFormat/>
    <w:uiPriority w:val="2"/>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paragraph" w:customStyle="1" w:styleId="18">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es-ES"/>
    </w:rPr>
  </w:style>
  <w:style w:type="character" w:customStyle="1" w:styleId="19">
    <w:name w:val="Pie de página Car"/>
    <w:basedOn w:val="3"/>
    <w:link w:val="10"/>
    <w:uiPriority w:val="99"/>
    <w:rPr>
      <w:rFonts w:eastAsiaTheme="minorHAnsi"/>
      <w:sz w:val="22"/>
      <w:szCs w:val="22"/>
      <w:lang w:val="es-EC" w:eastAsia="en-US"/>
    </w:rPr>
  </w:style>
  <w:style w:type="character" w:customStyle="1" w:styleId="20">
    <w:name w:val="Encabezado Car"/>
    <w:basedOn w:val="3"/>
    <w:link w:val="9"/>
    <w:uiPriority w:val="99"/>
    <w:rPr>
      <w:rFonts w:eastAsiaTheme="minorHAnsi"/>
      <w:sz w:val="22"/>
      <w:szCs w:val="22"/>
      <w:lang w:val="es-EC"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43738-7E5B-422E-B1FB-EB2BA14752D4}">
  <ds:schemaRefs/>
</ds:datastoreItem>
</file>

<file path=docProps/app.xml><?xml version="1.0" encoding="utf-8"?>
<Properties xmlns="http://schemas.openxmlformats.org/officeDocument/2006/extended-properties" xmlns:vt="http://schemas.openxmlformats.org/officeDocument/2006/docPropsVTypes">
  <Template>Normal</Template>
  <Pages>9</Pages>
  <Words>3540</Words>
  <Characters>19473</Characters>
  <Lines>162</Lines>
  <Paragraphs>45</Paragraphs>
  <TotalTime>21</TotalTime>
  <ScaleCrop>false</ScaleCrop>
  <LinksUpToDate>false</LinksUpToDate>
  <CharactersWithSpaces>22968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2022-05-27T14:23:00Z</dcterms:created>
  <dc:creator>Christian Cacciani</dc:creator>
  <cp:lastModifiedBy>gabriela mendieta</cp:lastModifiedBy>
  <cp:lastPrinted>2022-05-27T13:36:00Z</cp:lastPrinted>
  <dcterms:modified xsi:type="dcterms:W3CDTF">2023-01-06T03:32:43Z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3082-11.2.0.11440</vt:lpwstr>
  </property>
  <property fmtid="{D5CDD505-2E9C-101B-9397-08002B2CF9AE}" pid="3" name="ICV">
    <vt:lpwstr>94A45211ED734F6CB4369FE5A6D08CEE</vt:lpwstr>
  </property>
</Properties>
</file>