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3AC" w:rsidRPr="00AB4F42"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r w:rsidRPr="00AB4F42">
        <w:rPr>
          <w:rFonts w:ascii="Palatino Linotype" w:eastAsiaTheme="minorHAnsi" w:hAnsi="Palatino Linotype"/>
          <w:b/>
          <w:sz w:val="22"/>
          <w:szCs w:val="22"/>
          <w:lang w:eastAsia="en-US"/>
        </w:rPr>
        <w:t>EL CONCEJO METROPOLITANO DE QUITO</w:t>
      </w:r>
    </w:p>
    <w:p w:rsidR="000113AC" w:rsidRPr="00AB4F42"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p>
    <w:p w:rsidR="000113AC" w:rsidRPr="00AB4F42"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r w:rsidRPr="00AB4F42">
        <w:rPr>
          <w:rFonts w:ascii="Palatino Linotype" w:eastAsiaTheme="minorHAnsi" w:hAnsi="Palatino Linotype"/>
          <w:b/>
          <w:sz w:val="22"/>
          <w:szCs w:val="22"/>
          <w:lang w:eastAsia="en-US"/>
        </w:rPr>
        <w:t>CONSIDERANDO:</w:t>
      </w:r>
    </w:p>
    <w:p w:rsidR="000113AC" w:rsidRPr="00AB4F42" w:rsidRDefault="000113AC" w:rsidP="000113AC">
      <w:pPr>
        <w:autoSpaceDE w:val="0"/>
        <w:autoSpaceDN w:val="0"/>
        <w:adjustRightInd w:val="0"/>
        <w:ind w:left="705" w:hanging="705"/>
        <w:jc w:val="both"/>
        <w:rPr>
          <w:rFonts w:ascii="Palatino Linotype" w:eastAsiaTheme="minorHAnsi" w:hAnsi="Palatino Linotype"/>
          <w:i/>
          <w:iCs/>
          <w:sz w:val="22"/>
          <w:szCs w:val="22"/>
          <w:lang w:eastAsia="en-US"/>
        </w:rPr>
      </w:pPr>
      <w:r w:rsidRPr="00AB4F42">
        <w:rPr>
          <w:rFonts w:ascii="Palatino Linotype" w:eastAsiaTheme="minorHAnsi" w:hAnsi="Palatino Linotype"/>
          <w:b/>
          <w:bCs/>
          <w:sz w:val="22"/>
          <w:szCs w:val="22"/>
          <w:lang w:eastAsia="en-US"/>
        </w:rPr>
        <w:t>Que</w:t>
      </w:r>
      <w:r w:rsidRPr="00AB4F42">
        <w:rPr>
          <w:rFonts w:ascii="Palatino Linotype" w:eastAsiaTheme="minorHAnsi" w:hAnsi="Palatino Linotype"/>
          <w:sz w:val="22"/>
          <w:szCs w:val="22"/>
          <w:lang w:eastAsia="en-US"/>
        </w:rPr>
        <w:t xml:space="preserve">, </w:t>
      </w:r>
      <w:r w:rsidRPr="00AB4F42">
        <w:rPr>
          <w:rFonts w:ascii="Palatino Linotype" w:eastAsiaTheme="minorHAnsi" w:hAnsi="Palatino Linotype"/>
          <w:sz w:val="22"/>
          <w:szCs w:val="22"/>
          <w:lang w:eastAsia="en-US"/>
        </w:rPr>
        <w:tab/>
        <w:t xml:space="preserve"> el artículo 240 de la Constitución de República del Ecuador, en adelante Constitución, establece: “</w:t>
      </w:r>
      <w:r w:rsidRPr="00AB4F42">
        <w:rPr>
          <w:rFonts w:ascii="Palatino Linotype" w:eastAsiaTheme="minorHAnsi" w:hAnsi="Palatino Linotype"/>
          <w:i/>
          <w:iCs/>
          <w:sz w:val="22"/>
          <w:szCs w:val="22"/>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0113AC" w:rsidRPr="00AB4F42"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AB4F42"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AB4F42">
        <w:rPr>
          <w:rFonts w:ascii="Palatino Linotype" w:eastAsiaTheme="minorHAnsi" w:hAnsi="Palatino Linotype"/>
          <w:b/>
          <w:sz w:val="22"/>
          <w:szCs w:val="22"/>
          <w:lang w:eastAsia="en-US"/>
        </w:rPr>
        <w:t>Que,</w:t>
      </w:r>
      <w:r w:rsidRPr="00AB4F42">
        <w:rPr>
          <w:rFonts w:ascii="Palatino Linotype" w:eastAsiaTheme="minorHAnsi" w:hAnsi="Palatino Linotype"/>
          <w:sz w:val="22"/>
          <w:szCs w:val="22"/>
          <w:lang w:eastAsia="en-US"/>
        </w:rPr>
        <w:t xml:space="preserve"> </w:t>
      </w:r>
      <w:r w:rsidRPr="00AB4F42">
        <w:rPr>
          <w:rFonts w:ascii="Palatino Linotype" w:eastAsiaTheme="minorHAnsi" w:hAnsi="Palatino Linotype"/>
          <w:sz w:val="22"/>
          <w:szCs w:val="22"/>
          <w:lang w:eastAsia="en-US"/>
        </w:rPr>
        <w:tab/>
        <w:t xml:space="preserve">la Constitución de la República del Ecuador en su artículo 266, determina: </w:t>
      </w:r>
      <w:r w:rsidRPr="00AB4F42">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AB4F42">
        <w:rPr>
          <w:rFonts w:ascii="Palatino Linotype" w:eastAsiaTheme="minorHAnsi" w:hAnsi="Palatino Linotype"/>
          <w:sz w:val="22"/>
          <w:szCs w:val="22"/>
          <w:lang w:eastAsia="en-US"/>
        </w:rPr>
        <w:t>;</w:t>
      </w:r>
    </w:p>
    <w:p w:rsidR="000113AC" w:rsidRPr="00AB4F42"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AB4F42" w:rsidRDefault="000113AC" w:rsidP="000113AC">
      <w:pPr>
        <w:autoSpaceDE w:val="0"/>
        <w:autoSpaceDN w:val="0"/>
        <w:adjustRightInd w:val="0"/>
        <w:ind w:left="709" w:hanging="709"/>
        <w:jc w:val="both"/>
        <w:rPr>
          <w:rFonts w:ascii="Palatino Linotype" w:eastAsiaTheme="minorHAnsi" w:hAnsi="Palatino Linotype"/>
          <w:i/>
          <w:sz w:val="22"/>
          <w:szCs w:val="22"/>
          <w:lang w:eastAsia="en-US"/>
        </w:rPr>
      </w:pPr>
      <w:r w:rsidRPr="00AB4F42">
        <w:rPr>
          <w:rFonts w:ascii="Palatino Linotype" w:eastAsiaTheme="minorHAnsi" w:hAnsi="Palatino Linotype"/>
          <w:b/>
          <w:bCs/>
          <w:sz w:val="22"/>
          <w:szCs w:val="22"/>
          <w:lang w:eastAsia="en-US"/>
        </w:rPr>
        <w:t>Que,</w:t>
      </w:r>
      <w:r w:rsidRPr="00AB4F42">
        <w:rPr>
          <w:rFonts w:ascii="Palatino Linotype" w:eastAsiaTheme="minorHAnsi" w:hAnsi="Palatino Linotype"/>
          <w:sz w:val="22"/>
          <w:szCs w:val="22"/>
          <w:lang w:eastAsia="en-US"/>
        </w:rPr>
        <w:t xml:space="preserve"> el literal c) del artículo 84, del Código Orgánico de Organización Territorial, Autonomía y Descentralización, en adelante COOTAD, manifiesta: </w:t>
      </w:r>
      <w:r w:rsidRPr="00AB4F42">
        <w:rPr>
          <w:rFonts w:ascii="Palatino Linotype" w:eastAsiaTheme="minorHAnsi" w:hAnsi="Palatino Linotype"/>
          <w:i/>
          <w:sz w:val="22"/>
          <w:szCs w:val="22"/>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0113AC" w:rsidRPr="00AB4F42"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AB4F42"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AB4F42">
        <w:rPr>
          <w:rFonts w:ascii="Palatino Linotype" w:eastAsiaTheme="minorHAnsi" w:hAnsi="Palatino Linotype"/>
          <w:b/>
          <w:sz w:val="22"/>
          <w:szCs w:val="22"/>
          <w:lang w:eastAsia="en-US"/>
        </w:rPr>
        <w:t>Que,</w:t>
      </w:r>
      <w:r w:rsidRPr="00AB4F42">
        <w:rPr>
          <w:rFonts w:ascii="Palatino Linotype" w:eastAsiaTheme="minorHAnsi" w:hAnsi="Palatino Linotype"/>
          <w:sz w:val="22"/>
          <w:szCs w:val="22"/>
          <w:lang w:eastAsia="en-US"/>
        </w:rPr>
        <w:t xml:space="preserve"> </w:t>
      </w:r>
      <w:r w:rsidRPr="00AB4F42">
        <w:rPr>
          <w:rFonts w:ascii="Palatino Linotype" w:eastAsiaTheme="minorHAnsi" w:hAnsi="Palatino Linotype"/>
          <w:sz w:val="22"/>
          <w:szCs w:val="22"/>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0113AC" w:rsidRPr="00AB4F42"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AB4F42"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AB4F42">
        <w:rPr>
          <w:rFonts w:ascii="Palatino Linotype" w:eastAsiaTheme="minorHAnsi" w:hAnsi="Palatino Linotype"/>
          <w:b/>
          <w:sz w:val="22"/>
          <w:szCs w:val="22"/>
          <w:lang w:eastAsia="en-US"/>
        </w:rPr>
        <w:t>Que,</w:t>
      </w:r>
      <w:r w:rsidRPr="00AB4F42">
        <w:rPr>
          <w:rFonts w:ascii="Palatino Linotype" w:eastAsiaTheme="minorHAnsi" w:hAnsi="Palatino Linotype"/>
          <w:sz w:val="22"/>
          <w:szCs w:val="22"/>
          <w:lang w:eastAsia="en-US"/>
        </w:rPr>
        <w:t xml:space="preserve"> </w:t>
      </w:r>
      <w:r w:rsidRPr="00AB4F42">
        <w:rPr>
          <w:rFonts w:ascii="Palatino Linotype" w:eastAsiaTheme="minorHAnsi" w:hAnsi="Palatino Linotype"/>
          <w:sz w:val="22"/>
          <w:szCs w:val="22"/>
          <w:lang w:eastAsia="en-US"/>
        </w:rPr>
        <w:tab/>
        <w:t xml:space="preserve">conforme establece el artículo 87, literal v) del COOTAD, al Concejo Metropolitano le corresponde: </w:t>
      </w:r>
      <w:r w:rsidRPr="00AB4F42">
        <w:rPr>
          <w:rFonts w:ascii="Palatino Linotype" w:eastAsiaTheme="minorHAnsi" w:hAnsi="Palatino Linotype"/>
          <w:i/>
          <w:sz w:val="22"/>
          <w:szCs w:val="22"/>
          <w:lang w:eastAsia="en-US"/>
        </w:rPr>
        <w:t>“… v) Regular y controlar el uso del suelo en el territorio del distrito metropolitano, de conformidad con las leyes sobre la materia, y establecer el régimen urbanístico de la tierra”;</w:t>
      </w:r>
      <w:r w:rsidRPr="00AB4F42">
        <w:rPr>
          <w:rFonts w:ascii="Palatino Linotype" w:eastAsiaTheme="minorHAnsi" w:hAnsi="Palatino Linotype"/>
          <w:sz w:val="22"/>
          <w:szCs w:val="22"/>
          <w:lang w:eastAsia="en-US"/>
        </w:rPr>
        <w:t xml:space="preserve"> </w:t>
      </w:r>
    </w:p>
    <w:p w:rsidR="000113AC" w:rsidRPr="00AB4F42"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AB4F42" w:rsidRDefault="000113AC" w:rsidP="000113AC">
      <w:pPr>
        <w:autoSpaceDE w:val="0"/>
        <w:autoSpaceDN w:val="0"/>
        <w:adjustRightInd w:val="0"/>
        <w:ind w:left="709" w:hanging="709"/>
        <w:jc w:val="both"/>
        <w:rPr>
          <w:rFonts w:ascii="Palatino Linotype" w:eastAsiaTheme="minorHAnsi" w:hAnsi="Palatino Linotype"/>
          <w:i/>
          <w:iCs/>
          <w:sz w:val="22"/>
          <w:szCs w:val="22"/>
          <w:lang w:eastAsia="en-US"/>
        </w:rPr>
      </w:pPr>
      <w:r w:rsidRPr="00AB4F42">
        <w:rPr>
          <w:rFonts w:ascii="Palatino Linotype" w:eastAsiaTheme="minorHAnsi" w:hAnsi="Palatino Linotype"/>
          <w:sz w:val="22"/>
          <w:szCs w:val="22"/>
          <w:lang w:eastAsia="en-US"/>
        </w:rPr>
        <w:t xml:space="preserve">Que, </w:t>
      </w:r>
      <w:r w:rsidRPr="00AB4F42">
        <w:rPr>
          <w:rFonts w:ascii="Palatino Linotype" w:eastAsiaTheme="minorHAnsi" w:hAnsi="Palatino Linotype"/>
          <w:sz w:val="22"/>
          <w:szCs w:val="22"/>
          <w:lang w:eastAsia="en-US"/>
        </w:rPr>
        <w:tab/>
        <w:t>el artículo 323 del COOTAD establece: “</w:t>
      </w:r>
      <w:r w:rsidRPr="00AB4F42">
        <w:rPr>
          <w:rFonts w:ascii="Palatino Linotype" w:eastAsiaTheme="minorHAnsi" w:hAnsi="Palatino Linotype"/>
          <w:i/>
          <w:iCs/>
          <w:sz w:val="22"/>
          <w:szCs w:val="22"/>
          <w:lang w:eastAsia="en-US"/>
        </w:rPr>
        <w:t xml:space="preserve">Aprobación de otros actos normativos.- El órgano normativo del respectivo gobierno autónomo descentralizado podrá expedir además, acuerdos y resoluciones sobre temas que tengan carácter especial o específico, los que serán aprobados </w:t>
      </w:r>
      <w:r w:rsidRPr="00AB4F42">
        <w:rPr>
          <w:rFonts w:ascii="Palatino Linotype" w:eastAsiaTheme="minorHAnsi" w:hAnsi="Palatino Linotype"/>
          <w:i/>
          <w:iCs/>
          <w:sz w:val="22"/>
          <w:szCs w:val="22"/>
          <w:lang w:eastAsia="en-US"/>
        </w:rPr>
        <w:lastRenderedPageBreak/>
        <w:t>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0113AC" w:rsidRPr="00AB4F42"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AB4F42"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AB4F42">
        <w:rPr>
          <w:rFonts w:ascii="Palatino Linotype" w:eastAsiaTheme="minorHAnsi" w:hAnsi="Palatino Linotype"/>
          <w:b/>
          <w:sz w:val="22"/>
          <w:szCs w:val="22"/>
          <w:lang w:eastAsia="en-US"/>
        </w:rPr>
        <w:t>Que,</w:t>
      </w:r>
      <w:r w:rsidRPr="00AB4F42">
        <w:rPr>
          <w:rFonts w:ascii="Palatino Linotype" w:eastAsiaTheme="minorHAnsi" w:hAnsi="Palatino Linotype"/>
          <w:sz w:val="22"/>
          <w:szCs w:val="22"/>
          <w:lang w:eastAsia="en-US"/>
        </w:rPr>
        <w:t xml:space="preserve"> 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0113AC" w:rsidRPr="00AB4F42"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AB4F42"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AB4F42">
        <w:rPr>
          <w:rFonts w:ascii="Palatino Linotype" w:eastAsiaTheme="minorHAnsi" w:hAnsi="Palatino Linotype"/>
          <w:b/>
          <w:sz w:val="22"/>
          <w:szCs w:val="22"/>
          <w:lang w:eastAsia="en-US"/>
        </w:rPr>
        <w:t>Que,</w:t>
      </w:r>
      <w:r w:rsidRPr="00AB4F42">
        <w:rPr>
          <w:rFonts w:ascii="Palatino Linotype" w:eastAsiaTheme="minorHAnsi" w:hAnsi="Palatino Linotype"/>
          <w:sz w:val="22"/>
          <w:szCs w:val="22"/>
          <w:lang w:eastAsia="en-US"/>
        </w:rPr>
        <w:t xml:space="preserve"> el artículo 424 del COOTAD señala: </w:t>
      </w:r>
      <w:r w:rsidRPr="00AB4F42">
        <w:rPr>
          <w:rFonts w:ascii="Palatino Linotype" w:eastAsiaTheme="minorHAnsi" w:hAnsi="Palatino Linotype"/>
          <w:i/>
          <w:sz w:val="22"/>
          <w:szCs w:val="22"/>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0113AC" w:rsidRPr="00AB4F42"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p>
    <w:p w:rsidR="000113AC" w:rsidRPr="00AB4F42"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AB4F42">
        <w:rPr>
          <w:rFonts w:ascii="Palatino Linotype" w:eastAsiaTheme="minorHAnsi" w:hAnsi="Palatino Linotype"/>
          <w:b/>
          <w:sz w:val="22"/>
          <w:szCs w:val="22"/>
          <w:lang w:eastAsia="en-US"/>
        </w:rPr>
        <w:t>Que,</w:t>
      </w:r>
      <w:r w:rsidRPr="00AB4F42">
        <w:rPr>
          <w:rFonts w:ascii="Palatino Linotype" w:eastAsiaTheme="minorHAnsi" w:hAnsi="Palatino Linotype"/>
          <w:sz w:val="22"/>
          <w:szCs w:val="22"/>
          <w:lang w:eastAsia="en-US"/>
        </w:rPr>
        <w:t xml:space="preserve"> el artículo 472 del COOTAD señala que: </w:t>
      </w:r>
      <w:r w:rsidRPr="00AB4F42">
        <w:rPr>
          <w:rFonts w:ascii="Palatino Linotype" w:eastAsiaTheme="minorHAnsi" w:hAnsi="Palatino Linotype"/>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AB4F42">
        <w:rPr>
          <w:rFonts w:ascii="Palatino Linotype" w:eastAsiaTheme="minorHAnsi" w:hAnsi="Palatino Linotype"/>
          <w:sz w:val="22"/>
          <w:szCs w:val="22"/>
          <w:lang w:eastAsia="en-US"/>
        </w:rPr>
        <w:t>;</w:t>
      </w:r>
    </w:p>
    <w:p w:rsidR="000113AC" w:rsidRPr="00AB4F42"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AB4F42"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AB4F42">
        <w:rPr>
          <w:rFonts w:ascii="Palatino Linotype" w:eastAsiaTheme="minorHAnsi" w:hAnsi="Palatino Linotype"/>
          <w:b/>
          <w:sz w:val="22"/>
          <w:szCs w:val="22"/>
          <w:lang w:eastAsia="en-US"/>
        </w:rPr>
        <w:t>Que,</w:t>
      </w:r>
      <w:r w:rsidRPr="00AB4F42">
        <w:rPr>
          <w:rFonts w:ascii="Palatino Linotype" w:eastAsiaTheme="minorHAnsi" w:hAnsi="Palatino Linotype"/>
          <w:sz w:val="22"/>
          <w:szCs w:val="22"/>
          <w:lang w:eastAsia="en-US"/>
        </w:rPr>
        <w:t xml:space="preserve"> el artículo 2410 del el Código Civil Ecuatoriano determina que: </w:t>
      </w:r>
      <w:r w:rsidRPr="00AB4F42">
        <w:rPr>
          <w:rFonts w:ascii="Palatino Linotype" w:eastAsiaTheme="minorHAnsi" w:hAnsi="Palatino Linotype"/>
          <w:i/>
          <w:sz w:val="22"/>
          <w:szCs w:val="22"/>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0113AC" w:rsidRPr="00AB4F42"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AB4F42" w:rsidRDefault="000113AC" w:rsidP="000113AC">
      <w:pPr>
        <w:autoSpaceDE w:val="0"/>
        <w:autoSpaceDN w:val="0"/>
        <w:adjustRightInd w:val="0"/>
        <w:jc w:val="both"/>
        <w:rPr>
          <w:rFonts w:ascii="Palatino Linotype" w:hAnsi="Palatino Linotype"/>
          <w:sz w:val="22"/>
          <w:szCs w:val="22"/>
        </w:rPr>
      </w:pPr>
    </w:p>
    <w:p w:rsidR="000113AC" w:rsidRPr="00AB4F42"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r w:rsidRPr="00AB4F42">
        <w:rPr>
          <w:rFonts w:ascii="Palatino Linotype" w:eastAsiaTheme="minorHAnsi" w:hAnsi="Palatino Linotype"/>
          <w:sz w:val="22"/>
          <w:szCs w:val="22"/>
          <w:lang w:eastAsia="en-US"/>
        </w:rPr>
        <w:lastRenderedPageBreak/>
        <w:t>Que,</w:t>
      </w:r>
      <w:r w:rsidRPr="00AB4F42">
        <w:rPr>
          <w:rFonts w:ascii="Palatino Linotype" w:eastAsiaTheme="minorHAnsi" w:hAnsi="Palatino Linotype"/>
          <w:sz w:val="22"/>
          <w:szCs w:val="22"/>
          <w:lang w:eastAsia="en-US"/>
        </w:rPr>
        <w:tab/>
        <w:t>el numeral 1, del artículo 2 de la Ley de Régimen para el Distrito Metropolitano de Quito, determina, como finalidad, que el Municipio del Distrito Metropolitano de Quito: “</w:t>
      </w:r>
      <w:r w:rsidRPr="00AB4F42">
        <w:rPr>
          <w:rFonts w:ascii="Palatino Linotype" w:eastAsiaTheme="minorHAnsi" w:hAnsi="Palatino Linotype"/>
          <w:i/>
          <w:iCs/>
          <w:sz w:val="22"/>
          <w:szCs w:val="22"/>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AB4F42">
        <w:rPr>
          <w:rFonts w:ascii="Palatino Linotype" w:eastAsiaTheme="minorHAnsi" w:hAnsi="Palatino Linotype"/>
          <w:sz w:val="22"/>
          <w:szCs w:val="22"/>
          <w:lang w:eastAsia="en-US"/>
        </w:rPr>
        <w:t>;</w:t>
      </w:r>
    </w:p>
    <w:p w:rsidR="000113AC" w:rsidRPr="00AB4F42"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AB4F42" w:rsidRDefault="000113AC" w:rsidP="000113AC">
      <w:pPr>
        <w:autoSpaceDE w:val="0"/>
        <w:autoSpaceDN w:val="0"/>
        <w:adjustRightInd w:val="0"/>
        <w:spacing w:line="276" w:lineRule="auto"/>
        <w:ind w:left="709" w:hanging="709"/>
        <w:jc w:val="both"/>
        <w:rPr>
          <w:rFonts w:ascii="Palatino Linotype" w:hAnsi="Palatino Linotype"/>
          <w:sz w:val="22"/>
          <w:szCs w:val="22"/>
        </w:rPr>
      </w:pPr>
      <w:r w:rsidRPr="00AB4F42">
        <w:rPr>
          <w:rFonts w:ascii="Palatino Linotype" w:eastAsiaTheme="minorHAnsi" w:hAnsi="Palatino Linotype"/>
          <w:b/>
          <w:sz w:val="22"/>
          <w:szCs w:val="22"/>
          <w:lang w:eastAsia="en-US"/>
        </w:rPr>
        <w:t>Que,</w:t>
      </w:r>
      <w:r w:rsidRPr="00AB4F42">
        <w:rPr>
          <w:rFonts w:ascii="Palatino Linotype" w:eastAsiaTheme="minorHAnsi" w:hAnsi="Palatino Linotype"/>
          <w:sz w:val="22"/>
          <w:szCs w:val="22"/>
          <w:lang w:eastAsia="en-US"/>
        </w:rPr>
        <w:t xml:space="preserve"> </w:t>
      </w:r>
      <w:r w:rsidRPr="00AB4F42">
        <w:rPr>
          <w:rFonts w:ascii="Palatino Linotype" w:eastAsiaTheme="minorHAnsi" w:hAnsi="Palatino Linotype"/>
          <w:sz w:val="22"/>
          <w:szCs w:val="22"/>
          <w:lang w:eastAsia="en-US"/>
        </w:rPr>
        <w:tab/>
        <w:t xml:space="preserve">el Código Municipal para el Distrito Metropolitano de Quito, en adelante Código Municipal, en su artículo 2162, numeral 1, establece que: </w:t>
      </w:r>
      <w:r w:rsidRPr="00AB4F42">
        <w:rPr>
          <w:rFonts w:ascii="Palatino Linotype" w:eastAsiaTheme="minorHAnsi" w:hAnsi="Palatino Linotype"/>
          <w:i/>
          <w:sz w:val="22"/>
          <w:szCs w:val="22"/>
          <w:lang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AB4F42">
        <w:rPr>
          <w:rFonts w:ascii="Palatino Linotype" w:hAnsi="Palatino Linotype"/>
          <w:i/>
          <w:sz w:val="22"/>
          <w:szCs w:val="22"/>
        </w:rPr>
        <w:t>”</w:t>
      </w:r>
      <w:r w:rsidRPr="00AB4F42">
        <w:rPr>
          <w:rFonts w:ascii="Palatino Linotype" w:hAnsi="Palatino Linotype"/>
          <w:sz w:val="22"/>
          <w:szCs w:val="22"/>
        </w:rPr>
        <w:t xml:space="preserve">; </w:t>
      </w:r>
    </w:p>
    <w:p w:rsidR="000113AC" w:rsidRPr="00AB4F42" w:rsidRDefault="000113AC" w:rsidP="000113AC">
      <w:pPr>
        <w:autoSpaceDE w:val="0"/>
        <w:autoSpaceDN w:val="0"/>
        <w:adjustRightInd w:val="0"/>
        <w:spacing w:line="276" w:lineRule="auto"/>
        <w:ind w:left="709" w:hanging="709"/>
        <w:jc w:val="both"/>
        <w:rPr>
          <w:rFonts w:ascii="Palatino Linotype" w:hAnsi="Palatino Linotype"/>
          <w:sz w:val="22"/>
          <w:szCs w:val="22"/>
        </w:rPr>
      </w:pPr>
    </w:p>
    <w:p w:rsidR="000113AC" w:rsidRPr="00AB4F42"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AB4F42">
        <w:rPr>
          <w:rFonts w:ascii="Palatino Linotype" w:eastAsiaTheme="minorHAnsi" w:hAnsi="Palatino Linotype"/>
          <w:b/>
          <w:sz w:val="22"/>
          <w:szCs w:val="22"/>
          <w:lang w:eastAsia="en-US"/>
        </w:rPr>
        <w:t>Que,</w:t>
      </w:r>
      <w:r w:rsidRPr="00AB4F42">
        <w:rPr>
          <w:rFonts w:ascii="Palatino Linotype" w:eastAsiaTheme="minorHAnsi" w:hAnsi="Palatino Linotype"/>
          <w:sz w:val="22"/>
          <w:szCs w:val="22"/>
          <w:lang w:eastAsia="en-US"/>
        </w:rPr>
        <w:t xml:space="preserve"> </w:t>
      </w:r>
      <w:r w:rsidRPr="00AB4F42">
        <w:rPr>
          <w:rFonts w:ascii="Palatino Linotype" w:eastAsiaTheme="minorHAnsi" w:hAnsi="Palatino Linotype"/>
          <w:sz w:val="22"/>
          <w:szCs w:val="22"/>
          <w:lang w:eastAsia="en-US"/>
        </w:rPr>
        <w:tab/>
        <w:t xml:space="preserve">el Código Municipal en su artículo 2171, establece: </w:t>
      </w:r>
      <w:r w:rsidRPr="00AB4F42">
        <w:rPr>
          <w:rFonts w:ascii="Palatino Linotype" w:eastAsiaTheme="minorHAnsi" w:hAnsi="Palatino Linotype"/>
          <w:i/>
          <w:sz w:val="22"/>
          <w:szCs w:val="22"/>
          <w:lang w:eastAsia="en-US"/>
        </w:rPr>
        <w:t xml:space="preserve">“Supuestos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 Si el área de la sentencia es inferior a 3000.00 m2, la contribución del 15% del área útil adjudicada, se compensará en valor monetario según el avalúo catastral actualizado, cuando sea menor al lote mínimo asignado en la zonificación vigente”;  </w:t>
      </w:r>
    </w:p>
    <w:p w:rsidR="000113AC" w:rsidRPr="00AB4F42"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highlight w:val="yellow"/>
          <w:lang w:eastAsia="en-US"/>
        </w:rPr>
      </w:pPr>
    </w:p>
    <w:p w:rsidR="00C21EBF" w:rsidRPr="00AB4F42" w:rsidRDefault="00B82081" w:rsidP="0034620A">
      <w:pPr>
        <w:autoSpaceDE w:val="0"/>
        <w:autoSpaceDN w:val="0"/>
        <w:adjustRightInd w:val="0"/>
        <w:ind w:left="708" w:hanging="708"/>
        <w:jc w:val="both"/>
        <w:rPr>
          <w:rFonts w:ascii="Palatino Linotype" w:hAnsi="Palatino Linotype"/>
          <w:i/>
          <w:sz w:val="22"/>
          <w:szCs w:val="22"/>
        </w:rPr>
      </w:pPr>
      <w:r w:rsidRPr="00AB4F42">
        <w:rPr>
          <w:rFonts w:ascii="Palatino Linotype" w:eastAsiaTheme="minorHAnsi" w:hAnsi="Palatino Linotype"/>
          <w:b/>
          <w:sz w:val="22"/>
          <w:szCs w:val="22"/>
          <w:lang w:eastAsia="en-US"/>
        </w:rPr>
        <w:t xml:space="preserve">Que, </w:t>
      </w:r>
      <w:r w:rsidR="00C21EBF" w:rsidRPr="00AB4F42">
        <w:rPr>
          <w:rFonts w:ascii="Palatino Linotype" w:hAnsi="Palatino Linotype"/>
          <w:sz w:val="22"/>
          <w:szCs w:val="22"/>
        </w:rPr>
        <w:t>c</w:t>
      </w:r>
      <w:r w:rsidR="00C21EBF" w:rsidRPr="00AB4F42">
        <w:rPr>
          <w:rFonts w:ascii="Palatino Linotype" w:hAnsi="Palatino Linotype"/>
          <w:sz w:val="22"/>
          <w:szCs w:val="22"/>
        </w:rPr>
        <w:t>on proceso de Juicio No. 17230-2016-07357, la Unidad Judicial Civil con sede en la Parroquia de Iñaquito del Distrito Metropolitano de Quito, jueves 8 de febrero de 2018, a las 15h43, emite sentencia a favor de Luz Marina Ramón Suquisupa y Nevio Homero Guanuche Sanmartín del lote de terreno y casa No. 094 del Conjunto Habitacional Paseos de Calderón, Etapa II de la parroquia Calderón del Distrito Metropolitano de Quito. El inmueble tiene una superficie total de 80,70 m2., conforme consta en el informe</w:t>
      </w:r>
      <w:r w:rsidR="0034620A" w:rsidRPr="00AB4F42">
        <w:rPr>
          <w:rFonts w:ascii="Palatino Linotype" w:hAnsi="Palatino Linotype"/>
          <w:sz w:val="22"/>
          <w:szCs w:val="22"/>
        </w:rPr>
        <w:t xml:space="preserve"> técnico Nro. AZCA- DGT-2022-22;</w:t>
      </w:r>
      <w:r w:rsidR="00C21EBF" w:rsidRPr="00AB4F42">
        <w:rPr>
          <w:rFonts w:ascii="Palatino Linotype" w:hAnsi="Palatino Linotype"/>
          <w:sz w:val="22"/>
          <w:szCs w:val="22"/>
        </w:rPr>
        <w:t xml:space="preserve"> </w:t>
      </w:r>
    </w:p>
    <w:p w:rsidR="003144EF" w:rsidRPr="00AB4F42" w:rsidRDefault="003144EF" w:rsidP="005A421F">
      <w:pPr>
        <w:autoSpaceDE w:val="0"/>
        <w:autoSpaceDN w:val="0"/>
        <w:adjustRightInd w:val="0"/>
        <w:jc w:val="both"/>
        <w:rPr>
          <w:rFonts w:ascii="Palatino Linotype" w:hAnsi="Palatino Linotype"/>
          <w:sz w:val="22"/>
          <w:szCs w:val="22"/>
        </w:rPr>
      </w:pPr>
    </w:p>
    <w:p w:rsidR="005A421F" w:rsidRPr="00AB4F42" w:rsidRDefault="005A421F" w:rsidP="005A421F">
      <w:pPr>
        <w:autoSpaceDE w:val="0"/>
        <w:autoSpaceDN w:val="0"/>
        <w:adjustRightInd w:val="0"/>
        <w:jc w:val="both"/>
        <w:rPr>
          <w:rFonts w:ascii="Palatino Linotype" w:hAnsi="Palatino Linotype"/>
          <w:color w:val="000000" w:themeColor="text1"/>
          <w:sz w:val="22"/>
          <w:szCs w:val="22"/>
          <w:lang w:val="es-ES"/>
        </w:rPr>
      </w:pPr>
    </w:p>
    <w:p w:rsidR="003144EF" w:rsidRPr="00AB4F42" w:rsidRDefault="003144EF" w:rsidP="003144EF">
      <w:pPr>
        <w:autoSpaceDE w:val="0"/>
        <w:autoSpaceDN w:val="0"/>
        <w:adjustRightInd w:val="0"/>
        <w:ind w:left="708" w:hanging="708"/>
        <w:jc w:val="both"/>
        <w:rPr>
          <w:rFonts w:ascii="Palatino Linotype" w:eastAsiaTheme="minorHAnsi" w:hAnsi="Palatino Linotype"/>
          <w:sz w:val="22"/>
          <w:szCs w:val="22"/>
          <w:lang w:eastAsia="en-US"/>
        </w:rPr>
      </w:pPr>
      <w:r w:rsidRPr="00AB4F42">
        <w:rPr>
          <w:rFonts w:ascii="Palatino Linotype" w:eastAsiaTheme="minorHAnsi" w:hAnsi="Palatino Linotype"/>
          <w:b/>
          <w:sz w:val="22"/>
          <w:szCs w:val="22"/>
          <w:lang w:eastAsia="en-US"/>
        </w:rPr>
        <w:t>Que,</w:t>
      </w:r>
      <w:r w:rsidRPr="00AB4F42">
        <w:rPr>
          <w:rFonts w:ascii="Palatino Linotype" w:eastAsiaTheme="minorHAnsi" w:hAnsi="Palatino Linotype"/>
          <w:sz w:val="22"/>
          <w:szCs w:val="22"/>
          <w:lang w:eastAsia="en-US"/>
        </w:rPr>
        <w:t xml:space="preserve"> mediante oficio Nro.</w:t>
      </w:r>
      <w:r w:rsidRPr="00AB4F42">
        <w:rPr>
          <w:rFonts w:ascii="Palatino Linotype" w:hAnsi="Palatino Linotype"/>
          <w:sz w:val="22"/>
          <w:szCs w:val="22"/>
        </w:rPr>
        <w:t xml:space="preserve"> 2950-2010 de 31 de octubre de 2011</w:t>
      </w:r>
      <w:r w:rsidRPr="00AB4F42">
        <w:rPr>
          <w:rFonts w:ascii="Palatino Linotype" w:eastAsiaTheme="minorHAnsi" w:hAnsi="Palatino Linotype"/>
          <w:sz w:val="22"/>
          <w:szCs w:val="22"/>
          <w:lang w:eastAsia="en-US"/>
        </w:rPr>
        <w:t xml:space="preserve"> la Procuraduría Metropolitana emitió un </w:t>
      </w:r>
      <w:r w:rsidRPr="00AB4F42">
        <w:rPr>
          <w:rFonts w:ascii="Palatino Linotype" w:hAnsi="Palatino Linotype"/>
          <w:sz w:val="22"/>
          <w:szCs w:val="22"/>
        </w:rPr>
        <w:t xml:space="preserve">pronunciamiento en forma general, respecto al marco legal y operativo para todos los casos de </w:t>
      </w:r>
      <w:r w:rsidRPr="00AB4F42">
        <w:rPr>
          <w:rFonts w:ascii="Palatino Linotype" w:eastAsiaTheme="minorHAnsi" w:hAnsi="Palatino Linotype"/>
          <w:sz w:val="22"/>
          <w:szCs w:val="22"/>
          <w:lang w:eastAsia="en-US"/>
        </w:rPr>
        <w:t>prescripción extraordinaria adquisitiva de dominio;</w:t>
      </w:r>
    </w:p>
    <w:p w:rsidR="00372B0E" w:rsidRPr="00AB4F42" w:rsidRDefault="00372B0E" w:rsidP="00372B0E">
      <w:pPr>
        <w:autoSpaceDE w:val="0"/>
        <w:autoSpaceDN w:val="0"/>
        <w:adjustRightInd w:val="0"/>
        <w:spacing w:line="276" w:lineRule="auto"/>
        <w:ind w:left="708" w:hanging="708"/>
        <w:jc w:val="both"/>
        <w:rPr>
          <w:rFonts w:ascii="Palatino Linotype" w:hAnsi="Palatino Linotype"/>
          <w:i/>
          <w:sz w:val="22"/>
          <w:szCs w:val="22"/>
        </w:rPr>
      </w:pPr>
    </w:p>
    <w:p w:rsidR="00822F01" w:rsidRPr="00AB4F42" w:rsidRDefault="00822F01" w:rsidP="00822F01">
      <w:pPr>
        <w:pStyle w:val="Default"/>
        <w:ind w:left="708" w:hanging="708"/>
        <w:jc w:val="both"/>
        <w:rPr>
          <w:sz w:val="22"/>
          <w:szCs w:val="22"/>
        </w:rPr>
      </w:pPr>
      <w:r w:rsidRPr="00AB4F42">
        <w:rPr>
          <w:b/>
          <w:sz w:val="22"/>
          <w:szCs w:val="22"/>
        </w:rPr>
        <w:lastRenderedPageBreak/>
        <w:t xml:space="preserve">Que, </w:t>
      </w:r>
      <w:r w:rsidRPr="00AB4F42">
        <w:rPr>
          <w:sz w:val="22"/>
          <w:szCs w:val="22"/>
        </w:rPr>
        <w:t xml:space="preserve">mediante oficio No. GADDMQ-PM-2021-0396-O de 29 de enero de 2021, el Dr. Edison Yépez Vinueza, Subprocurador Metropolitano, señala:  </w:t>
      </w:r>
    </w:p>
    <w:p w:rsidR="00822F01" w:rsidRPr="00AB4F42" w:rsidRDefault="00822F01" w:rsidP="00822F01">
      <w:pPr>
        <w:tabs>
          <w:tab w:val="left" w:pos="426"/>
        </w:tabs>
        <w:ind w:left="1416" w:right="566"/>
        <w:jc w:val="both"/>
        <w:rPr>
          <w:rFonts w:ascii="Palatino Linotype" w:hAnsi="Palatino Linotype"/>
          <w:i/>
          <w:sz w:val="22"/>
          <w:szCs w:val="22"/>
        </w:rPr>
      </w:pPr>
    </w:p>
    <w:p w:rsidR="00822F01" w:rsidRPr="00AB4F42" w:rsidRDefault="00822F01" w:rsidP="00822F01">
      <w:pPr>
        <w:tabs>
          <w:tab w:val="left" w:pos="284"/>
        </w:tabs>
        <w:ind w:left="708"/>
        <w:jc w:val="both"/>
        <w:rPr>
          <w:rFonts w:ascii="Palatino Linotype" w:hAnsi="Palatino Linotype"/>
          <w:i/>
          <w:sz w:val="22"/>
          <w:szCs w:val="22"/>
        </w:rPr>
      </w:pPr>
      <w:r w:rsidRPr="00AB4F42">
        <w:rPr>
          <w:rFonts w:ascii="Palatino Linotype" w:hAnsi="Palatino Linotype"/>
          <w:i/>
          <w:sz w:val="22"/>
          <w:szCs w:val="22"/>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822F01" w:rsidRPr="00AB4F42" w:rsidRDefault="00822F01" w:rsidP="00822F01">
      <w:pPr>
        <w:tabs>
          <w:tab w:val="left" w:pos="284"/>
        </w:tabs>
        <w:ind w:left="708"/>
        <w:jc w:val="both"/>
        <w:rPr>
          <w:rFonts w:ascii="Palatino Linotype" w:hAnsi="Palatino Linotype"/>
          <w:i/>
          <w:sz w:val="22"/>
          <w:szCs w:val="22"/>
        </w:rPr>
      </w:pPr>
      <w:r w:rsidRPr="00AB4F42">
        <w:rPr>
          <w:rFonts w:ascii="Palatino Linotype" w:hAnsi="Palatino Linotype"/>
          <w:i/>
          <w:sz w:val="22"/>
          <w:szCs w:val="22"/>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822F01" w:rsidRPr="00AB4F42" w:rsidRDefault="00822F01" w:rsidP="00822F01">
      <w:pPr>
        <w:tabs>
          <w:tab w:val="left" w:pos="284"/>
        </w:tabs>
        <w:ind w:left="708"/>
        <w:jc w:val="both"/>
        <w:rPr>
          <w:rFonts w:ascii="Palatino Linotype" w:hAnsi="Palatino Linotype"/>
          <w:i/>
          <w:sz w:val="22"/>
          <w:szCs w:val="22"/>
        </w:rPr>
      </w:pPr>
    </w:p>
    <w:p w:rsidR="00822F01" w:rsidRPr="00AB4F42" w:rsidRDefault="00822F01" w:rsidP="00822F01">
      <w:pPr>
        <w:tabs>
          <w:tab w:val="left" w:pos="284"/>
        </w:tabs>
        <w:ind w:left="708"/>
        <w:jc w:val="both"/>
        <w:rPr>
          <w:rFonts w:ascii="Palatino Linotype" w:hAnsi="Palatino Linotype"/>
          <w:i/>
          <w:sz w:val="22"/>
          <w:szCs w:val="22"/>
        </w:rPr>
      </w:pPr>
      <w:r w:rsidRPr="00AB4F42">
        <w:rPr>
          <w:rFonts w:ascii="Palatino Linotype" w:hAnsi="Palatino Linotype"/>
          <w:i/>
          <w:sz w:val="22"/>
          <w:szCs w:val="22"/>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822F01" w:rsidRPr="00AB4F42" w:rsidRDefault="00822F01" w:rsidP="00822F01">
      <w:pPr>
        <w:tabs>
          <w:tab w:val="left" w:pos="284"/>
        </w:tabs>
        <w:ind w:left="708"/>
        <w:jc w:val="both"/>
        <w:rPr>
          <w:rFonts w:ascii="Palatino Linotype" w:hAnsi="Palatino Linotype"/>
          <w:i/>
          <w:sz w:val="22"/>
          <w:szCs w:val="22"/>
        </w:rPr>
      </w:pPr>
    </w:p>
    <w:p w:rsidR="00822F01" w:rsidRPr="00AB4F42" w:rsidRDefault="00822F01" w:rsidP="00822F01">
      <w:pPr>
        <w:tabs>
          <w:tab w:val="left" w:pos="284"/>
        </w:tabs>
        <w:ind w:left="708"/>
        <w:jc w:val="both"/>
        <w:rPr>
          <w:rFonts w:ascii="Palatino Linotype" w:hAnsi="Palatino Linotype"/>
          <w:i/>
          <w:sz w:val="22"/>
          <w:szCs w:val="22"/>
        </w:rPr>
      </w:pPr>
      <w:r w:rsidRPr="00AB4F42">
        <w:rPr>
          <w:rFonts w:ascii="Palatino Linotype" w:hAnsi="Palatino Linotype"/>
          <w:i/>
          <w:sz w:val="22"/>
          <w:szCs w:val="22"/>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uno de los casos en particular.”;</w:t>
      </w:r>
    </w:p>
    <w:p w:rsidR="00822F01" w:rsidRPr="00AB4F42" w:rsidRDefault="00822F01" w:rsidP="00372B0E">
      <w:pPr>
        <w:autoSpaceDE w:val="0"/>
        <w:autoSpaceDN w:val="0"/>
        <w:adjustRightInd w:val="0"/>
        <w:spacing w:line="276" w:lineRule="auto"/>
        <w:ind w:left="708" w:hanging="708"/>
        <w:jc w:val="both"/>
        <w:rPr>
          <w:rFonts w:ascii="Palatino Linotype" w:hAnsi="Palatino Linotype"/>
          <w:b/>
          <w:sz w:val="22"/>
          <w:szCs w:val="22"/>
        </w:rPr>
      </w:pPr>
    </w:p>
    <w:p w:rsidR="00563683" w:rsidRPr="00AB4F42" w:rsidRDefault="00D24C41" w:rsidP="00563683">
      <w:pPr>
        <w:tabs>
          <w:tab w:val="left" w:pos="1080"/>
        </w:tabs>
        <w:jc w:val="both"/>
        <w:rPr>
          <w:rFonts w:ascii="Palatino Linotype" w:hAnsi="Palatino Linotype"/>
          <w:sz w:val="22"/>
          <w:szCs w:val="22"/>
        </w:rPr>
      </w:pPr>
      <w:r w:rsidRPr="00AB4F42">
        <w:rPr>
          <w:rFonts w:ascii="Palatino Linotype" w:hAnsi="Palatino Linotype"/>
          <w:b/>
          <w:sz w:val="22"/>
          <w:szCs w:val="22"/>
        </w:rPr>
        <w:t>Que</w:t>
      </w:r>
      <w:r w:rsidR="00C61696" w:rsidRPr="00AB4F42">
        <w:rPr>
          <w:rFonts w:ascii="Palatino Linotype" w:hAnsi="Palatino Linotype"/>
          <w:b/>
          <w:sz w:val="22"/>
          <w:szCs w:val="22"/>
        </w:rPr>
        <w:t xml:space="preserve">, </w:t>
      </w:r>
      <w:r w:rsidR="00563683" w:rsidRPr="00AB4F42">
        <w:rPr>
          <w:rFonts w:ascii="Palatino Linotype" w:hAnsi="Palatino Linotype"/>
          <w:sz w:val="22"/>
          <w:szCs w:val="22"/>
        </w:rPr>
        <w:t>m</w:t>
      </w:r>
      <w:r w:rsidR="00563683" w:rsidRPr="00AB4F42">
        <w:rPr>
          <w:rFonts w:ascii="Palatino Linotype" w:hAnsi="Palatino Linotype"/>
          <w:sz w:val="22"/>
          <w:szCs w:val="22"/>
        </w:rPr>
        <w:t xml:space="preserve">ediante informe técnico Nro. AZCA-DGT-2022-22, de 21 de abril de 2022, el Ing. Israel Jiménez, funcionario de la Administración Zonal Calderón, señala: </w:t>
      </w:r>
    </w:p>
    <w:p w:rsidR="00563683" w:rsidRPr="00AB4F42" w:rsidRDefault="00563683" w:rsidP="00563683">
      <w:pPr>
        <w:tabs>
          <w:tab w:val="left" w:pos="1080"/>
        </w:tabs>
        <w:jc w:val="both"/>
        <w:rPr>
          <w:rFonts w:ascii="Palatino Linotype" w:hAnsi="Palatino Linotype"/>
          <w:i/>
          <w:sz w:val="22"/>
          <w:szCs w:val="22"/>
        </w:rPr>
      </w:pPr>
    </w:p>
    <w:p w:rsidR="00563683" w:rsidRPr="00AB4F42" w:rsidRDefault="00563683" w:rsidP="00563683">
      <w:pPr>
        <w:tabs>
          <w:tab w:val="left" w:pos="1080"/>
        </w:tabs>
        <w:ind w:left="708"/>
        <w:jc w:val="both"/>
        <w:rPr>
          <w:rStyle w:val="markedcontent"/>
          <w:rFonts w:ascii="Palatino Linotype" w:hAnsi="Palatino Linotype" w:cs="Arial"/>
          <w:b/>
          <w:i/>
          <w:sz w:val="22"/>
          <w:szCs w:val="22"/>
        </w:rPr>
      </w:pPr>
      <w:r w:rsidRPr="00AB4F42">
        <w:rPr>
          <w:rFonts w:ascii="Palatino Linotype" w:hAnsi="Palatino Linotype"/>
          <w:b/>
          <w:i/>
          <w:sz w:val="22"/>
          <w:szCs w:val="22"/>
        </w:rPr>
        <w:t xml:space="preserve">“(…) </w:t>
      </w:r>
      <w:r w:rsidRPr="00AB4F42">
        <w:rPr>
          <w:rStyle w:val="markedcontent"/>
          <w:rFonts w:ascii="Palatino Linotype" w:hAnsi="Palatino Linotype" w:cs="Arial"/>
          <w:b/>
          <w:i/>
          <w:sz w:val="22"/>
          <w:szCs w:val="22"/>
        </w:rPr>
        <w:t>3. ANÁLISIS TÉCNICO</w:t>
      </w:r>
    </w:p>
    <w:p w:rsidR="00563683" w:rsidRPr="00AB4F42" w:rsidRDefault="00563683" w:rsidP="00563683">
      <w:pPr>
        <w:tabs>
          <w:tab w:val="left" w:pos="1080"/>
        </w:tabs>
        <w:ind w:left="708"/>
        <w:jc w:val="both"/>
        <w:rPr>
          <w:rFonts w:ascii="Palatino Linotype" w:hAnsi="Palatino Linotype"/>
          <w:b/>
          <w:i/>
          <w:sz w:val="22"/>
          <w:szCs w:val="22"/>
        </w:rPr>
      </w:pPr>
    </w:p>
    <w:p w:rsidR="00563683" w:rsidRPr="00AB4F42" w:rsidRDefault="00563683" w:rsidP="00563683">
      <w:pPr>
        <w:tabs>
          <w:tab w:val="left" w:pos="1080"/>
        </w:tabs>
        <w:ind w:left="708"/>
        <w:jc w:val="both"/>
        <w:rPr>
          <w:rStyle w:val="markedcontent"/>
          <w:rFonts w:ascii="Palatino Linotype" w:hAnsi="Palatino Linotype" w:cs="Arial"/>
          <w:i/>
          <w:sz w:val="22"/>
          <w:szCs w:val="22"/>
        </w:rPr>
      </w:pPr>
      <w:r w:rsidRPr="00AB4F42">
        <w:rPr>
          <w:rStyle w:val="markedcontent"/>
          <w:rFonts w:ascii="Palatino Linotype" w:hAnsi="Palatino Linotype" w:cs="Arial"/>
          <w:i/>
          <w:sz w:val="22"/>
          <w:szCs w:val="22"/>
        </w:rPr>
        <w:t>Revisado el Sistema Urbano de Información Metropolitana (IRM), se verifica que el predio No. 1296691, con clave catastral No. 12713 02 005 se encuentra catastrado con los siguientes datos:”</w:t>
      </w:r>
    </w:p>
    <w:p w:rsidR="00563683" w:rsidRPr="00AB4F42" w:rsidRDefault="00563683" w:rsidP="00563683">
      <w:pPr>
        <w:tabs>
          <w:tab w:val="left" w:pos="1080"/>
        </w:tabs>
        <w:ind w:left="708"/>
        <w:jc w:val="both"/>
        <w:rPr>
          <w:rStyle w:val="markedcontent"/>
          <w:rFonts w:ascii="Palatino Linotype" w:hAnsi="Palatino Linotype" w:cs="Arial"/>
          <w:i/>
          <w:sz w:val="22"/>
          <w:szCs w:val="22"/>
        </w:rPr>
      </w:pPr>
    </w:p>
    <w:p w:rsidR="00563683" w:rsidRPr="00AB4F42" w:rsidRDefault="00563683" w:rsidP="00563683">
      <w:pPr>
        <w:tabs>
          <w:tab w:val="left" w:pos="1080"/>
        </w:tabs>
        <w:ind w:left="708"/>
        <w:jc w:val="both"/>
        <w:rPr>
          <w:rFonts w:ascii="Palatino Linotype" w:hAnsi="Palatino Linotype"/>
          <w:b/>
          <w:i/>
          <w:sz w:val="22"/>
          <w:szCs w:val="22"/>
        </w:rPr>
      </w:pPr>
      <w:r w:rsidRPr="00AB4F42">
        <w:rPr>
          <w:rFonts w:ascii="Palatino Linotype" w:hAnsi="Palatino Linotype"/>
          <w:b/>
          <w:i/>
          <w:sz w:val="22"/>
          <w:szCs w:val="22"/>
        </w:rPr>
        <w:t>“</w:t>
      </w:r>
      <w:r w:rsidRPr="00AB4F42">
        <w:rPr>
          <w:rStyle w:val="markedcontent"/>
          <w:rFonts w:ascii="Palatino Linotype" w:hAnsi="Palatino Linotype" w:cs="Arial"/>
          <w:i/>
          <w:sz w:val="22"/>
          <w:szCs w:val="22"/>
        </w:rPr>
        <w:sym w:font="Symbol" w:char="F0B7"/>
      </w:r>
      <w:r w:rsidRPr="00AB4F42">
        <w:rPr>
          <w:rStyle w:val="markedcontent"/>
          <w:rFonts w:ascii="Palatino Linotype" w:hAnsi="Palatino Linotype" w:cs="Arial"/>
          <w:i/>
          <w:sz w:val="22"/>
          <w:szCs w:val="22"/>
        </w:rPr>
        <w:t xml:space="preserve"> Lote mínimo/ zonificación en base al Informe de Regulación Metropolitano (IRM) de consulta, generado el 23 de diciembre del 2021 (adjunto Anexo 1)</w:t>
      </w:r>
      <w:r w:rsidRPr="00AB4F42">
        <w:rPr>
          <w:rFonts w:ascii="Palatino Linotype" w:hAnsi="Palatino Linotype"/>
          <w:b/>
          <w:i/>
          <w:sz w:val="22"/>
          <w:szCs w:val="22"/>
        </w:rPr>
        <w:t>”</w:t>
      </w:r>
    </w:p>
    <w:p w:rsidR="00563683" w:rsidRPr="00AB4F42" w:rsidRDefault="00563683" w:rsidP="00563683">
      <w:pPr>
        <w:tabs>
          <w:tab w:val="left" w:pos="1080"/>
        </w:tabs>
        <w:ind w:left="708"/>
        <w:jc w:val="both"/>
        <w:rPr>
          <w:rFonts w:ascii="Palatino Linotype" w:hAnsi="Palatino Linotype"/>
          <w:b/>
          <w:i/>
          <w:sz w:val="22"/>
          <w:szCs w:val="22"/>
        </w:rPr>
      </w:pPr>
    </w:p>
    <w:p w:rsidR="00563683" w:rsidRPr="00AB4F42" w:rsidRDefault="00563683" w:rsidP="00563683">
      <w:pPr>
        <w:tabs>
          <w:tab w:val="left" w:pos="1080"/>
        </w:tabs>
        <w:ind w:left="708"/>
        <w:jc w:val="both"/>
        <w:rPr>
          <w:rStyle w:val="markedcontent"/>
          <w:rFonts w:ascii="Palatino Linotype" w:hAnsi="Palatino Linotype" w:cs="Arial"/>
          <w:i/>
          <w:sz w:val="22"/>
          <w:szCs w:val="22"/>
        </w:rPr>
      </w:pPr>
      <w:r w:rsidRPr="00AB4F42">
        <w:rPr>
          <w:rFonts w:ascii="Palatino Linotype" w:hAnsi="Palatino Linotype"/>
          <w:b/>
          <w:i/>
          <w:sz w:val="22"/>
          <w:szCs w:val="22"/>
        </w:rPr>
        <w:t>“</w:t>
      </w:r>
      <w:r w:rsidRPr="00AB4F42">
        <w:rPr>
          <w:rStyle w:val="markedcontent"/>
          <w:rFonts w:ascii="Palatino Linotype" w:hAnsi="Palatino Linotype" w:cs="Arial"/>
          <w:i/>
          <w:sz w:val="22"/>
          <w:szCs w:val="22"/>
        </w:rPr>
        <w:t>De acuerdo a la Zonificación enunciada, el lote mínimo establecido para el sector RENDIN# 2 de la parroquia Calderón es A8 (A603-35), equivalente a 600 m2 y frente mínimo de 15 m. En consecuencia, al ser una sentencia dictada dentro de un juicio de prescripción adquisitiva de dominio, respecto de una parte de un inmueble, NO CUMPLE las condiciones generales de los inmuebles de la zona “lote mínimo” y “frente mínimo”. Además, se debe mencionar que el pasaje es una vía interna del predio madre que no se encuentra aprobada en el P.P.C.”</w:t>
      </w:r>
    </w:p>
    <w:p w:rsidR="00563683" w:rsidRPr="00AB4F42" w:rsidRDefault="00563683" w:rsidP="00563683">
      <w:pPr>
        <w:tabs>
          <w:tab w:val="left" w:pos="1080"/>
        </w:tabs>
        <w:ind w:left="708"/>
        <w:jc w:val="both"/>
        <w:rPr>
          <w:rFonts w:ascii="Palatino Linotype" w:hAnsi="Palatino Linotype"/>
          <w:b/>
          <w:i/>
          <w:sz w:val="22"/>
          <w:szCs w:val="22"/>
        </w:rPr>
      </w:pPr>
    </w:p>
    <w:p w:rsidR="00563683" w:rsidRPr="00AB4F42" w:rsidRDefault="00563683" w:rsidP="00563683">
      <w:pPr>
        <w:tabs>
          <w:tab w:val="left" w:pos="1080"/>
        </w:tabs>
        <w:ind w:left="708"/>
        <w:jc w:val="both"/>
        <w:rPr>
          <w:rStyle w:val="markedcontent"/>
          <w:rFonts w:ascii="Palatino Linotype" w:hAnsi="Palatino Linotype" w:cs="Arial"/>
          <w:b/>
          <w:i/>
          <w:sz w:val="22"/>
          <w:szCs w:val="22"/>
        </w:rPr>
      </w:pPr>
      <w:r w:rsidRPr="00AB4F42">
        <w:rPr>
          <w:rFonts w:ascii="Palatino Linotype" w:hAnsi="Palatino Linotype"/>
          <w:b/>
          <w:i/>
          <w:sz w:val="22"/>
          <w:szCs w:val="22"/>
        </w:rPr>
        <w:t>“</w:t>
      </w:r>
      <w:r w:rsidRPr="00AB4F42">
        <w:rPr>
          <w:rStyle w:val="markedcontent"/>
          <w:rFonts w:ascii="Palatino Linotype" w:hAnsi="Palatino Linotype" w:cs="Arial"/>
          <w:b/>
          <w:i/>
          <w:sz w:val="22"/>
          <w:szCs w:val="22"/>
        </w:rPr>
        <w:t xml:space="preserve">Análisis de la Prescripción Adquisitiva de Dominio </w:t>
      </w:r>
    </w:p>
    <w:p w:rsidR="00563683" w:rsidRPr="00AB4F42" w:rsidRDefault="00563683" w:rsidP="00563683">
      <w:pPr>
        <w:tabs>
          <w:tab w:val="left" w:pos="1080"/>
        </w:tabs>
        <w:ind w:left="708"/>
        <w:jc w:val="both"/>
        <w:rPr>
          <w:rFonts w:ascii="Palatino Linotype" w:hAnsi="Palatino Linotype"/>
          <w:b/>
          <w:i/>
          <w:sz w:val="22"/>
          <w:szCs w:val="22"/>
        </w:rPr>
      </w:pPr>
      <w:r w:rsidRPr="00AB4F42">
        <w:rPr>
          <w:rStyle w:val="markedcontent"/>
          <w:rFonts w:ascii="Palatino Linotype" w:hAnsi="Palatino Linotype" w:cs="Arial"/>
          <w:i/>
          <w:sz w:val="22"/>
          <w:szCs w:val="22"/>
        </w:rPr>
        <w:t>Descripción del Juicio “(...) ACEPTA la demanda y se declara la Prescripción Adquisitiva Extraordinaria de Dominio a favor de LUZ MARINA RAMÓN SUQUISUPA Y NEVIO HOMERO GUANUCHE SANMARTÍN, del lote de terreno y casa No. 94 del Conjunto Habitacional Paseos de Calderón II Etapa parroquia Calderón en una superficie de 80,70 m2 con una construcción total de 160,65 m2 linderado al norte en 6,00 m con cerramiento hogar de Ancianos Betania; al Sur en 6,00m con la calle 2; al Este en 13,45m con casa 95 propiedad de Eugenio Carchi; Oeste en 13,45m con casa  3 de propiedad de Luis Benavides situado en la parroquia Calderón, sector Llano Grande según consta en informe pericial(...)”.</w:t>
      </w:r>
    </w:p>
    <w:p w:rsidR="00563683" w:rsidRPr="00AB4F42" w:rsidRDefault="00563683" w:rsidP="00563683">
      <w:pPr>
        <w:tabs>
          <w:tab w:val="left" w:pos="1080"/>
        </w:tabs>
        <w:ind w:left="708"/>
        <w:jc w:val="both"/>
        <w:rPr>
          <w:rFonts w:ascii="Palatino Linotype" w:hAnsi="Palatino Linotype"/>
          <w:b/>
          <w:i/>
          <w:sz w:val="22"/>
          <w:szCs w:val="22"/>
        </w:rPr>
      </w:pPr>
    </w:p>
    <w:p w:rsidR="00563683" w:rsidRPr="00AB4F42" w:rsidRDefault="00563683" w:rsidP="00563683">
      <w:pPr>
        <w:tabs>
          <w:tab w:val="left" w:pos="1080"/>
        </w:tabs>
        <w:ind w:left="708"/>
        <w:jc w:val="both"/>
        <w:rPr>
          <w:rStyle w:val="markedcontent"/>
          <w:rFonts w:ascii="Palatino Linotype" w:hAnsi="Palatino Linotype" w:cs="Arial"/>
          <w:b/>
          <w:i/>
          <w:sz w:val="22"/>
          <w:szCs w:val="22"/>
        </w:rPr>
      </w:pPr>
      <w:r w:rsidRPr="00AB4F42">
        <w:rPr>
          <w:rStyle w:val="markedcontent"/>
          <w:rFonts w:ascii="Palatino Linotype" w:hAnsi="Palatino Linotype" w:cs="Arial"/>
          <w:b/>
          <w:i/>
          <w:sz w:val="22"/>
          <w:szCs w:val="22"/>
        </w:rPr>
        <w:t>“</w:t>
      </w:r>
      <w:r w:rsidRPr="00AB4F42">
        <w:rPr>
          <w:rStyle w:val="markedcontent"/>
          <w:rFonts w:ascii="Palatino Linotype" w:hAnsi="Palatino Linotype" w:cs="Arial"/>
          <w:b/>
          <w:i/>
          <w:sz w:val="22"/>
          <w:szCs w:val="22"/>
        </w:rPr>
        <w:sym w:font="Symbol" w:char="F0B7"/>
      </w:r>
      <w:r w:rsidRPr="00AB4F42">
        <w:rPr>
          <w:rStyle w:val="markedcontent"/>
          <w:rFonts w:ascii="Palatino Linotype" w:hAnsi="Palatino Linotype" w:cs="Arial"/>
          <w:b/>
          <w:i/>
          <w:sz w:val="22"/>
          <w:szCs w:val="22"/>
        </w:rPr>
        <w:t xml:space="preserve"> Análisis, contribución del 15% del área útil adjudicada adquirida mediante sentencia.</w:t>
      </w:r>
    </w:p>
    <w:p w:rsidR="00563683" w:rsidRPr="00AB4F42" w:rsidRDefault="00563683" w:rsidP="00563683">
      <w:pPr>
        <w:tabs>
          <w:tab w:val="left" w:pos="1080"/>
        </w:tabs>
        <w:ind w:left="708"/>
        <w:jc w:val="both"/>
        <w:rPr>
          <w:rStyle w:val="markedcontent"/>
          <w:rFonts w:ascii="Palatino Linotype" w:hAnsi="Palatino Linotype" w:cs="Arial"/>
          <w:i/>
          <w:sz w:val="22"/>
          <w:szCs w:val="22"/>
        </w:rPr>
      </w:pPr>
      <w:r w:rsidRPr="00AB4F42">
        <w:rPr>
          <w:rFonts w:ascii="Palatino Linotype" w:hAnsi="Palatino Linotype"/>
          <w:i/>
          <w:sz w:val="22"/>
          <w:szCs w:val="22"/>
        </w:rPr>
        <w:br/>
      </w:r>
      <w:r w:rsidRPr="00AB4F42">
        <w:rPr>
          <w:rStyle w:val="markedcontent"/>
          <w:rFonts w:ascii="Palatino Linotype" w:hAnsi="Palatino Linotype" w:cs="Arial"/>
          <w:i/>
          <w:sz w:val="22"/>
          <w:szCs w:val="22"/>
        </w:rPr>
        <w:t xml:space="preserve">En el caso que nos ocupa, el 15% del área útil prescrita corresponde a 12.105 m2, lo cual es inferior al lote mínimo vigente (600m2), razón por la que el actor de la demanda deberá compensar en valor monetario de acuerdo al avalúo catastral vigente a la fecha de la emisión del título de crédito correspondiente. </w:t>
      </w:r>
    </w:p>
    <w:p w:rsidR="00563683" w:rsidRPr="00AB4F42" w:rsidRDefault="00563683" w:rsidP="00563683">
      <w:pPr>
        <w:tabs>
          <w:tab w:val="left" w:pos="1080"/>
        </w:tabs>
        <w:ind w:left="708"/>
        <w:jc w:val="both"/>
        <w:rPr>
          <w:rStyle w:val="markedcontent"/>
          <w:rFonts w:ascii="Palatino Linotype" w:hAnsi="Palatino Linotype" w:cs="Arial"/>
          <w:i/>
          <w:sz w:val="22"/>
          <w:szCs w:val="22"/>
        </w:rPr>
      </w:pPr>
    </w:p>
    <w:p w:rsidR="00563683" w:rsidRPr="00AB4F42" w:rsidRDefault="00563683" w:rsidP="00563683">
      <w:pPr>
        <w:tabs>
          <w:tab w:val="left" w:pos="1080"/>
        </w:tabs>
        <w:ind w:left="708"/>
        <w:jc w:val="both"/>
        <w:rPr>
          <w:rStyle w:val="markedcontent"/>
          <w:rFonts w:ascii="Palatino Linotype" w:hAnsi="Palatino Linotype" w:cs="Arial"/>
          <w:i/>
          <w:sz w:val="22"/>
          <w:szCs w:val="22"/>
        </w:rPr>
      </w:pPr>
      <w:r w:rsidRPr="00AB4F42">
        <w:rPr>
          <w:rStyle w:val="markedcontent"/>
          <w:rFonts w:ascii="Palatino Linotype" w:hAnsi="Palatino Linotype" w:cs="Arial"/>
          <w:i/>
          <w:sz w:val="22"/>
          <w:szCs w:val="22"/>
        </w:rPr>
        <w:t xml:space="preserve">Conforme lo señalado en el Informe Técnico GADDMQ-AZCA-CATASTRO-2022-0008- de fecha 16 de febrero de 2022 emitida por la Unidad Desconcentrada de Catastros, </w:t>
      </w:r>
      <w:r w:rsidRPr="00AB4F42">
        <w:rPr>
          <w:rStyle w:val="markedcontent"/>
          <w:i/>
          <w:sz w:val="22"/>
          <w:szCs w:val="22"/>
        </w:rPr>
        <w:t>̈</w:t>
      </w:r>
      <w:r w:rsidRPr="00AB4F42">
        <w:rPr>
          <w:rStyle w:val="markedcontent"/>
          <w:rFonts w:ascii="Palatino Linotype" w:hAnsi="Palatino Linotype" w:cs="Arial"/>
          <w:i/>
          <w:sz w:val="22"/>
          <w:szCs w:val="22"/>
        </w:rPr>
        <w:t xml:space="preserve"> (...) revisado el sistema de registro catastral SIREC-Q a la presente fecha, el inmueble identificado con Predio 1296691, Clave Catastral 1271302005, ubicado en la parroquia Calderón y catastrado a nombre de ASOCIACION SOLIDARIDAD Y ACCION A.S.A. RUC: 1791276655001, registra los siguientes datos técnicos:</w:t>
      </w:r>
    </w:p>
    <w:p w:rsidR="00563683" w:rsidRPr="00AB4F42" w:rsidRDefault="00563683" w:rsidP="00563683">
      <w:pPr>
        <w:tabs>
          <w:tab w:val="left" w:pos="1080"/>
        </w:tabs>
        <w:ind w:left="708"/>
        <w:jc w:val="both"/>
        <w:rPr>
          <w:rStyle w:val="markedcontent"/>
          <w:rFonts w:ascii="Palatino Linotype" w:hAnsi="Palatino Linotype" w:cs="Arial"/>
          <w:sz w:val="22"/>
          <w:szCs w:val="22"/>
        </w:rPr>
      </w:pPr>
    </w:p>
    <w:p w:rsidR="00563683" w:rsidRPr="00AB4F42" w:rsidRDefault="00563683" w:rsidP="00563683">
      <w:pPr>
        <w:tabs>
          <w:tab w:val="left" w:pos="1080"/>
        </w:tabs>
        <w:ind w:left="708"/>
        <w:jc w:val="both"/>
        <w:rPr>
          <w:rFonts w:ascii="Palatino Linotype" w:hAnsi="Palatino Linotype"/>
          <w:b/>
          <w:i/>
          <w:sz w:val="22"/>
          <w:szCs w:val="22"/>
        </w:rPr>
      </w:pPr>
      <w:r w:rsidRPr="00AB4F42">
        <w:rPr>
          <w:rFonts w:ascii="Palatino Linotype" w:hAnsi="Palatino Linotype"/>
          <w:b/>
          <w:i/>
          <w:noProof/>
          <w:sz w:val="22"/>
          <w:szCs w:val="22"/>
          <w:lang w:eastAsia="es-EC"/>
        </w:rPr>
        <w:drawing>
          <wp:inline distT="0" distB="0" distL="0" distR="0" wp14:anchorId="64B9E272" wp14:editId="4A310BA7">
            <wp:extent cx="3696216" cy="14670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96216" cy="1467055"/>
                    </a:xfrm>
                    <a:prstGeom prst="rect">
                      <a:avLst/>
                    </a:prstGeom>
                  </pic:spPr>
                </pic:pic>
              </a:graphicData>
            </a:graphic>
          </wp:inline>
        </w:drawing>
      </w:r>
    </w:p>
    <w:p w:rsidR="00563683" w:rsidRPr="00AB4F42" w:rsidRDefault="00563683" w:rsidP="00563683">
      <w:pPr>
        <w:tabs>
          <w:tab w:val="left" w:pos="1080"/>
        </w:tabs>
        <w:ind w:left="708"/>
        <w:jc w:val="both"/>
        <w:rPr>
          <w:rFonts w:ascii="Palatino Linotype" w:hAnsi="Palatino Linotype"/>
          <w:b/>
          <w:i/>
          <w:sz w:val="22"/>
          <w:szCs w:val="22"/>
        </w:rPr>
      </w:pPr>
    </w:p>
    <w:p w:rsidR="00563683" w:rsidRPr="00AB4F42" w:rsidRDefault="00563683" w:rsidP="00563683">
      <w:pPr>
        <w:tabs>
          <w:tab w:val="left" w:pos="1080"/>
        </w:tabs>
        <w:ind w:left="708"/>
        <w:jc w:val="both"/>
        <w:rPr>
          <w:rStyle w:val="markedcontent"/>
          <w:rFonts w:ascii="Palatino Linotype" w:hAnsi="Palatino Linotype" w:cs="Arial"/>
          <w:i/>
          <w:sz w:val="22"/>
          <w:szCs w:val="22"/>
        </w:rPr>
      </w:pPr>
      <w:r w:rsidRPr="00AB4F42">
        <w:rPr>
          <w:rStyle w:val="markedcontent"/>
          <w:rFonts w:ascii="Palatino Linotype" w:hAnsi="Palatino Linotype" w:cs="Arial"/>
          <w:i/>
          <w:sz w:val="22"/>
          <w:szCs w:val="22"/>
        </w:rPr>
        <w:t xml:space="preserve">Por tanto, el valor por compensación del 15 por ciento del área útil adjudicada mediante sentencia a la fecha de hoy es la que se detalla a continuación pudiendo esta cambiar si cambia el avaluó catastral. </w:t>
      </w:r>
    </w:p>
    <w:p w:rsidR="00563683" w:rsidRPr="00AB4F42" w:rsidRDefault="00563683" w:rsidP="00563683">
      <w:pPr>
        <w:tabs>
          <w:tab w:val="left" w:pos="1080"/>
        </w:tabs>
        <w:ind w:left="708"/>
        <w:jc w:val="both"/>
        <w:rPr>
          <w:rStyle w:val="markedcontent"/>
          <w:rFonts w:ascii="Palatino Linotype" w:hAnsi="Palatino Linotype" w:cs="Arial"/>
          <w:i/>
          <w:sz w:val="22"/>
          <w:szCs w:val="22"/>
        </w:rPr>
      </w:pPr>
    </w:p>
    <w:p w:rsidR="00563683" w:rsidRPr="00AB4F42" w:rsidRDefault="00563683" w:rsidP="00563683">
      <w:pPr>
        <w:tabs>
          <w:tab w:val="left" w:pos="1080"/>
        </w:tabs>
        <w:ind w:left="708"/>
        <w:jc w:val="both"/>
        <w:rPr>
          <w:rStyle w:val="markedcontent"/>
          <w:rFonts w:ascii="Palatino Linotype" w:hAnsi="Palatino Linotype" w:cs="Arial"/>
          <w:i/>
          <w:sz w:val="22"/>
          <w:szCs w:val="22"/>
        </w:rPr>
      </w:pPr>
      <w:r w:rsidRPr="00AB4F42">
        <w:rPr>
          <w:rStyle w:val="markedcontent"/>
          <w:rFonts w:ascii="Palatino Linotype" w:hAnsi="Palatino Linotype" w:cs="Arial"/>
          <w:i/>
          <w:sz w:val="22"/>
          <w:szCs w:val="22"/>
        </w:rPr>
        <w:t>1.- El cálculo se realiza en función del Avalúo del Terreno y no al AIVA</w:t>
      </w:r>
    </w:p>
    <w:p w:rsidR="00563683" w:rsidRPr="00AB4F42" w:rsidRDefault="00563683" w:rsidP="00563683">
      <w:pPr>
        <w:tabs>
          <w:tab w:val="left" w:pos="1080"/>
        </w:tabs>
        <w:ind w:left="708"/>
        <w:jc w:val="both"/>
        <w:rPr>
          <w:rStyle w:val="markedcontent"/>
          <w:rFonts w:ascii="Palatino Linotype" w:hAnsi="Palatino Linotype" w:cs="Arial"/>
          <w:i/>
          <w:sz w:val="22"/>
          <w:szCs w:val="22"/>
        </w:rPr>
      </w:pPr>
      <w:r w:rsidRPr="00AB4F42">
        <w:rPr>
          <w:rFonts w:ascii="Palatino Linotype" w:hAnsi="Palatino Linotype"/>
          <w:i/>
          <w:sz w:val="22"/>
          <w:szCs w:val="22"/>
        </w:rPr>
        <w:lastRenderedPageBreak/>
        <w:br/>
      </w:r>
      <w:r w:rsidRPr="00AB4F42">
        <w:rPr>
          <w:rStyle w:val="markedcontent"/>
          <w:rFonts w:ascii="Palatino Linotype" w:hAnsi="Palatino Linotype" w:cs="Arial"/>
          <w:i/>
          <w:sz w:val="22"/>
          <w:szCs w:val="22"/>
        </w:rPr>
        <w:t xml:space="preserve">Se utiliza el Avalúo del terreno ya que el sistema SLUM en el cual se ingresa las Subdivisiones por prescripción utiliza los valores de: el Avalúo del Terreno, Área del Terreno y Área Prescrita </w:t>
      </w:r>
    </w:p>
    <w:p w:rsidR="00563683" w:rsidRPr="00AB4F42" w:rsidRDefault="00563683" w:rsidP="00563683">
      <w:pPr>
        <w:tabs>
          <w:tab w:val="left" w:pos="1080"/>
        </w:tabs>
        <w:ind w:left="708"/>
        <w:jc w:val="both"/>
        <w:rPr>
          <w:rStyle w:val="markedcontent"/>
          <w:rFonts w:ascii="Palatino Linotype" w:hAnsi="Palatino Linotype" w:cs="Arial"/>
          <w:i/>
          <w:sz w:val="22"/>
          <w:szCs w:val="22"/>
        </w:rPr>
      </w:pPr>
    </w:p>
    <w:p w:rsidR="00563683" w:rsidRPr="00AB4F42" w:rsidRDefault="00563683" w:rsidP="00563683">
      <w:pPr>
        <w:tabs>
          <w:tab w:val="left" w:pos="1080"/>
        </w:tabs>
        <w:ind w:left="708"/>
        <w:jc w:val="both"/>
        <w:rPr>
          <w:rStyle w:val="markedcontent"/>
          <w:rFonts w:ascii="Palatino Linotype" w:hAnsi="Palatino Linotype" w:cs="Arial"/>
          <w:i/>
          <w:sz w:val="22"/>
          <w:szCs w:val="22"/>
        </w:rPr>
      </w:pPr>
      <w:r w:rsidRPr="00AB4F42">
        <w:rPr>
          <w:rStyle w:val="markedcontent"/>
          <w:rFonts w:ascii="Palatino Linotype" w:hAnsi="Palatino Linotype" w:cs="Arial"/>
          <w:i/>
          <w:sz w:val="22"/>
          <w:szCs w:val="22"/>
        </w:rPr>
        <w:t>2.- La fórmula con la cual se calcula la compensación es la siguiente.</w:t>
      </w:r>
    </w:p>
    <w:p w:rsidR="00563683" w:rsidRPr="00AB4F42" w:rsidRDefault="00563683" w:rsidP="00563683">
      <w:pPr>
        <w:tabs>
          <w:tab w:val="left" w:pos="1080"/>
        </w:tabs>
        <w:ind w:left="708"/>
        <w:jc w:val="both"/>
        <w:rPr>
          <w:rStyle w:val="markedcontent"/>
          <w:rFonts w:ascii="Palatino Linotype" w:hAnsi="Palatino Linotype" w:cs="Arial"/>
          <w:i/>
          <w:sz w:val="22"/>
          <w:szCs w:val="22"/>
        </w:rPr>
      </w:pPr>
      <w:r w:rsidRPr="00AB4F42">
        <w:rPr>
          <w:rFonts w:ascii="Palatino Linotype" w:hAnsi="Palatino Linotype"/>
          <w:i/>
          <w:sz w:val="22"/>
          <w:szCs w:val="22"/>
        </w:rPr>
        <w:br/>
      </w:r>
      <w:r w:rsidRPr="00AB4F42">
        <w:rPr>
          <w:rStyle w:val="markedcontent"/>
          <w:rFonts w:ascii="Palatino Linotype" w:hAnsi="Palatino Linotype" w:cs="Arial"/>
          <w:i/>
          <w:sz w:val="22"/>
          <w:szCs w:val="22"/>
        </w:rPr>
        <w:t>(Avalúo del Terreno / Área del Terreno) * (Área de prescripción) * (15% Contribución)</w:t>
      </w:r>
      <w:r w:rsidRPr="00AB4F42">
        <w:rPr>
          <w:rFonts w:ascii="Palatino Linotype" w:hAnsi="Palatino Linotype"/>
          <w:i/>
          <w:sz w:val="22"/>
          <w:szCs w:val="22"/>
        </w:rPr>
        <w:br/>
      </w:r>
      <w:r w:rsidRPr="00AB4F42">
        <w:rPr>
          <w:rStyle w:val="markedcontent"/>
          <w:rFonts w:ascii="Palatino Linotype" w:hAnsi="Palatino Linotype" w:cs="Arial"/>
          <w:i/>
          <w:sz w:val="22"/>
          <w:szCs w:val="22"/>
        </w:rPr>
        <w:t xml:space="preserve">Por tanto, el valor por compensación del 15 por ciento del área útil adjudicada mediante sentencia a la fecha de hoy es la que se detalla a continuación pudiendo esta cambiar si cambia el avaluó catastral. </w:t>
      </w:r>
    </w:p>
    <w:p w:rsidR="00563683" w:rsidRPr="00AB4F42" w:rsidRDefault="00563683" w:rsidP="00563683">
      <w:pPr>
        <w:tabs>
          <w:tab w:val="left" w:pos="1080"/>
        </w:tabs>
        <w:ind w:left="708"/>
        <w:jc w:val="both"/>
        <w:rPr>
          <w:rStyle w:val="markedcontent"/>
          <w:rFonts w:ascii="Palatino Linotype" w:hAnsi="Palatino Linotype" w:cs="Arial"/>
          <w:i/>
          <w:sz w:val="22"/>
          <w:szCs w:val="22"/>
        </w:rPr>
      </w:pPr>
    </w:p>
    <w:p w:rsidR="00563683" w:rsidRPr="00AB4F42" w:rsidRDefault="00563683" w:rsidP="00563683">
      <w:pPr>
        <w:tabs>
          <w:tab w:val="left" w:pos="1080"/>
        </w:tabs>
        <w:ind w:left="708"/>
        <w:jc w:val="both"/>
        <w:rPr>
          <w:rStyle w:val="markedcontent"/>
          <w:rFonts w:ascii="Palatino Linotype" w:hAnsi="Palatino Linotype" w:cs="Arial"/>
          <w:i/>
          <w:sz w:val="22"/>
          <w:szCs w:val="22"/>
        </w:rPr>
      </w:pPr>
      <w:r w:rsidRPr="00AB4F42">
        <w:rPr>
          <w:rStyle w:val="markedcontent"/>
          <w:rFonts w:ascii="Palatino Linotype" w:hAnsi="Palatino Linotype" w:cs="Arial"/>
          <w:i/>
          <w:sz w:val="22"/>
          <w:szCs w:val="22"/>
        </w:rPr>
        <w:t>3.- Con la fórmula mencionada, el área prescrita y los valores emitidos por catastros se realizó el cálculo:</w:t>
      </w:r>
    </w:p>
    <w:p w:rsidR="00563683" w:rsidRPr="00AB4F42" w:rsidRDefault="00563683" w:rsidP="00563683">
      <w:pPr>
        <w:tabs>
          <w:tab w:val="left" w:pos="1080"/>
        </w:tabs>
        <w:ind w:left="708"/>
        <w:jc w:val="both"/>
        <w:rPr>
          <w:rStyle w:val="markedcontent"/>
          <w:rFonts w:ascii="Palatino Linotype" w:hAnsi="Palatino Linotype" w:cs="Arial"/>
          <w:i/>
          <w:sz w:val="22"/>
          <w:szCs w:val="22"/>
        </w:rPr>
      </w:pPr>
    </w:p>
    <w:p w:rsidR="00563683" w:rsidRPr="00AB4F42" w:rsidRDefault="00563683" w:rsidP="00563683">
      <w:pPr>
        <w:tabs>
          <w:tab w:val="left" w:pos="1080"/>
        </w:tabs>
        <w:ind w:left="708"/>
        <w:jc w:val="both"/>
        <w:rPr>
          <w:rFonts w:ascii="Palatino Linotype" w:hAnsi="Palatino Linotype"/>
          <w:b/>
          <w:i/>
          <w:sz w:val="22"/>
          <w:szCs w:val="22"/>
        </w:rPr>
      </w:pPr>
      <w:r w:rsidRPr="00AB4F42">
        <w:rPr>
          <w:rStyle w:val="markedcontent"/>
          <w:rFonts w:ascii="Palatino Linotype" w:hAnsi="Palatino Linotype" w:cs="Arial"/>
          <w:i/>
          <w:sz w:val="22"/>
          <w:szCs w:val="22"/>
        </w:rPr>
        <w:t>(746.595,67 usd / 15.065,94 m2 ) * (80,70 m2) * (0,15) = 599.87 usd</w:t>
      </w:r>
    </w:p>
    <w:p w:rsidR="00563683" w:rsidRPr="00AB4F42" w:rsidRDefault="00563683" w:rsidP="00563683">
      <w:pPr>
        <w:tabs>
          <w:tab w:val="left" w:pos="1080"/>
        </w:tabs>
        <w:ind w:left="708"/>
        <w:jc w:val="both"/>
        <w:rPr>
          <w:rFonts w:ascii="Palatino Linotype" w:hAnsi="Palatino Linotype"/>
          <w:b/>
          <w:i/>
          <w:sz w:val="22"/>
          <w:szCs w:val="22"/>
        </w:rPr>
      </w:pPr>
    </w:p>
    <w:p w:rsidR="00563683" w:rsidRPr="00AB4F42" w:rsidRDefault="00563683" w:rsidP="00563683">
      <w:pPr>
        <w:tabs>
          <w:tab w:val="left" w:pos="1080"/>
        </w:tabs>
        <w:ind w:left="708"/>
        <w:jc w:val="both"/>
        <w:rPr>
          <w:rFonts w:ascii="Palatino Linotype" w:hAnsi="Palatino Linotype"/>
          <w:b/>
          <w:i/>
          <w:sz w:val="22"/>
          <w:szCs w:val="22"/>
        </w:rPr>
      </w:pPr>
      <w:r w:rsidRPr="00AB4F42">
        <w:rPr>
          <w:rFonts w:ascii="Palatino Linotype" w:hAnsi="Palatino Linotype"/>
          <w:b/>
          <w:i/>
          <w:noProof/>
          <w:sz w:val="22"/>
          <w:szCs w:val="22"/>
          <w:lang w:eastAsia="es-EC"/>
        </w:rPr>
        <w:drawing>
          <wp:inline distT="0" distB="0" distL="0" distR="0" wp14:anchorId="5698D025" wp14:editId="3F760A69">
            <wp:extent cx="5382376" cy="847843"/>
            <wp:effectExtent l="0" t="0" r="889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82376" cy="847843"/>
                    </a:xfrm>
                    <a:prstGeom prst="rect">
                      <a:avLst/>
                    </a:prstGeom>
                  </pic:spPr>
                </pic:pic>
              </a:graphicData>
            </a:graphic>
          </wp:inline>
        </w:drawing>
      </w:r>
    </w:p>
    <w:p w:rsidR="00563683" w:rsidRPr="00AB4F42" w:rsidRDefault="00563683" w:rsidP="00563683">
      <w:pPr>
        <w:tabs>
          <w:tab w:val="left" w:pos="1080"/>
        </w:tabs>
        <w:ind w:left="708"/>
        <w:jc w:val="both"/>
        <w:rPr>
          <w:rFonts w:ascii="Palatino Linotype" w:hAnsi="Palatino Linotype"/>
          <w:b/>
          <w:i/>
          <w:sz w:val="22"/>
          <w:szCs w:val="22"/>
        </w:rPr>
      </w:pPr>
    </w:p>
    <w:p w:rsidR="00563683" w:rsidRPr="00AB4F42" w:rsidRDefault="00563683" w:rsidP="00563683">
      <w:pPr>
        <w:tabs>
          <w:tab w:val="left" w:pos="1080"/>
        </w:tabs>
        <w:ind w:left="708"/>
        <w:jc w:val="both"/>
        <w:rPr>
          <w:rFonts w:ascii="Palatino Linotype" w:hAnsi="Palatino Linotype"/>
          <w:b/>
          <w:i/>
          <w:sz w:val="22"/>
          <w:szCs w:val="22"/>
        </w:rPr>
      </w:pPr>
      <w:r w:rsidRPr="00AB4F42">
        <w:rPr>
          <w:rFonts w:ascii="Palatino Linotype" w:hAnsi="Palatino Linotype"/>
          <w:b/>
          <w:i/>
          <w:sz w:val="22"/>
          <w:szCs w:val="22"/>
        </w:rPr>
        <w:t>“5. CONCLUSIONES</w:t>
      </w:r>
    </w:p>
    <w:p w:rsidR="00563683" w:rsidRPr="00AB4F42" w:rsidRDefault="00563683" w:rsidP="00563683">
      <w:pPr>
        <w:tabs>
          <w:tab w:val="left" w:pos="1080"/>
        </w:tabs>
        <w:ind w:left="708"/>
        <w:jc w:val="both"/>
        <w:rPr>
          <w:rFonts w:ascii="Palatino Linotype" w:hAnsi="Palatino Linotype"/>
          <w:b/>
          <w:i/>
          <w:sz w:val="22"/>
          <w:szCs w:val="22"/>
        </w:rPr>
      </w:pPr>
    </w:p>
    <w:p w:rsidR="00563683" w:rsidRPr="00AB4F42" w:rsidRDefault="00563683" w:rsidP="00563683">
      <w:pPr>
        <w:tabs>
          <w:tab w:val="left" w:pos="1080"/>
        </w:tabs>
        <w:ind w:left="708"/>
        <w:jc w:val="both"/>
        <w:rPr>
          <w:rFonts w:ascii="Palatino Linotype" w:hAnsi="Palatino Linotype"/>
          <w:i/>
          <w:sz w:val="22"/>
          <w:szCs w:val="22"/>
        </w:rPr>
      </w:pPr>
      <w:r w:rsidRPr="00AB4F42">
        <w:rPr>
          <w:rFonts w:ascii="Palatino Linotype" w:hAnsi="Palatino Linotype"/>
          <w:i/>
          <w:sz w:val="22"/>
          <w:szCs w:val="22"/>
        </w:rPr>
        <w:sym w:font="Symbol" w:char="F0B7"/>
      </w:r>
      <w:r w:rsidRPr="00AB4F42">
        <w:rPr>
          <w:rFonts w:ascii="Palatino Linotype" w:hAnsi="Palatino Linotype"/>
          <w:i/>
          <w:sz w:val="22"/>
          <w:szCs w:val="22"/>
        </w:rPr>
        <w:t xml:space="preserve"> Del análisis técnico se desprende que, la prescripción adquisitiva de dominio de una parte del inmueble del predio No. 1296961, No Cumple con los datos establecidos en la zonificación vigente, tales como, “lote mínimo” y “frente mínimo”, el área prescrita corresponde a 80.70 m2 menor a 600m2 zonificación vigente; además no tiene frente hacia una vía aprobada, razón por la que se emite Informe Técnico desfavorable.”</w:t>
      </w:r>
      <w:r w:rsidR="004518E5" w:rsidRPr="00AB4F42">
        <w:rPr>
          <w:rFonts w:ascii="Palatino Linotype" w:hAnsi="Palatino Linotype"/>
          <w:i/>
          <w:sz w:val="22"/>
          <w:szCs w:val="22"/>
        </w:rPr>
        <w:t>;</w:t>
      </w:r>
    </w:p>
    <w:p w:rsidR="00563683" w:rsidRPr="00AB4F42" w:rsidRDefault="00563683" w:rsidP="00563683">
      <w:pPr>
        <w:tabs>
          <w:tab w:val="left" w:pos="1080"/>
        </w:tabs>
        <w:jc w:val="both"/>
        <w:rPr>
          <w:rFonts w:ascii="Palatino Linotype" w:hAnsi="Palatino Linotype"/>
          <w:i/>
          <w:sz w:val="22"/>
          <w:szCs w:val="22"/>
        </w:rPr>
      </w:pPr>
    </w:p>
    <w:p w:rsidR="00466396" w:rsidRPr="00AB4F42" w:rsidRDefault="0016751B" w:rsidP="00466396">
      <w:pPr>
        <w:pStyle w:val="Default"/>
        <w:jc w:val="both"/>
        <w:rPr>
          <w:sz w:val="22"/>
          <w:szCs w:val="22"/>
        </w:rPr>
      </w:pPr>
      <w:r w:rsidRPr="00AB4F42">
        <w:rPr>
          <w:b/>
          <w:sz w:val="22"/>
          <w:szCs w:val="22"/>
        </w:rPr>
        <w:t xml:space="preserve"> </w:t>
      </w:r>
      <w:r w:rsidR="00D72874" w:rsidRPr="00AB4F42">
        <w:rPr>
          <w:b/>
          <w:sz w:val="22"/>
          <w:szCs w:val="22"/>
        </w:rPr>
        <w:t xml:space="preserve">Que, </w:t>
      </w:r>
      <w:r w:rsidR="00466396" w:rsidRPr="00AB4F42">
        <w:rPr>
          <w:sz w:val="22"/>
          <w:szCs w:val="22"/>
        </w:rPr>
        <w:t>m</w:t>
      </w:r>
      <w:r w:rsidR="00466396" w:rsidRPr="00AB4F42">
        <w:rPr>
          <w:sz w:val="22"/>
          <w:szCs w:val="22"/>
        </w:rPr>
        <w:t xml:space="preserve">ediante </w:t>
      </w:r>
      <w:r w:rsidR="00466396" w:rsidRPr="00AB4F42">
        <w:rPr>
          <w:sz w:val="22"/>
          <w:szCs w:val="22"/>
          <w:lang w:val="es-EC"/>
        </w:rPr>
        <w:t xml:space="preserve">memorando Nro. </w:t>
      </w:r>
      <w:r w:rsidR="00466396" w:rsidRPr="00AB4F42">
        <w:rPr>
          <w:sz w:val="22"/>
          <w:szCs w:val="22"/>
        </w:rPr>
        <w:t>GADDMQ-AZCA-DAJ-2022-0185-M,</w:t>
      </w:r>
      <w:r w:rsidR="00466396" w:rsidRPr="00AB4F42">
        <w:rPr>
          <w:sz w:val="22"/>
          <w:szCs w:val="22"/>
          <w:lang w:val="es-EC"/>
        </w:rPr>
        <w:t xml:space="preserve"> </w:t>
      </w:r>
      <w:r w:rsidR="00466396" w:rsidRPr="00AB4F42">
        <w:rPr>
          <w:sz w:val="22"/>
          <w:szCs w:val="22"/>
        </w:rPr>
        <w:t xml:space="preserve">de 25 de abril de 2022, la </w:t>
      </w:r>
      <w:r w:rsidR="00466396" w:rsidRPr="00AB4F42">
        <w:rPr>
          <w:sz w:val="22"/>
          <w:szCs w:val="22"/>
          <w:lang w:val="es-EC"/>
        </w:rPr>
        <w:t>Abg. Lorena Elizabeth Donoso Rivera</w:t>
      </w:r>
      <w:r w:rsidR="00466396" w:rsidRPr="00AB4F42">
        <w:rPr>
          <w:sz w:val="22"/>
          <w:szCs w:val="22"/>
        </w:rPr>
        <w:t>, Subprocuradora Zonal de la Administración Calderón, señala:</w:t>
      </w:r>
    </w:p>
    <w:p w:rsidR="00466396" w:rsidRPr="00AB4F42" w:rsidRDefault="00466396" w:rsidP="00466396">
      <w:pPr>
        <w:pStyle w:val="Default"/>
        <w:jc w:val="both"/>
        <w:rPr>
          <w:i/>
          <w:sz w:val="22"/>
          <w:szCs w:val="22"/>
        </w:rPr>
      </w:pPr>
    </w:p>
    <w:p w:rsidR="00466396" w:rsidRPr="00AB4F42" w:rsidRDefault="00466396" w:rsidP="00466396">
      <w:pPr>
        <w:tabs>
          <w:tab w:val="left" w:pos="284"/>
        </w:tabs>
        <w:ind w:left="708"/>
        <w:jc w:val="both"/>
        <w:rPr>
          <w:rFonts w:ascii="Palatino Linotype" w:hAnsi="Palatino Linotype"/>
          <w:i/>
          <w:sz w:val="22"/>
          <w:szCs w:val="22"/>
        </w:rPr>
      </w:pPr>
      <w:r w:rsidRPr="00AB4F42">
        <w:rPr>
          <w:rFonts w:ascii="Palatino Linotype" w:eastAsiaTheme="minorHAnsi" w:hAnsi="Palatino Linotype" w:cs="Palatino Linotype"/>
          <w:i/>
          <w:color w:val="000000"/>
          <w:sz w:val="22"/>
          <w:szCs w:val="22"/>
          <w:lang w:eastAsia="en-US"/>
        </w:rPr>
        <w:t xml:space="preserve">“(…) </w:t>
      </w:r>
      <w:r w:rsidRPr="00AB4F42">
        <w:rPr>
          <w:rFonts w:ascii="Palatino Linotype" w:hAnsi="Palatino Linotype"/>
          <w:i/>
          <w:sz w:val="22"/>
          <w:szCs w:val="22"/>
        </w:rPr>
        <w:t xml:space="preserve">CRITERIO: </w:t>
      </w:r>
    </w:p>
    <w:p w:rsidR="00466396" w:rsidRPr="00AB4F42" w:rsidRDefault="00466396" w:rsidP="00466396">
      <w:pPr>
        <w:tabs>
          <w:tab w:val="left" w:pos="284"/>
        </w:tabs>
        <w:ind w:left="708"/>
        <w:jc w:val="both"/>
        <w:rPr>
          <w:rFonts w:ascii="Palatino Linotype" w:hAnsi="Palatino Linotype"/>
          <w:i/>
          <w:sz w:val="22"/>
          <w:szCs w:val="22"/>
        </w:rPr>
      </w:pPr>
    </w:p>
    <w:p w:rsidR="00466396" w:rsidRPr="00AB4F42" w:rsidRDefault="00466396" w:rsidP="00466396">
      <w:pPr>
        <w:tabs>
          <w:tab w:val="left" w:pos="284"/>
        </w:tabs>
        <w:ind w:left="708"/>
        <w:jc w:val="both"/>
        <w:rPr>
          <w:rFonts w:ascii="Palatino Linotype" w:hAnsi="Palatino Linotype"/>
          <w:i/>
          <w:sz w:val="22"/>
          <w:szCs w:val="22"/>
        </w:rPr>
      </w:pPr>
      <w:r w:rsidRPr="00AB4F42">
        <w:rPr>
          <w:rFonts w:ascii="Palatino Linotype" w:hAnsi="Palatino Linotype"/>
          <w:i/>
          <w:sz w:val="22"/>
          <w:szCs w:val="22"/>
        </w:rPr>
        <w:t xml:space="preserve">Por lo expuesto, esta Dirección Jurídica acogiendo el informe técnico AZCA-DGT-2022-22 de 21 de abril de 2021, del Jefe de Gestión Urbana y aprobado por la Directora de Gestión Territorial de la Administración Zonal Calderón con memorando Nro. GADDMQ-AZCA-DGT-2022-0680-M de 23 de abril de 2022, en el que indica que la prescripción adquisitiva </w:t>
      </w:r>
      <w:r w:rsidRPr="00AB4F42">
        <w:rPr>
          <w:rFonts w:ascii="Palatino Linotype" w:hAnsi="Palatino Linotype"/>
          <w:i/>
          <w:sz w:val="22"/>
          <w:szCs w:val="22"/>
        </w:rPr>
        <w:lastRenderedPageBreak/>
        <w:t xml:space="preserve">de dominio de una parte del inmueble del predio No. 1296961, No Cumple con los datos establecidos en la zonificación vigente, tales como, “lote mínimo” y “frente mínimo”, el área prescrita corresponde a 80.70 m2 menor a 600m2 zonificación vigente, en este sentido, se deberá proceder conforme lo establece en el COOTAD y la Ordenanza 001. </w:t>
      </w:r>
    </w:p>
    <w:p w:rsidR="00466396" w:rsidRPr="00AB4F42" w:rsidRDefault="00466396" w:rsidP="00466396">
      <w:pPr>
        <w:tabs>
          <w:tab w:val="left" w:pos="284"/>
        </w:tabs>
        <w:ind w:left="708"/>
        <w:jc w:val="both"/>
        <w:rPr>
          <w:rFonts w:ascii="Palatino Linotype" w:hAnsi="Palatino Linotype"/>
          <w:i/>
          <w:sz w:val="22"/>
          <w:szCs w:val="22"/>
        </w:rPr>
      </w:pPr>
    </w:p>
    <w:p w:rsidR="00466396" w:rsidRPr="00AB4F42" w:rsidRDefault="00466396" w:rsidP="00466396">
      <w:pPr>
        <w:tabs>
          <w:tab w:val="left" w:pos="284"/>
        </w:tabs>
        <w:ind w:left="708"/>
        <w:jc w:val="both"/>
        <w:rPr>
          <w:rFonts w:ascii="Palatino Linotype" w:hAnsi="Palatino Linotype"/>
          <w:i/>
          <w:sz w:val="22"/>
          <w:szCs w:val="22"/>
        </w:rPr>
      </w:pPr>
      <w:r w:rsidRPr="00AB4F42">
        <w:rPr>
          <w:rFonts w:ascii="Palatino Linotype" w:hAnsi="Palatino Linotype"/>
          <w:i/>
          <w:sz w:val="22"/>
          <w:szCs w:val="22"/>
        </w:rPr>
        <w:t>Así mismo, en lo referente al área verde, se ceñirá a lo establecido en el artículo 2171 de la Ordenanza 001.”</w:t>
      </w:r>
    </w:p>
    <w:p w:rsidR="005168D0" w:rsidRPr="00AB4F42" w:rsidRDefault="005168D0" w:rsidP="00822F01">
      <w:pPr>
        <w:pStyle w:val="Default"/>
        <w:jc w:val="both"/>
        <w:rPr>
          <w:b/>
          <w:i/>
          <w:sz w:val="22"/>
          <w:szCs w:val="22"/>
        </w:rPr>
      </w:pPr>
    </w:p>
    <w:p w:rsidR="000113AC" w:rsidRPr="00AB4F42" w:rsidRDefault="000113AC" w:rsidP="000113AC">
      <w:pPr>
        <w:pStyle w:val="Default"/>
        <w:ind w:left="708" w:hanging="708"/>
        <w:jc w:val="both"/>
        <w:rPr>
          <w:sz w:val="22"/>
          <w:szCs w:val="22"/>
        </w:rPr>
      </w:pPr>
      <w:r w:rsidRPr="00AB4F42">
        <w:rPr>
          <w:b/>
          <w:sz w:val="22"/>
          <w:szCs w:val="22"/>
        </w:rPr>
        <w:t xml:space="preserve">Que, </w:t>
      </w:r>
      <w:r w:rsidRPr="00AB4F42">
        <w:rPr>
          <w:sz w:val="22"/>
          <w:szCs w:val="22"/>
        </w:rPr>
        <w:tab/>
        <w:t>la Comisión de Uso de Su</w:t>
      </w:r>
      <w:r w:rsidR="00C31F94" w:rsidRPr="00AB4F42">
        <w:rPr>
          <w:sz w:val="22"/>
          <w:szCs w:val="22"/>
        </w:rPr>
        <w:t xml:space="preserve">elo en sesión ordinaria Nro. </w:t>
      </w:r>
      <w:r w:rsidR="004372D3" w:rsidRPr="00AB4F42">
        <w:rPr>
          <w:sz w:val="22"/>
          <w:szCs w:val="22"/>
        </w:rPr>
        <w:t>149</w:t>
      </w:r>
      <w:r w:rsidRPr="00AB4F42">
        <w:rPr>
          <w:sz w:val="22"/>
          <w:szCs w:val="22"/>
        </w:rPr>
        <w:t xml:space="preserve">, de </w:t>
      </w:r>
      <w:r w:rsidR="004372D3" w:rsidRPr="00AB4F42">
        <w:rPr>
          <w:sz w:val="22"/>
          <w:szCs w:val="22"/>
        </w:rPr>
        <w:t xml:space="preserve">06 </w:t>
      </w:r>
      <w:r w:rsidRPr="00AB4F42">
        <w:rPr>
          <w:sz w:val="22"/>
          <w:szCs w:val="22"/>
        </w:rPr>
        <w:t xml:space="preserve">de </w:t>
      </w:r>
      <w:r w:rsidR="004372D3" w:rsidRPr="00AB4F42">
        <w:rPr>
          <w:sz w:val="22"/>
          <w:szCs w:val="22"/>
        </w:rPr>
        <w:t xml:space="preserve">junio </w:t>
      </w:r>
      <w:r w:rsidR="00061B14" w:rsidRPr="00AB4F42">
        <w:rPr>
          <w:sz w:val="22"/>
          <w:szCs w:val="22"/>
        </w:rPr>
        <w:t>de 2022</w:t>
      </w:r>
      <w:r w:rsidRPr="00AB4F42">
        <w:rPr>
          <w:sz w:val="22"/>
          <w:szCs w:val="22"/>
        </w:rPr>
        <w:t>, analizó los informes técnicos y legale</w:t>
      </w:r>
      <w:r w:rsidR="009D1665" w:rsidRPr="00AB4F42">
        <w:rPr>
          <w:sz w:val="22"/>
          <w:szCs w:val="22"/>
        </w:rPr>
        <w:t>s, que reposan en el expediente</w:t>
      </w:r>
      <w:r w:rsidRPr="00AB4F42">
        <w:rPr>
          <w:sz w:val="22"/>
          <w:szCs w:val="22"/>
        </w:rPr>
        <w:t>, y emitió dictamen favorable para que el Concejo Metropolitano conozca la sentencia de prescripción extraordinaria adquisitiva de dominio y como efecto de dicha sentencia, y para su efectiva ejecución, autorice la subdivisión del bien en mención, cambiando las condiciones de ese inmueble en particular y generando una excepc</w:t>
      </w:r>
      <w:r w:rsidR="003D00A7" w:rsidRPr="00AB4F42">
        <w:rPr>
          <w:sz w:val="22"/>
          <w:szCs w:val="22"/>
        </w:rPr>
        <w:t>i</w:t>
      </w:r>
      <w:r w:rsidR="00E0537E" w:rsidRPr="00AB4F42">
        <w:rPr>
          <w:sz w:val="22"/>
          <w:szCs w:val="22"/>
        </w:rPr>
        <w:t xml:space="preserve">ón a las condiciones generales. </w:t>
      </w:r>
      <w:r w:rsidRPr="00AB4F42">
        <w:rPr>
          <w:sz w:val="22"/>
          <w:szCs w:val="22"/>
        </w:rPr>
        <w:t xml:space="preserve"> </w:t>
      </w:r>
    </w:p>
    <w:p w:rsidR="000113AC" w:rsidRPr="00AB4F42"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p>
    <w:p w:rsidR="000113AC" w:rsidRPr="00AB4F42"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r w:rsidRPr="00AB4F42">
        <w:rPr>
          <w:rFonts w:ascii="Palatino Linotype" w:eastAsiaTheme="minorHAnsi" w:hAnsi="Palatino Linotype"/>
          <w:sz w:val="22"/>
          <w:szCs w:val="22"/>
          <w:lang w:eastAsia="en-US"/>
        </w:rPr>
        <w:t xml:space="preserve">Que, </w:t>
      </w:r>
      <w:r w:rsidRPr="00AB4F42">
        <w:rPr>
          <w:rFonts w:ascii="Palatino Linotype" w:eastAsiaTheme="minorHAnsi" w:hAnsi="Palatino Linotype"/>
          <w:sz w:val="22"/>
          <w:szCs w:val="22"/>
          <w:lang w:eastAsia="en-US"/>
        </w:rPr>
        <w:tab/>
        <w:t>el Concejo Metropolitano de Quito, en sesión pública ordinaria realizada el … de … de 2022, analizó el informe Nro. IC-CUS-202</w:t>
      </w:r>
      <w:r w:rsidR="00061B14" w:rsidRPr="00AB4F42">
        <w:rPr>
          <w:rFonts w:ascii="Palatino Linotype" w:eastAsiaTheme="minorHAnsi" w:hAnsi="Palatino Linotype"/>
          <w:sz w:val="22"/>
          <w:szCs w:val="22"/>
          <w:lang w:eastAsia="en-US"/>
        </w:rPr>
        <w:t>2</w:t>
      </w:r>
      <w:r w:rsidR="007A32EC" w:rsidRPr="00AB4F42">
        <w:rPr>
          <w:rFonts w:ascii="Palatino Linotype" w:eastAsiaTheme="minorHAnsi" w:hAnsi="Palatino Linotype"/>
          <w:sz w:val="22"/>
          <w:szCs w:val="22"/>
          <w:lang w:eastAsia="en-US"/>
        </w:rPr>
        <w:t>-</w:t>
      </w:r>
      <w:r w:rsidR="000774E4">
        <w:rPr>
          <w:rFonts w:ascii="Palatino Linotype" w:eastAsiaTheme="minorHAnsi" w:hAnsi="Palatino Linotype"/>
          <w:sz w:val="22"/>
          <w:szCs w:val="22"/>
          <w:lang w:eastAsia="en-US"/>
        </w:rPr>
        <w:t>063</w:t>
      </w:r>
      <w:bookmarkStart w:id="0" w:name="_GoBack"/>
      <w:bookmarkEnd w:id="0"/>
      <w:r w:rsidRPr="00AB4F42">
        <w:rPr>
          <w:rFonts w:ascii="Palatino Linotype" w:eastAsiaTheme="minorHAnsi" w:hAnsi="Palatino Linotype"/>
          <w:sz w:val="22"/>
          <w:szCs w:val="22"/>
          <w:lang w:eastAsia="en-US"/>
        </w:rPr>
        <w:t xml:space="preserve">, emitido por la Comisión de Uso de Suelo; </w:t>
      </w:r>
    </w:p>
    <w:p w:rsidR="000113AC" w:rsidRPr="00AB4F42"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AB4F42" w:rsidRDefault="000113AC" w:rsidP="000113AC">
      <w:pPr>
        <w:autoSpaceDE w:val="0"/>
        <w:autoSpaceDN w:val="0"/>
        <w:adjustRightInd w:val="0"/>
        <w:spacing w:line="276" w:lineRule="auto"/>
        <w:jc w:val="both"/>
        <w:rPr>
          <w:rFonts w:ascii="Palatino Linotype" w:eastAsiaTheme="minorHAnsi" w:hAnsi="Palatino Linotype"/>
          <w:b/>
          <w:bCs/>
          <w:sz w:val="22"/>
          <w:szCs w:val="22"/>
          <w:lang w:eastAsia="en-US"/>
        </w:rPr>
      </w:pPr>
      <w:r w:rsidRPr="00AB4F42">
        <w:rPr>
          <w:rFonts w:ascii="Palatino Linotype" w:eastAsiaTheme="minorHAnsi" w:hAnsi="Palatino Linotype"/>
          <w:b/>
          <w:bCs/>
          <w:sz w:val="22"/>
          <w:szCs w:val="22"/>
          <w:lang w:eastAsia="en-US"/>
        </w:rPr>
        <w:t xml:space="preserve">En ejercicio de las atribuciones previstas en el artículo 240 de la Constitución de la República; y artículos 87 literal a) y 323 del Código Orgánico de Organización Territorial, Autonomía y Descentralización. </w:t>
      </w:r>
    </w:p>
    <w:p w:rsidR="000113AC" w:rsidRPr="00AB4F42" w:rsidRDefault="000113AC" w:rsidP="000113AC">
      <w:pPr>
        <w:autoSpaceDE w:val="0"/>
        <w:autoSpaceDN w:val="0"/>
        <w:adjustRightInd w:val="0"/>
        <w:spacing w:line="276" w:lineRule="auto"/>
        <w:jc w:val="both"/>
        <w:rPr>
          <w:rFonts w:ascii="Palatino Linotype" w:eastAsiaTheme="minorHAnsi" w:hAnsi="Palatino Linotype"/>
          <w:b/>
          <w:bCs/>
          <w:sz w:val="22"/>
          <w:szCs w:val="22"/>
          <w:lang w:eastAsia="en-US"/>
        </w:rPr>
      </w:pPr>
    </w:p>
    <w:p w:rsidR="000113AC" w:rsidRPr="00AB4F42" w:rsidRDefault="000113AC" w:rsidP="000113AC">
      <w:pPr>
        <w:autoSpaceDE w:val="0"/>
        <w:autoSpaceDN w:val="0"/>
        <w:adjustRightInd w:val="0"/>
        <w:spacing w:line="276" w:lineRule="auto"/>
        <w:jc w:val="center"/>
        <w:rPr>
          <w:rFonts w:ascii="Palatino Linotype" w:eastAsiaTheme="minorHAnsi" w:hAnsi="Palatino Linotype"/>
          <w:b/>
          <w:bCs/>
          <w:sz w:val="22"/>
          <w:szCs w:val="22"/>
          <w:lang w:eastAsia="en-US"/>
        </w:rPr>
      </w:pPr>
      <w:r w:rsidRPr="00AB4F42">
        <w:rPr>
          <w:rFonts w:ascii="Palatino Linotype" w:eastAsiaTheme="minorHAnsi" w:hAnsi="Palatino Linotype"/>
          <w:b/>
          <w:bCs/>
          <w:sz w:val="22"/>
          <w:szCs w:val="22"/>
          <w:lang w:eastAsia="en-US"/>
        </w:rPr>
        <w:t>RESUELVE:</w:t>
      </w:r>
    </w:p>
    <w:p w:rsidR="000113AC" w:rsidRPr="00AB4F42" w:rsidRDefault="000113AC" w:rsidP="000113AC">
      <w:pPr>
        <w:autoSpaceDE w:val="0"/>
        <w:autoSpaceDN w:val="0"/>
        <w:adjustRightInd w:val="0"/>
        <w:spacing w:line="276" w:lineRule="auto"/>
        <w:jc w:val="center"/>
        <w:rPr>
          <w:rFonts w:ascii="Palatino Linotype" w:hAnsi="Palatino Linotype"/>
          <w:sz w:val="22"/>
          <w:szCs w:val="22"/>
        </w:rPr>
      </w:pPr>
    </w:p>
    <w:p w:rsidR="000113AC" w:rsidRPr="00AB4F42"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AB4F42">
        <w:rPr>
          <w:rFonts w:ascii="Palatino Linotype" w:eastAsiaTheme="minorHAnsi" w:hAnsi="Palatino Linotype"/>
          <w:b/>
          <w:sz w:val="22"/>
          <w:szCs w:val="22"/>
          <w:lang w:eastAsia="en-US"/>
        </w:rPr>
        <w:t>Artículo 1.-</w:t>
      </w:r>
      <w:r w:rsidRPr="00AB4F42">
        <w:rPr>
          <w:rFonts w:ascii="Palatino Linotype" w:eastAsiaTheme="minorHAnsi" w:hAnsi="Palatino Linotype"/>
          <w:sz w:val="22"/>
          <w:szCs w:val="22"/>
          <w:lang w:eastAsia="en-US"/>
        </w:rPr>
        <w:t xml:space="preserve"> Acoger el informe Nr</w:t>
      </w:r>
      <w:r w:rsidR="00061B14" w:rsidRPr="00AB4F42">
        <w:rPr>
          <w:rFonts w:ascii="Palatino Linotype" w:eastAsiaTheme="minorHAnsi" w:hAnsi="Palatino Linotype"/>
          <w:sz w:val="22"/>
          <w:szCs w:val="22"/>
          <w:lang w:eastAsia="en-US"/>
        </w:rPr>
        <w:t>o. IC-CUS-2022</w:t>
      </w:r>
      <w:r w:rsidRPr="00AB4F42">
        <w:rPr>
          <w:rFonts w:ascii="Palatino Linotype" w:eastAsiaTheme="minorHAnsi" w:hAnsi="Palatino Linotype"/>
          <w:sz w:val="22"/>
          <w:szCs w:val="22"/>
          <w:lang w:eastAsia="en-US"/>
        </w:rPr>
        <w:t>-</w:t>
      </w:r>
      <w:r w:rsidR="00466396" w:rsidRPr="00AB4F42">
        <w:rPr>
          <w:rFonts w:ascii="Palatino Linotype" w:eastAsiaTheme="minorHAnsi" w:hAnsi="Palatino Linotype"/>
          <w:sz w:val="22"/>
          <w:szCs w:val="22"/>
          <w:lang w:eastAsia="en-US"/>
        </w:rPr>
        <w:t>063</w:t>
      </w:r>
      <w:r w:rsidRPr="00AB4F42">
        <w:rPr>
          <w:rFonts w:ascii="Palatino Linotype" w:eastAsiaTheme="minorHAnsi" w:hAnsi="Palatino Linotype"/>
          <w:sz w:val="22"/>
          <w:szCs w:val="22"/>
          <w:lang w:eastAsia="en-US"/>
        </w:rPr>
        <w:t xml:space="preserve"> emitido por la Comisión de Uso de Suelo, y por tanto, conocer la sentencia de prescripción extraordinaria adquisitiva de dominio y como efecto de dicha sentencia, y para su efectiva ejecución, autorizar la subdivisión del bien en mención, cambiando las condiciones de ese inmueble en particular y generando una excepció</w:t>
      </w:r>
      <w:r w:rsidR="00C167C7" w:rsidRPr="00AB4F42">
        <w:rPr>
          <w:rFonts w:ascii="Palatino Linotype" w:eastAsiaTheme="minorHAnsi" w:hAnsi="Palatino Linotype"/>
          <w:sz w:val="22"/>
          <w:szCs w:val="22"/>
          <w:lang w:eastAsia="en-US"/>
        </w:rPr>
        <w:t xml:space="preserve">n a las condiciones generales. </w:t>
      </w:r>
    </w:p>
    <w:p w:rsidR="000113AC" w:rsidRPr="00AB4F42"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AB4F42"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AB4F42">
        <w:rPr>
          <w:rFonts w:ascii="Palatino Linotype" w:eastAsiaTheme="minorHAnsi" w:hAnsi="Palatino Linotype"/>
          <w:sz w:val="22"/>
          <w:szCs w:val="22"/>
          <w:lang w:eastAsia="en-US"/>
        </w:rPr>
        <w:t xml:space="preserve">De conformidad con lo dispuesto en el numeral 4 del artículo 2171 del Código Municipal para el Distrito Metropolitano de Quito, </w:t>
      </w:r>
      <w:r w:rsidR="00466396" w:rsidRPr="00AB4F42">
        <w:rPr>
          <w:rFonts w:ascii="Palatino Linotype" w:hAnsi="Palatino Linotype"/>
          <w:sz w:val="22"/>
          <w:szCs w:val="22"/>
        </w:rPr>
        <w:t>los señores Luz Marina Ramón Suquisupa y Nevio Homero Guanuche Sanmartín</w:t>
      </w:r>
      <w:r w:rsidRPr="00AB4F42">
        <w:rPr>
          <w:rFonts w:ascii="Palatino Linotype" w:eastAsiaTheme="minorHAnsi" w:hAnsi="Palatino Linotype"/>
          <w:sz w:val="22"/>
          <w:szCs w:val="22"/>
          <w:lang w:eastAsia="en-US"/>
        </w:rPr>
        <w:t>, deberá</w:t>
      </w:r>
      <w:r w:rsidR="00466396" w:rsidRPr="00AB4F42">
        <w:rPr>
          <w:rFonts w:ascii="Palatino Linotype" w:eastAsiaTheme="minorHAnsi" w:hAnsi="Palatino Linotype"/>
          <w:sz w:val="22"/>
          <w:szCs w:val="22"/>
          <w:lang w:eastAsia="en-US"/>
        </w:rPr>
        <w:t>n</w:t>
      </w:r>
      <w:r w:rsidRPr="00AB4F42">
        <w:rPr>
          <w:rFonts w:ascii="Palatino Linotype" w:eastAsiaTheme="minorHAnsi" w:hAnsi="Palatino Linotype"/>
          <w:sz w:val="22"/>
          <w:szCs w:val="22"/>
          <w:lang w:eastAsia="en-US"/>
        </w:rPr>
        <w:t xml:space="preserve"> compensar en valor monetario, la contribución del 15% del área útil adjudicada, que, de acuerdo al cálculo realizado por la Administración Zonal, corresponde al valor </w:t>
      </w:r>
      <w:r w:rsidR="00D71BB9" w:rsidRPr="00AB4F42">
        <w:rPr>
          <w:rFonts w:ascii="Palatino Linotype" w:hAnsi="Palatino Linotype"/>
          <w:sz w:val="22"/>
          <w:szCs w:val="22"/>
        </w:rPr>
        <w:t xml:space="preserve">de </w:t>
      </w:r>
      <w:r w:rsidR="00E326D5" w:rsidRPr="00AB4F42">
        <w:rPr>
          <w:rFonts w:ascii="Palatino Linotype" w:hAnsi="Palatino Linotype"/>
          <w:sz w:val="22"/>
          <w:szCs w:val="22"/>
        </w:rPr>
        <w:t xml:space="preserve">USD </w:t>
      </w:r>
      <w:r w:rsidR="00466396" w:rsidRPr="00AB4F42">
        <w:rPr>
          <w:rStyle w:val="markedcontent"/>
          <w:rFonts w:ascii="Palatino Linotype" w:hAnsi="Palatino Linotype" w:cs="Arial"/>
          <w:sz w:val="22"/>
          <w:szCs w:val="22"/>
        </w:rPr>
        <w:t>599.87</w:t>
      </w:r>
      <w:r w:rsidR="004959B7" w:rsidRPr="00AB4F42">
        <w:rPr>
          <w:rFonts w:ascii="Palatino Linotype" w:hAnsi="Palatino Linotype"/>
          <w:i/>
          <w:sz w:val="22"/>
          <w:szCs w:val="22"/>
        </w:rPr>
        <w:t xml:space="preserve"> </w:t>
      </w:r>
      <w:r w:rsidR="00E326D5" w:rsidRPr="00AB4F42">
        <w:rPr>
          <w:rFonts w:ascii="Palatino Linotype" w:hAnsi="Palatino Linotype"/>
          <w:sz w:val="22"/>
          <w:szCs w:val="22"/>
        </w:rPr>
        <w:t xml:space="preserve">dólares. </w:t>
      </w:r>
    </w:p>
    <w:p w:rsidR="000113AC" w:rsidRPr="00AB4F42"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AB4F42"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AB4F42">
        <w:rPr>
          <w:rFonts w:ascii="Palatino Linotype" w:eastAsiaTheme="minorHAnsi" w:hAnsi="Palatino Linotype"/>
          <w:b/>
          <w:sz w:val="22"/>
          <w:szCs w:val="22"/>
          <w:lang w:eastAsia="en-US"/>
        </w:rPr>
        <w:lastRenderedPageBreak/>
        <w:t xml:space="preserve">Artículo 2.- </w:t>
      </w:r>
      <w:r w:rsidRPr="00AB4F42">
        <w:rPr>
          <w:rFonts w:ascii="Palatino Linotype" w:eastAsiaTheme="minorHAnsi" w:hAnsi="Palatino Linotype"/>
          <w:sz w:val="22"/>
          <w:szCs w:val="22"/>
          <w:lang w:eastAsia="en-US"/>
        </w:rPr>
        <w:t xml:space="preserve">Comuníquese al interesado, a la Administración Zonal correspondiente y, a la Secretaría de Territorio, Hábitat y Vivienda, a fin de que se continúe con los trámites de ley. </w:t>
      </w:r>
    </w:p>
    <w:p w:rsidR="000113AC" w:rsidRPr="00AB4F42" w:rsidRDefault="000113AC" w:rsidP="000113AC">
      <w:pPr>
        <w:autoSpaceDE w:val="0"/>
        <w:autoSpaceDN w:val="0"/>
        <w:adjustRightInd w:val="0"/>
        <w:spacing w:line="276" w:lineRule="auto"/>
        <w:rPr>
          <w:rFonts w:ascii="Palatino Linotype" w:eastAsiaTheme="minorHAnsi" w:hAnsi="Palatino Linotype"/>
          <w:sz w:val="22"/>
          <w:szCs w:val="22"/>
          <w:lang w:eastAsia="en-US"/>
        </w:rPr>
      </w:pPr>
    </w:p>
    <w:p w:rsidR="000113AC" w:rsidRPr="00AB4F42"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AB4F42">
        <w:rPr>
          <w:rFonts w:ascii="Palatino Linotype" w:eastAsiaTheme="minorHAnsi" w:hAnsi="Palatino Linotype"/>
          <w:b/>
          <w:sz w:val="22"/>
          <w:szCs w:val="22"/>
          <w:lang w:eastAsia="en-US"/>
        </w:rPr>
        <w:t>Disposición Final.-</w:t>
      </w:r>
      <w:r w:rsidRPr="00AB4F42">
        <w:rPr>
          <w:rFonts w:ascii="Palatino Linotype" w:eastAsiaTheme="minorHAnsi" w:hAnsi="Palatino Linotype"/>
          <w:sz w:val="22"/>
          <w:szCs w:val="22"/>
          <w:lang w:eastAsia="en-US"/>
        </w:rPr>
        <w:t xml:space="preserve"> La presente resolución entrará en vigencia a partir de su suscripción sin perjuicio de su publicación.</w:t>
      </w:r>
    </w:p>
    <w:p w:rsidR="000113AC" w:rsidRPr="00AB4F42"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AB4F42" w:rsidRDefault="000113AC" w:rsidP="000113AC">
      <w:pPr>
        <w:spacing w:line="276" w:lineRule="auto"/>
        <w:ind w:left="-5"/>
        <w:jc w:val="both"/>
        <w:rPr>
          <w:rFonts w:ascii="Palatino Linotype" w:hAnsi="Palatino Linotype"/>
          <w:sz w:val="22"/>
          <w:szCs w:val="22"/>
        </w:rPr>
      </w:pPr>
      <w:r w:rsidRPr="00AB4F42">
        <w:rPr>
          <w:rFonts w:ascii="Palatino Linotype" w:hAnsi="Palatino Linotype"/>
          <w:sz w:val="22"/>
          <w:szCs w:val="22"/>
        </w:rPr>
        <w:t xml:space="preserve">Dada en la sesión del Concejo Metropolitano de Quito, el ……….. </w:t>
      </w:r>
    </w:p>
    <w:p w:rsidR="000113AC" w:rsidRPr="00AB4F42" w:rsidRDefault="000113AC" w:rsidP="000113AC">
      <w:pPr>
        <w:spacing w:line="276" w:lineRule="auto"/>
        <w:ind w:left="-5"/>
        <w:jc w:val="both"/>
        <w:rPr>
          <w:rFonts w:ascii="Palatino Linotype" w:hAnsi="Palatino Linotype"/>
          <w:sz w:val="22"/>
          <w:szCs w:val="22"/>
        </w:rPr>
      </w:pPr>
    </w:p>
    <w:p w:rsidR="000113AC" w:rsidRPr="00AB4F42" w:rsidRDefault="000113AC" w:rsidP="000113AC">
      <w:pPr>
        <w:spacing w:line="276" w:lineRule="auto"/>
        <w:ind w:left="-5" w:right="-143"/>
        <w:jc w:val="both"/>
        <w:rPr>
          <w:rFonts w:ascii="Palatino Linotype" w:hAnsi="Palatino Linotype"/>
          <w:sz w:val="22"/>
          <w:szCs w:val="22"/>
        </w:rPr>
      </w:pPr>
      <w:r w:rsidRPr="00AB4F42">
        <w:rPr>
          <w:rFonts w:ascii="Palatino Linotype" w:hAnsi="Palatino Linotype"/>
          <w:b/>
          <w:sz w:val="22"/>
          <w:szCs w:val="22"/>
        </w:rPr>
        <w:t xml:space="preserve">Alcaldía del Distrito Metropolitano. - </w:t>
      </w:r>
      <w:r w:rsidRPr="00AB4F42">
        <w:rPr>
          <w:rFonts w:ascii="Palatino Linotype" w:hAnsi="Palatino Linotype"/>
          <w:sz w:val="22"/>
          <w:szCs w:val="22"/>
        </w:rPr>
        <w:t>Distrito Metropolitano de Quito, ………..</w:t>
      </w:r>
    </w:p>
    <w:p w:rsidR="000113AC" w:rsidRPr="00AB4F42" w:rsidRDefault="000113AC" w:rsidP="000113AC">
      <w:pPr>
        <w:spacing w:line="276" w:lineRule="auto"/>
        <w:jc w:val="both"/>
        <w:rPr>
          <w:rFonts w:ascii="Palatino Linotype" w:hAnsi="Palatino Linotype"/>
          <w:sz w:val="22"/>
          <w:szCs w:val="22"/>
        </w:rPr>
      </w:pPr>
    </w:p>
    <w:p w:rsidR="000113AC" w:rsidRPr="00AB4F42" w:rsidRDefault="000113AC" w:rsidP="000113AC">
      <w:pPr>
        <w:spacing w:line="276" w:lineRule="auto"/>
        <w:jc w:val="center"/>
        <w:rPr>
          <w:rFonts w:ascii="Palatino Linotype" w:hAnsi="Palatino Linotype"/>
          <w:sz w:val="22"/>
          <w:szCs w:val="22"/>
        </w:rPr>
      </w:pPr>
      <w:r w:rsidRPr="00AB4F42">
        <w:rPr>
          <w:rFonts w:ascii="Palatino Linotype" w:hAnsi="Palatino Linotype"/>
          <w:b/>
          <w:sz w:val="22"/>
          <w:szCs w:val="22"/>
        </w:rPr>
        <w:t>EJECÚTESE:</w:t>
      </w:r>
    </w:p>
    <w:p w:rsidR="000113AC" w:rsidRPr="00AB4F42" w:rsidRDefault="000113AC" w:rsidP="000113AC">
      <w:pPr>
        <w:spacing w:line="276" w:lineRule="auto"/>
        <w:ind w:left="51"/>
        <w:jc w:val="center"/>
        <w:rPr>
          <w:rFonts w:ascii="Palatino Linotype" w:hAnsi="Palatino Linotype"/>
          <w:sz w:val="22"/>
          <w:szCs w:val="22"/>
        </w:rPr>
      </w:pPr>
    </w:p>
    <w:p w:rsidR="000113AC" w:rsidRPr="00AB4F42" w:rsidRDefault="000113AC" w:rsidP="000113AC">
      <w:pPr>
        <w:spacing w:line="276" w:lineRule="auto"/>
        <w:ind w:left="51"/>
        <w:jc w:val="center"/>
        <w:rPr>
          <w:rFonts w:ascii="Palatino Linotype" w:hAnsi="Palatino Linotype"/>
          <w:sz w:val="22"/>
          <w:szCs w:val="22"/>
        </w:rPr>
      </w:pPr>
    </w:p>
    <w:p w:rsidR="000113AC" w:rsidRPr="00AB4F42" w:rsidRDefault="000113AC" w:rsidP="000113AC">
      <w:pPr>
        <w:spacing w:line="276" w:lineRule="auto"/>
        <w:ind w:left="51"/>
        <w:jc w:val="center"/>
        <w:rPr>
          <w:rFonts w:ascii="Palatino Linotype" w:hAnsi="Palatino Linotype"/>
          <w:sz w:val="22"/>
          <w:szCs w:val="22"/>
        </w:rPr>
      </w:pPr>
    </w:p>
    <w:p w:rsidR="000113AC" w:rsidRPr="00AB4F42" w:rsidRDefault="000113AC" w:rsidP="000113AC">
      <w:pPr>
        <w:spacing w:line="276" w:lineRule="auto"/>
        <w:ind w:left="51"/>
        <w:jc w:val="center"/>
        <w:rPr>
          <w:rFonts w:ascii="Palatino Linotype" w:hAnsi="Palatino Linotype"/>
          <w:sz w:val="22"/>
          <w:szCs w:val="22"/>
        </w:rPr>
      </w:pPr>
      <w:r w:rsidRPr="00AB4F42">
        <w:rPr>
          <w:rFonts w:ascii="Palatino Linotype" w:hAnsi="Palatino Linotype"/>
          <w:sz w:val="22"/>
          <w:szCs w:val="22"/>
        </w:rPr>
        <w:t>Dr. Santiago Guarderas Izquierdo</w:t>
      </w:r>
    </w:p>
    <w:p w:rsidR="000113AC" w:rsidRPr="00AB4F42" w:rsidRDefault="000113AC" w:rsidP="000113AC">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eastAsia="es-EC"/>
        </w:rPr>
      </w:pPr>
      <w:r w:rsidRPr="00AB4F42">
        <w:rPr>
          <w:rFonts w:ascii="Palatino Linotype" w:eastAsia="Palatino Linotype" w:hAnsi="Palatino Linotype" w:cs="Palatino Linotype"/>
          <w:b/>
          <w:color w:val="000000"/>
          <w:sz w:val="22"/>
          <w:szCs w:val="22"/>
          <w:lang w:eastAsia="es-EC"/>
        </w:rPr>
        <w:t>ALCALDE DEL DISTRITO METROPOLITANO DE QUITO</w:t>
      </w:r>
    </w:p>
    <w:p w:rsidR="000113AC" w:rsidRPr="00AB4F42" w:rsidRDefault="000113AC" w:rsidP="000113AC">
      <w:pPr>
        <w:spacing w:line="276" w:lineRule="auto"/>
        <w:jc w:val="center"/>
        <w:rPr>
          <w:rFonts w:ascii="Palatino Linotype" w:hAnsi="Palatino Linotype"/>
          <w:sz w:val="22"/>
          <w:szCs w:val="22"/>
        </w:rPr>
      </w:pPr>
    </w:p>
    <w:p w:rsidR="000113AC" w:rsidRPr="00AB4F42" w:rsidRDefault="000113AC" w:rsidP="000113AC">
      <w:pPr>
        <w:spacing w:line="276" w:lineRule="auto"/>
        <w:ind w:left="-5"/>
        <w:jc w:val="both"/>
        <w:rPr>
          <w:rFonts w:ascii="Palatino Linotype" w:hAnsi="Palatino Linotype"/>
          <w:sz w:val="22"/>
          <w:szCs w:val="22"/>
        </w:rPr>
      </w:pPr>
      <w:r w:rsidRPr="00AB4F42">
        <w:rPr>
          <w:rFonts w:ascii="Palatino Linotype" w:hAnsi="Palatino Linotype"/>
          <w:b/>
          <w:sz w:val="22"/>
          <w:szCs w:val="22"/>
        </w:rPr>
        <w:t>CERTIFICO,</w:t>
      </w:r>
      <w:r w:rsidRPr="00AB4F42">
        <w:rPr>
          <w:rFonts w:ascii="Palatino Linotype" w:hAnsi="Palatino Linotype"/>
          <w:sz w:val="22"/>
          <w:szCs w:val="22"/>
        </w:rPr>
        <w:t xml:space="preserve"> que la presente resolución fue discutida y aprobada en la sesión ordinaria del Concejo Metropolitano de Quito, el xx de xx de 2022; y, suscrita por el Dr. Santiago Guarderas Izquierdo, Alcalde del Distrito Metropolitano de Quito, el xx de xx de 2022. </w:t>
      </w:r>
    </w:p>
    <w:p w:rsidR="000113AC" w:rsidRPr="00AB4F42" w:rsidRDefault="000113AC" w:rsidP="000113AC">
      <w:pPr>
        <w:spacing w:line="276" w:lineRule="auto"/>
        <w:jc w:val="both"/>
        <w:rPr>
          <w:rFonts w:ascii="Palatino Linotype" w:hAnsi="Palatino Linotype"/>
          <w:sz w:val="22"/>
          <w:szCs w:val="22"/>
        </w:rPr>
      </w:pPr>
      <w:r w:rsidRPr="00AB4F42">
        <w:rPr>
          <w:rFonts w:ascii="Palatino Linotype" w:hAnsi="Palatino Linotype"/>
          <w:b/>
          <w:sz w:val="22"/>
          <w:szCs w:val="22"/>
        </w:rPr>
        <w:t xml:space="preserve"> </w:t>
      </w:r>
    </w:p>
    <w:p w:rsidR="000113AC" w:rsidRPr="00AB4F42" w:rsidRDefault="000113AC" w:rsidP="000113AC">
      <w:pPr>
        <w:spacing w:line="276" w:lineRule="auto"/>
        <w:ind w:left="-5"/>
        <w:jc w:val="both"/>
        <w:rPr>
          <w:rFonts w:ascii="Palatino Linotype" w:hAnsi="Palatino Linotype"/>
          <w:sz w:val="22"/>
          <w:szCs w:val="22"/>
          <w:highlight w:val="yellow"/>
        </w:rPr>
      </w:pPr>
      <w:r w:rsidRPr="00AB4F42">
        <w:rPr>
          <w:rFonts w:ascii="Palatino Linotype" w:hAnsi="Palatino Linotype"/>
          <w:b/>
          <w:sz w:val="22"/>
          <w:szCs w:val="22"/>
        </w:rPr>
        <w:t xml:space="preserve">Lo certifico. - </w:t>
      </w:r>
      <w:r w:rsidR="00754E1F" w:rsidRPr="00AB4F42">
        <w:rPr>
          <w:rFonts w:ascii="Palatino Linotype" w:hAnsi="Palatino Linotype"/>
          <w:sz w:val="22"/>
          <w:szCs w:val="22"/>
        </w:rPr>
        <w:t>Distrito Metropolitano de Quito</w:t>
      </w:r>
      <w:r w:rsidRPr="00AB4F42">
        <w:rPr>
          <w:rFonts w:ascii="Palatino Linotype" w:hAnsi="Palatino Linotype"/>
          <w:sz w:val="22"/>
          <w:szCs w:val="22"/>
        </w:rPr>
        <w:t xml:space="preserve">. </w:t>
      </w:r>
    </w:p>
    <w:p w:rsidR="000113AC" w:rsidRPr="00AB4F42" w:rsidRDefault="000113AC" w:rsidP="000113AC">
      <w:pPr>
        <w:spacing w:line="276" w:lineRule="auto"/>
        <w:jc w:val="both"/>
        <w:rPr>
          <w:rFonts w:ascii="Palatino Linotype" w:hAnsi="Palatino Linotype"/>
          <w:sz w:val="22"/>
          <w:szCs w:val="22"/>
          <w:highlight w:val="yellow"/>
        </w:rPr>
      </w:pPr>
      <w:r w:rsidRPr="00AB4F42">
        <w:rPr>
          <w:rFonts w:ascii="Palatino Linotype" w:hAnsi="Palatino Linotype"/>
          <w:sz w:val="22"/>
          <w:szCs w:val="22"/>
          <w:highlight w:val="yellow"/>
        </w:rPr>
        <w:t xml:space="preserve"> </w:t>
      </w:r>
    </w:p>
    <w:p w:rsidR="000113AC" w:rsidRPr="00AB4F42" w:rsidRDefault="000113AC" w:rsidP="000113AC">
      <w:pPr>
        <w:spacing w:line="276" w:lineRule="auto"/>
        <w:jc w:val="both"/>
        <w:rPr>
          <w:rFonts w:ascii="Palatino Linotype" w:hAnsi="Palatino Linotype"/>
          <w:sz w:val="22"/>
          <w:szCs w:val="22"/>
          <w:highlight w:val="yellow"/>
        </w:rPr>
      </w:pPr>
    </w:p>
    <w:p w:rsidR="000113AC" w:rsidRPr="00AB4F42" w:rsidRDefault="000113AC" w:rsidP="000113AC">
      <w:pPr>
        <w:spacing w:line="276" w:lineRule="auto"/>
        <w:jc w:val="both"/>
        <w:rPr>
          <w:rFonts w:ascii="Palatino Linotype" w:hAnsi="Palatino Linotype"/>
          <w:sz w:val="22"/>
          <w:szCs w:val="22"/>
          <w:highlight w:val="yellow"/>
        </w:rPr>
      </w:pPr>
      <w:r w:rsidRPr="00AB4F42">
        <w:rPr>
          <w:rFonts w:ascii="Palatino Linotype" w:hAnsi="Palatino Linotype"/>
          <w:sz w:val="22"/>
          <w:szCs w:val="22"/>
          <w:highlight w:val="yellow"/>
        </w:rPr>
        <w:t xml:space="preserve"> </w:t>
      </w:r>
    </w:p>
    <w:p w:rsidR="000113AC" w:rsidRPr="00AB4F42" w:rsidRDefault="000113AC" w:rsidP="000113AC">
      <w:pPr>
        <w:spacing w:line="276" w:lineRule="auto"/>
        <w:jc w:val="both"/>
        <w:rPr>
          <w:rFonts w:ascii="Palatino Linotype" w:hAnsi="Palatino Linotype"/>
          <w:sz w:val="22"/>
          <w:szCs w:val="22"/>
          <w:highlight w:val="yellow"/>
        </w:rPr>
      </w:pPr>
      <w:r w:rsidRPr="00AB4F42">
        <w:rPr>
          <w:rFonts w:ascii="Palatino Linotype" w:hAnsi="Palatino Linotype"/>
          <w:sz w:val="22"/>
          <w:szCs w:val="22"/>
          <w:highlight w:val="yellow"/>
        </w:rPr>
        <w:t xml:space="preserve"> </w:t>
      </w:r>
    </w:p>
    <w:p w:rsidR="000113AC" w:rsidRPr="00AB4F42" w:rsidRDefault="000113AC" w:rsidP="000113AC">
      <w:pPr>
        <w:spacing w:line="276" w:lineRule="auto"/>
        <w:jc w:val="center"/>
        <w:rPr>
          <w:rFonts w:ascii="Palatino Linotype" w:hAnsi="Palatino Linotype"/>
          <w:sz w:val="22"/>
          <w:szCs w:val="22"/>
        </w:rPr>
      </w:pPr>
      <w:r w:rsidRPr="00AB4F42">
        <w:rPr>
          <w:rFonts w:ascii="Palatino Linotype" w:hAnsi="Palatino Linotype"/>
          <w:sz w:val="22"/>
          <w:szCs w:val="22"/>
        </w:rPr>
        <w:t>Abg. Pablo Santillán Paredes</w:t>
      </w:r>
    </w:p>
    <w:p w:rsidR="000113AC" w:rsidRPr="00AB4F42" w:rsidRDefault="000113AC" w:rsidP="000113AC">
      <w:pPr>
        <w:spacing w:line="276" w:lineRule="auto"/>
        <w:jc w:val="center"/>
        <w:rPr>
          <w:rFonts w:ascii="Palatino Linotype" w:eastAsia="Calibri" w:hAnsi="Palatino Linotype"/>
          <w:b/>
          <w:sz w:val="22"/>
          <w:szCs w:val="22"/>
          <w:lang w:eastAsia="en-US"/>
        </w:rPr>
      </w:pPr>
      <w:r w:rsidRPr="00AB4F42">
        <w:rPr>
          <w:rFonts w:ascii="Palatino Linotype" w:eastAsia="Calibri" w:hAnsi="Palatino Linotype"/>
          <w:b/>
          <w:sz w:val="22"/>
          <w:szCs w:val="22"/>
          <w:lang w:eastAsia="en-US"/>
        </w:rPr>
        <w:t>SECRETARIO GENERAL DEL CONCEJO METROPOLITANO DE QUITO</w:t>
      </w:r>
    </w:p>
    <w:p w:rsidR="000113AC" w:rsidRPr="00AB4F42" w:rsidRDefault="000113AC" w:rsidP="000113AC">
      <w:pPr>
        <w:pStyle w:val="Sinespaciado"/>
        <w:jc w:val="center"/>
        <w:rPr>
          <w:rFonts w:ascii="Palatino Linotype" w:hAnsi="Palatino Linotype"/>
          <w:b/>
          <w:sz w:val="22"/>
          <w:szCs w:val="22"/>
        </w:rPr>
      </w:pPr>
    </w:p>
    <w:p w:rsidR="000113AC" w:rsidRPr="00AB4F42" w:rsidRDefault="000113AC" w:rsidP="000113AC">
      <w:pPr>
        <w:rPr>
          <w:rFonts w:ascii="Palatino Linotype" w:hAnsi="Palatino Linotype"/>
          <w:sz w:val="22"/>
          <w:szCs w:val="22"/>
        </w:rPr>
      </w:pPr>
    </w:p>
    <w:p w:rsidR="000113AC" w:rsidRPr="00AB4F42" w:rsidRDefault="000113AC" w:rsidP="000113AC">
      <w:pPr>
        <w:rPr>
          <w:rFonts w:ascii="Palatino Linotype" w:hAnsi="Palatino Linotype"/>
          <w:sz w:val="22"/>
          <w:szCs w:val="22"/>
        </w:rPr>
      </w:pPr>
    </w:p>
    <w:p w:rsidR="00A70E2E" w:rsidRPr="00AB4F42" w:rsidRDefault="00A70E2E">
      <w:pPr>
        <w:rPr>
          <w:rFonts w:ascii="Palatino Linotype" w:hAnsi="Palatino Linotype"/>
          <w:sz w:val="22"/>
          <w:szCs w:val="22"/>
        </w:rPr>
      </w:pPr>
    </w:p>
    <w:sectPr w:rsidR="00A70E2E" w:rsidRPr="00AB4F42" w:rsidSect="005D2467">
      <w:headerReference w:type="default" r:id="rId9"/>
      <w:footerReference w:type="default" r:id="rId10"/>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738" w:rsidRDefault="00007738">
      <w:r>
        <w:separator/>
      </w:r>
    </w:p>
  </w:endnote>
  <w:endnote w:type="continuationSeparator" w:id="0">
    <w:p w:rsidR="00007738" w:rsidRDefault="0000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754E1F">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0774E4">
              <w:rPr>
                <w:rFonts w:ascii="Palatino Linotype" w:hAnsi="Palatino Linotype"/>
                <w:b/>
                <w:bCs/>
                <w:noProof/>
                <w:sz w:val="20"/>
                <w:szCs w:val="20"/>
              </w:rPr>
              <w:t>7</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0774E4">
              <w:rPr>
                <w:rFonts w:ascii="Palatino Linotype" w:hAnsi="Palatino Linotype"/>
                <w:b/>
                <w:bCs/>
                <w:noProof/>
                <w:sz w:val="20"/>
                <w:szCs w:val="20"/>
              </w:rPr>
              <w:t>8</w:t>
            </w:r>
            <w:r w:rsidRPr="00707DE5">
              <w:rPr>
                <w:rFonts w:ascii="Palatino Linotype" w:hAnsi="Palatino Linotype"/>
                <w:b/>
                <w:bCs/>
                <w:sz w:val="20"/>
                <w:szCs w:val="20"/>
              </w:rPr>
              <w:fldChar w:fldCharType="end"/>
            </w:r>
          </w:p>
          <w:p w:rsidR="005D2467" w:rsidRPr="008479FB" w:rsidRDefault="00007738">
            <w:pPr>
              <w:pStyle w:val="Piedepgina"/>
              <w:jc w:val="right"/>
              <w:rPr>
                <w:rFonts w:ascii="Palatino Linotype" w:hAnsi="Palatino Linotype"/>
                <w:sz w:val="20"/>
                <w:szCs w:val="20"/>
              </w:rPr>
            </w:pPr>
          </w:p>
        </w:sdtContent>
      </w:sdt>
    </w:sdtContent>
  </w:sdt>
  <w:p w:rsidR="005D2467" w:rsidRPr="008479FB" w:rsidRDefault="00007738">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738" w:rsidRDefault="00007738">
      <w:r>
        <w:separator/>
      </w:r>
    </w:p>
  </w:footnote>
  <w:footnote w:type="continuationSeparator" w:id="0">
    <w:p w:rsidR="00007738" w:rsidRDefault="000077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007738"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007738"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00773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A686D"/>
    <w:multiLevelType w:val="hybridMultilevel"/>
    <w:tmpl w:val="D4F2C89C"/>
    <w:lvl w:ilvl="0" w:tplc="575260F4">
      <w:start w:val="1"/>
      <w:numFmt w:val="decimal"/>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1" w15:restartNumberingAfterBreak="0">
    <w:nsid w:val="7ECF0EB8"/>
    <w:multiLevelType w:val="hybridMultilevel"/>
    <w:tmpl w:val="EE9424D6"/>
    <w:lvl w:ilvl="0" w:tplc="B6403E36">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AC"/>
    <w:rsid w:val="000022D4"/>
    <w:rsid w:val="00007738"/>
    <w:rsid w:val="000113AC"/>
    <w:rsid w:val="000320FA"/>
    <w:rsid w:val="000350C3"/>
    <w:rsid w:val="00036C0E"/>
    <w:rsid w:val="00061B14"/>
    <w:rsid w:val="000774E4"/>
    <w:rsid w:val="000B7940"/>
    <w:rsid w:val="000F0D3B"/>
    <w:rsid w:val="000F53A8"/>
    <w:rsid w:val="000F6D87"/>
    <w:rsid w:val="0010315E"/>
    <w:rsid w:val="001203A0"/>
    <w:rsid w:val="00135676"/>
    <w:rsid w:val="00162AB0"/>
    <w:rsid w:val="0016751B"/>
    <w:rsid w:val="0018204A"/>
    <w:rsid w:val="001A37F6"/>
    <w:rsid w:val="001A6EE6"/>
    <w:rsid w:val="001D43D9"/>
    <w:rsid w:val="001E6BB2"/>
    <w:rsid w:val="001F18A5"/>
    <w:rsid w:val="002230DD"/>
    <w:rsid w:val="002348D0"/>
    <w:rsid w:val="002435E3"/>
    <w:rsid w:val="002A2313"/>
    <w:rsid w:val="002C0724"/>
    <w:rsid w:val="002D415C"/>
    <w:rsid w:val="002E1BD8"/>
    <w:rsid w:val="002E3F59"/>
    <w:rsid w:val="002F36C3"/>
    <w:rsid w:val="003057C1"/>
    <w:rsid w:val="00310B84"/>
    <w:rsid w:val="00311483"/>
    <w:rsid w:val="003144EF"/>
    <w:rsid w:val="003328D7"/>
    <w:rsid w:val="0034620A"/>
    <w:rsid w:val="00372B0E"/>
    <w:rsid w:val="00385ABB"/>
    <w:rsid w:val="003B6356"/>
    <w:rsid w:val="003D00A7"/>
    <w:rsid w:val="004154DB"/>
    <w:rsid w:val="004372D3"/>
    <w:rsid w:val="00437620"/>
    <w:rsid w:val="004518E5"/>
    <w:rsid w:val="00462DF6"/>
    <w:rsid w:val="00462FAA"/>
    <w:rsid w:val="00466396"/>
    <w:rsid w:val="004729F0"/>
    <w:rsid w:val="004860CA"/>
    <w:rsid w:val="00492990"/>
    <w:rsid w:val="00493A79"/>
    <w:rsid w:val="004948A2"/>
    <w:rsid w:val="0049515C"/>
    <w:rsid w:val="004959B7"/>
    <w:rsid w:val="004E4064"/>
    <w:rsid w:val="004F29ED"/>
    <w:rsid w:val="004F35C9"/>
    <w:rsid w:val="0050436B"/>
    <w:rsid w:val="005168D0"/>
    <w:rsid w:val="0053016E"/>
    <w:rsid w:val="00531F8A"/>
    <w:rsid w:val="00563683"/>
    <w:rsid w:val="005839EA"/>
    <w:rsid w:val="00595410"/>
    <w:rsid w:val="005A184C"/>
    <w:rsid w:val="005A421F"/>
    <w:rsid w:val="005C1350"/>
    <w:rsid w:val="005D3154"/>
    <w:rsid w:val="005D7A61"/>
    <w:rsid w:val="005F4329"/>
    <w:rsid w:val="0060408D"/>
    <w:rsid w:val="0060538D"/>
    <w:rsid w:val="00606CEF"/>
    <w:rsid w:val="00606FE2"/>
    <w:rsid w:val="00622D1F"/>
    <w:rsid w:val="00626F33"/>
    <w:rsid w:val="006273BD"/>
    <w:rsid w:val="00630C41"/>
    <w:rsid w:val="00635D5D"/>
    <w:rsid w:val="006378A2"/>
    <w:rsid w:val="00656876"/>
    <w:rsid w:val="006767EB"/>
    <w:rsid w:val="00694D54"/>
    <w:rsid w:val="006A6971"/>
    <w:rsid w:val="006B7792"/>
    <w:rsid w:val="006F2BAD"/>
    <w:rsid w:val="006F6D18"/>
    <w:rsid w:val="00704417"/>
    <w:rsid w:val="0071323F"/>
    <w:rsid w:val="00722F25"/>
    <w:rsid w:val="00754E1F"/>
    <w:rsid w:val="00757FA6"/>
    <w:rsid w:val="007826F3"/>
    <w:rsid w:val="007854B8"/>
    <w:rsid w:val="00796E58"/>
    <w:rsid w:val="007A32EC"/>
    <w:rsid w:val="007E076B"/>
    <w:rsid w:val="00804DD4"/>
    <w:rsid w:val="00822F01"/>
    <w:rsid w:val="00842941"/>
    <w:rsid w:val="0085024D"/>
    <w:rsid w:val="008532E8"/>
    <w:rsid w:val="008824AD"/>
    <w:rsid w:val="008A28F7"/>
    <w:rsid w:val="008E2C34"/>
    <w:rsid w:val="00902F65"/>
    <w:rsid w:val="009061F9"/>
    <w:rsid w:val="009441E9"/>
    <w:rsid w:val="00967D02"/>
    <w:rsid w:val="00971DAC"/>
    <w:rsid w:val="009906BE"/>
    <w:rsid w:val="00993BBD"/>
    <w:rsid w:val="009C51D6"/>
    <w:rsid w:val="009C7AA1"/>
    <w:rsid w:val="009D1665"/>
    <w:rsid w:val="009D3508"/>
    <w:rsid w:val="009E4E92"/>
    <w:rsid w:val="00A05387"/>
    <w:rsid w:val="00A3193F"/>
    <w:rsid w:val="00A37080"/>
    <w:rsid w:val="00A43B85"/>
    <w:rsid w:val="00A53CCA"/>
    <w:rsid w:val="00A65E22"/>
    <w:rsid w:val="00A666D4"/>
    <w:rsid w:val="00A70E2E"/>
    <w:rsid w:val="00AB4F42"/>
    <w:rsid w:val="00AD76F0"/>
    <w:rsid w:val="00AD7AF2"/>
    <w:rsid w:val="00AE729F"/>
    <w:rsid w:val="00AF1FF5"/>
    <w:rsid w:val="00B34FBC"/>
    <w:rsid w:val="00B456A6"/>
    <w:rsid w:val="00B52FC7"/>
    <w:rsid w:val="00B82081"/>
    <w:rsid w:val="00B9427A"/>
    <w:rsid w:val="00BE06CC"/>
    <w:rsid w:val="00C024F2"/>
    <w:rsid w:val="00C167C7"/>
    <w:rsid w:val="00C17E6F"/>
    <w:rsid w:val="00C21EBF"/>
    <w:rsid w:val="00C31F94"/>
    <w:rsid w:val="00C37F48"/>
    <w:rsid w:val="00C45A11"/>
    <w:rsid w:val="00C55EC2"/>
    <w:rsid w:val="00C61696"/>
    <w:rsid w:val="00C70B8C"/>
    <w:rsid w:val="00C76811"/>
    <w:rsid w:val="00C92ED6"/>
    <w:rsid w:val="00CA6437"/>
    <w:rsid w:val="00CC57B0"/>
    <w:rsid w:val="00CC6BBC"/>
    <w:rsid w:val="00CC778F"/>
    <w:rsid w:val="00CD56D1"/>
    <w:rsid w:val="00CD584F"/>
    <w:rsid w:val="00CF122E"/>
    <w:rsid w:val="00CF561D"/>
    <w:rsid w:val="00CF723B"/>
    <w:rsid w:val="00D0344A"/>
    <w:rsid w:val="00D05C6B"/>
    <w:rsid w:val="00D24C41"/>
    <w:rsid w:val="00D25050"/>
    <w:rsid w:val="00D46EAD"/>
    <w:rsid w:val="00D50F32"/>
    <w:rsid w:val="00D71BB9"/>
    <w:rsid w:val="00D72874"/>
    <w:rsid w:val="00D834DC"/>
    <w:rsid w:val="00D90E77"/>
    <w:rsid w:val="00DA62CE"/>
    <w:rsid w:val="00DA6F40"/>
    <w:rsid w:val="00DB6B46"/>
    <w:rsid w:val="00DC7143"/>
    <w:rsid w:val="00DF169C"/>
    <w:rsid w:val="00DF190B"/>
    <w:rsid w:val="00E0537E"/>
    <w:rsid w:val="00E26386"/>
    <w:rsid w:val="00E31911"/>
    <w:rsid w:val="00E326D5"/>
    <w:rsid w:val="00E57737"/>
    <w:rsid w:val="00E661F9"/>
    <w:rsid w:val="00E75599"/>
    <w:rsid w:val="00E969BE"/>
    <w:rsid w:val="00EA3F70"/>
    <w:rsid w:val="00EB28B4"/>
    <w:rsid w:val="00ED0FE0"/>
    <w:rsid w:val="00F04EEE"/>
    <w:rsid w:val="00F112C0"/>
    <w:rsid w:val="00F1475B"/>
    <w:rsid w:val="00F23370"/>
    <w:rsid w:val="00F348A6"/>
    <w:rsid w:val="00F57398"/>
    <w:rsid w:val="00F66680"/>
    <w:rsid w:val="00F7765D"/>
    <w:rsid w:val="00FF7DA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75984"/>
  <w15:chartTrackingRefBased/>
  <w15:docId w15:val="{0F731E31-9764-4894-A81A-30D27527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3AC"/>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0113AC"/>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0113AC"/>
    <w:rPr>
      <w:sz w:val="20"/>
      <w:szCs w:val="20"/>
    </w:rPr>
  </w:style>
  <w:style w:type="paragraph" w:styleId="Piedepgina">
    <w:name w:val="footer"/>
    <w:basedOn w:val="Normal"/>
    <w:link w:val="PiedepginaCar"/>
    <w:uiPriority w:val="99"/>
    <w:unhideWhenUsed/>
    <w:rsid w:val="000113AC"/>
    <w:pPr>
      <w:tabs>
        <w:tab w:val="center" w:pos="4252"/>
        <w:tab w:val="right" w:pos="8504"/>
      </w:tabs>
    </w:pPr>
  </w:style>
  <w:style w:type="character" w:customStyle="1" w:styleId="PiedepginaCar">
    <w:name w:val="Pie de página Car"/>
    <w:basedOn w:val="Fuentedeprrafopredeter"/>
    <w:link w:val="Piedepgina"/>
    <w:uiPriority w:val="99"/>
    <w:rsid w:val="000113AC"/>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0113AC"/>
    <w:pPr>
      <w:tabs>
        <w:tab w:val="center" w:pos="4419"/>
        <w:tab w:val="right" w:pos="8838"/>
      </w:tabs>
    </w:pPr>
  </w:style>
  <w:style w:type="character" w:customStyle="1" w:styleId="EncabezadoCar">
    <w:name w:val="Encabezado Car"/>
    <w:basedOn w:val="Fuentedeprrafopredeter"/>
    <w:link w:val="Encabezado"/>
    <w:uiPriority w:val="99"/>
    <w:rsid w:val="000113AC"/>
    <w:rPr>
      <w:rFonts w:ascii="Times New Roman" w:eastAsia="Times New Roman" w:hAnsi="Times New Roman" w:cs="Times New Roman"/>
      <w:sz w:val="24"/>
      <w:szCs w:val="24"/>
      <w:lang w:eastAsia="es-ES_tradnl"/>
    </w:rPr>
  </w:style>
  <w:style w:type="paragraph" w:customStyle="1" w:styleId="Default">
    <w:name w:val="Default"/>
    <w:rsid w:val="000113AC"/>
    <w:pPr>
      <w:autoSpaceDE w:val="0"/>
      <w:autoSpaceDN w:val="0"/>
      <w:adjustRightInd w:val="0"/>
      <w:spacing w:after="0" w:line="240" w:lineRule="auto"/>
    </w:pPr>
    <w:rPr>
      <w:rFonts w:ascii="Palatino Linotype" w:hAnsi="Palatino Linotype" w:cs="Palatino Linotype"/>
      <w:color w:val="000000"/>
      <w:sz w:val="24"/>
      <w:szCs w:val="24"/>
      <w:lang w:val="es-ES"/>
    </w:rPr>
  </w:style>
  <w:style w:type="paragraph" w:styleId="Textodeglobo">
    <w:name w:val="Balloon Text"/>
    <w:basedOn w:val="Normal"/>
    <w:link w:val="TextodegloboCar"/>
    <w:uiPriority w:val="99"/>
    <w:semiHidden/>
    <w:unhideWhenUsed/>
    <w:rsid w:val="009906BE"/>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6BE"/>
    <w:rPr>
      <w:rFonts w:ascii="Tahoma" w:eastAsia="Times New Roman" w:hAnsi="Tahoma" w:cs="Tahoma"/>
      <w:sz w:val="16"/>
      <w:szCs w:val="16"/>
      <w:lang w:eastAsia="es-ES_tradnl"/>
    </w:rPr>
  </w:style>
  <w:style w:type="table" w:styleId="Tablaconcuadrcula">
    <w:name w:val="Table Grid"/>
    <w:basedOn w:val="Tablanormal"/>
    <w:uiPriority w:val="59"/>
    <w:rsid w:val="00AF1FF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0344A"/>
    <w:pPr>
      <w:ind w:left="720"/>
      <w:contextualSpacing/>
    </w:pPr>
    <w:rPr>
      <w:lang w:val="es-ES" w:eastAsia="es-ES"/>
    </w:rPr>
  </w:style>
  <w:style w:type="character" w:customStyle="1" w:styleId="markedcontent">
    <w:name w:val="markedcontent"/>
    <w:basedOn w:val="Fuentedeprrafopredeter"/>
    <w:rsid w:val="00563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8</Pages>
  <Words>2647</Words>
  <Characters>14164</Characters>
  <Application>Microsoft Office Word</Application>
  <DocSecurity>0</DocSecurity>
  <Lines>314</Lines>
  <Paragraphs>82</Paragraphs>
  <ScaleCrop>false</ScaleCrop>
  <Company>HP Inc.</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Marisela Caleno</dc:creator>
  <cp:keywords/>
  <dc:description/>
  <cp:lastModifiedBy>Marisela Caleno</cp:lastModifiedBy>
  <cp:revision>439</cp:revision>
  <dcterms:created xsi:type="dcterms:W3CDTF">2022-08-17T20:37:00Z</dcterms:created>
  <dcterms:modified xsi:type="dcterms:W3CDTF">2022-10-12T20:50:00Z</dcterms:modified>
</cp:coreProperties>
</file>