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AC" w:rsidRPr="00DA6F40"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DA6F40">
        <w:rPr>
          <w:rFonts w:ascii="Palatino Linotype" w:eastAsiaTheme="minorHAnsi" w:hAnsi="Palatino Linotype"/>
          <w:b/>
          <w:sz w:val="22"/>
          <w:szCs w:val="22"/>
          <w:lang w:eastAsia="en-US"/>
        </w:rPr>
        <w:t>EL CONCEJO METROPOLITANO DE QUITO</w:t>
      </w:r>
    </w:p>
    <w:p w:rsidR="000113AC" w:rsidRPr="00DA6F40"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p>
    <w:p w:rsidR="000113AC" w:rsidRPr="00DA6F40"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DA6F40">
        <w:rPr>
          <w:rFonts w:ascii="Palatino Linotype" w:eastAsiaTheme="minorHAnsi" w:hAnsi="Palatino Linotype"/>
          <w:b/>
          <w:sz w:val="22"/>
          <w:szCs w:val="22"/>
          <w:lang w:eastAsia="en-US"/>
        </w:rPr>
        <w:t>CONSIDERANDO:</w:t>
      </w:r>
    </w:p>
    <w:p w:rsidR="000113AC" w:rsidRPr="00DA6F40" w:rsidRDefault="000113AC" w:rsidP="000113AC">
      <w:pPr>
        <w:autoSpaceDE w:val="0"/>
        <w:autoSpaceDN w:val="0"/>
        <w:adjustRightInd w:val="0"/>
        <w:ind w:left="705" w:hanging="705"/>
        <w:jc w:val="both"/>
        <w:rPr>
          <w:rFonts w:ascii="Palatino Linotype" w:eastAsiaTheme="minorHAnsi" w:hAnsi="Palatino Linotype"/>
          <w:i/>
          <w:iCs/>
          <w:sz w:val="22"/>
          <w:szCs w:val="22"/>
          <w:lang w:eastAsia="en-US"/>
        </w:rPr>
      </w:pPr>
      <w:r w:rsidRPr="00DA6F40">
        <w:rPr>
          <w:rFonts w:ascii="Palatino Linotype" w:eastAsiaTheme="minorHAnsi" w:hAnsi="Palatino Linotype"/>
          <w:b/>
          <w:bCs/>
          <w:sz w:val="22"/>
          <w:szCs w:val="22"/>
          <w:lang w:eastAsia="en-US"/>
        </w:rPr>
        <w:t>Que</w:t>
      </w:r>
      <w:r w:rsidRPr="00DA6F40">
        <w:rPr>
          <w:rFonts w:ascii="Palatino Linotype" w:eastAsiaTheme="minorHAnsi" w:hAnsi="Palatino Linotype"/>
          <w:sz w:val="22"/>
          <w:szCs w:val="22"/>
          <w:lang w:eastAsia="en-US"/>
        </w:rPr>
        <w:t xml:space="preserve">, </w:t>
      </w:r>
      <w:r w:rsidRPr="00DA6F40">
        <w:rPr>
          <w:rFonts w:ascii="Palatino Linotype" w:eastAsiaTheme="minorHAnsi" w:hAnsi="Palatino Linotype"/>
          <w:sz w:val="22"/>
          <w:szCs w:val="22"/>
          <w:lang w:eastAsia="en-US"/>
        </w:rPr>
        <w:tab/>
        <w:t xml:space="preserve"> el artículo 240 de la Constitución de República del Ecuador, en adelante Constitución, establece: “</w:t>
      </w:r>
      <w:r w:rsidRPr="00DA6F40">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w:t>
      </w:r>
      <w:r w:rsidRPr="00DA6F40">
        <w:rPr>
          <w:rFonts w:ascii="Palatino Linotype" w:eastAsiaTheme="minorHAnsi" w:hAnsi="Palatino Linotype"/>
          <w:sz w:val="22"/>
          <w:szCs w:val="22"/>
          <w:lang w:eastAsia="en-US"/>
        </w:rPr>
        <w:tab/>
        <w:t xml:space="preserve">la Constitución de la República del Ecuador en su artículo 266, determina: </w:t>
      </w:r>
      <w:r w:rsidRPr="00DA6F40">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DA6F40">
        <w:rPr>
          <w:rFonts w:ascii="Palatino Linotype" w:eastAsiaTheme="minorHAnsi" w:hAnsi="Palatino Linotype"/>
          <w:sz w:val="22"/>
          <w:szCs w:val="22"/>
          <w:lang w:eastAsia="en-US"/>
        </w:rPr>
        <w:t>;</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ind w:left="709" w:hanging="709"/>
        <w:jc w:val="both"/>
        <w:rPr>
          <w:rFonts w:ascii="Palatino Linotype" w:eastAsiaTheme="minorHAnsi" w:hAnsi="Palatino Linotype"/>
          <w:i/>
          <w:sz w:val="22"/>
          <w:szCs w:val="22"/>
          <w:lang w:eastAsia="en-US"/>
        </w:rPr>
      </w:pPr>
      <w:r w:rsidRPr="00DA6F40">
        <w:rPr>
          <w:rFonts w:ascii="Palatino Linotype" w:eastAsiaTheme="minorHAnsi" w:hAnsi="Palatino Linotype"/>
          <w:b/>
          <w:bCs/>
          <w:sz w:val="22"/>
          <w:szCs w:val="22"/>
          <w:lang w:eastAsia="en-US"/>
        </w:rPr>
        <w:t>Que,</w:t>
      </w:r>
      <w:r w:rsidRPr="00DA6F40">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DA6F40">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w:t>
      </w:r>
      <w:r w:rsidRPr="00DA6F40">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w:t>
      </w:r>
      <w:r w:rsidRPr="00DA6F40">
        <w:rPr>
          <w:rFonts w:ascii="Palatino Linotype" w:eastAsiaTheme="minorHAnsi" w:hAnsi="Palatino Linotype"/>
          <w:sz w:val="22"/>
          <w:szCs w:val="22"/>
          <w:lang w:eastAsia="en-US"/>
        </w:rPr>
        <w:tab/>
        <w:t xml:space="preserve">conforme establece el artículo 87, literal v) del COOTAD, al Concejo Metropolitano le corresponde: </w:t>
      </w:r>
      <w:r w:rsidRPr="00DA6F40">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DA6F40">
        <w:rPr>
          <w:rFonts w:ascii="Palatino Linotype" w:eastAsiaTheme="minorHAnsi" w:hAnsi="Palatino Linotype"/>
          <w:sz w:val="22"/>
          <w:szCs w:val="22"/>
          <w:lang w:eastAsia="en-US"/>
        </w:rPr>
        <w:t xml:space="preserve">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ind w:left="709" w:hanging="709"/>
        <w:jc w:val="both"/>
        <w:rPr>
          <w:rFonts w:ascii="Palatino Linotype" w:eastAsiaTheme="minorHAnsi" w:hAnsi="Palatino Linotype"/>
          <w:i/>
          <w:iCs/>
          <w:sz w:val="22"/>
          <w:szCs w:val="22"/>
          <w:lang w:eastAsia="en-US"/>
        </w:rPr>
      </w:pPr>
      <w:r w:rsidRPr="00DA6F40">
        <w:rPr>
          <w:rFonts w:ascii="Palatino Linotype" w:eastAsiaTheme="minorHAnsi" w:hAnsi="Palatino Linotype"/>
          <w:sz w:val="22"/>
          <w:szCs w:val="22"/>
          <w:lang w:eastAsia="en-US"/>
        </w:rPr>
        <w:t xml:space="preserve">Que, </w:t>
      </w:r>
      <w:r w:rsidRPr="00DA6F40">
        <w:rPr>
          <w:rFonts w:ascii="Palatino Linotype" w:eastAsiaTheme="minorHAnsi" w:hAnsi="Palatino Linotype"/>
          <w:sz w:val="22"/>
          <w:szCs w:val="22"/>
          <w:lang w:eastAsia="en-US"/>
        </w:rPr>
        <w:tab/>
        <w:t>el artículo 323 del COOTAD establece: “</w:t>
      </w:r>
      <w:r w:rsidRPr="00DA6F40">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aprobados </w:t>
      </w:r>
      <w:r w:rsidRPr="00DA6F40">
        <w:rPr>
          <w:rFonts w:ascii="Palatino Linotype" w:eastAsiaTheme="minorHAnsi" w:hAnsi="Palatino Linotype"/>
          <w:i/>
          <w:iCs/>
          <w:sz w:val="22"/>
          <w:szCs w:val="22"/>
          <w:lang w:eastAsia="en-US"/>
        </w:rPr>
        <w:lastRenderedPageBreak/>
        <w:t>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el artículo 424 del COOTAD señala: </w:t>
      </w:r>
      <w:r w:rsidRPr="00DA6F40">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el artículo 472 del COOTAD señala que: </w:t>
      </w:r>
      <w:r w:rsidRPr="00DA6F40">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DA6F40">
        <w:rPr>
          <w:rFonts w:ascii="Palatino Linotype" w:eastAsiaTheme="minorHAnsi" w:hAnsi="Palatino Linotype"/>
          <w:sz w:val="22"/>
          <w:szCs w:val="22"/>
          <w:lang w:eastAsia="en-US"/>
        </w:rPr>
        <w:t>;</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el artículo 2410 del el Código Civil Ecuatoriano determina que: </w:t>
      </w:r>
      <w:r w:rsidRPr="00DA6F40">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jc w:val="both"/>
        <w:rPr>
          <w:rFonts w:ascii="Palatino Linotype" w:hAnsi="Palatino Linotype"/>
          <w:sz w:val="22"/>
          <w:szCs w:val="22"/>
        </w:rPr>
      </w:pPr>
    </w:p>
    <w:p w:rsidR="000113AC" w:rsidRPr="00DA6F40"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sz w:val="22"/>
          <w:szCs w:val="22"/>
          <w:lang w:eastAsia="en-US"/>
        </w:rPr>
        <w:lastRenderedPageBreak/>
        <w:t>Que,</w:t>
      </w:r>
      <w:r w:rsidRPr="00DA6F40">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DA6F40">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DA6F40">
        <w:rPr>
          <w:rFonts w:ascii="Palatino Linotype" w:eastAsiaTheme="minorHAnsi" w:hAnsi="Palatino Linotype"/>
          <w:sz w:val="22"/>
          <w:szCs w:val="22"/>
          <w:lang w:eastAsia="en-US"/>
        </w:rPr>
        <w:t>;</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hAnsi="Palatino Linotype"/>
          <w:sz w:val="22"/>
          <w:szCs w:val="22"/>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w:t>
      </w:r>
      <w:r w:rsidRPr="00DA6F40">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DA6F40">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DA6F40">
        <w:rPr>
          <w:rFonts w:ascii="Palatino Linotype" w:hAnsi="Palatino Linotype"/>
          <w:i/>
          <w:sz w:val="22"/>
          <w:szCs w:val="22"/>
        </w:rPr>
        <w:t>”</w:t>
      </w:r>
      <w:r w:rsidRPr="00DA6F40">
        <w:rPr>
          <w:rFonts w:ascii="Palatino Linotype" w:hAnsi="Palatino Linotype"/>
          <w:sz w:val="22"/>
          <w:szCs w:val="22"/>
        </w:rPr>
        <w:t xml:space="preserve">; </w:t>
      </w:r>
    </w:p>
    <w:p w:rsidR="000113AC" w:rsidRPr="00DA6F40" w:rsidRDefault="000113AC" w:rsidP="000113AC">
      <w:pPr>
        <w:autoSpaceDE w:val="0"/>
        <w:autoSpaceDN w:val="0"/>
        <w:adjustRightInd w:val="0"/>
        <w:spacing w:line="276" w:lineRule="auto"/>
        <w:ind w:left="709" w:hanging="709"/>
        <w:jc w:val="both"/>
        <w:rPr>
          <w:rFonts w:ascii="Palatino Linotype" w:hAnsi="Palatino Linotype"/>
          <w:sz w:val="22"/>
          <w:szCs w:val="22"/>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w:t>
      </w:r>
      <w:r w:rsidRPr="00DA6F40">
        <w:rPr>
          <w:rFonts w:ascii="Palatino Linotype" w:eastAsiaTheme="minorHAnsi" w:hAnsi="Palatino Linotype"/>
          <w:sz w:val="22"/>
          <w:szCs w:val="22"/>
          <w:lang w:eastAsia="en-US"/>
        </w:rPr>
        <w:tab/>
        <w:t xml:space="preserve">el Código Municipal en su artículo 2171, establece: </w:t>
      </w:r>
      <w:r w:rsidRPr="00DA6F40">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967D02" w:rsidRPr="008D5F03" w:rsidRDefault="000113AC" w:rsidP="00967D02">
      <w:pPr>
        <w:autoSpaceDE w:val="0"/>
        <w:autoSpaceDN w:val="0"/>
        <w:adjustRightInd w:val="0"/>
        <w:ind w:left="708" w:hanging="708"/>
        <w:jc w:val="both"/>
        <w:rPr>
          <w:rFonts w:ascii="Palatino Linotype" w:hAnsi="Palatino Linotype"/>
          <w:i/>
          <w:sz w:val="22"/>
          <w:szCs w:val="22"/>
        </w:rPr>
      </w:pPr>
      <w:r w:rsidRPr="00DA6F40">
        <w:rPr>
          <w:rFonts w:ascii="Palatino Linotype" w:eastAsiaTheme="minorHAnsi" w:hAnsi="Palatino Linotype"/>
          <w:b/>
          <w:sz w:val="22"/>
          <w:szCs w:val="22"/>
          <w:lang w:eastAsia="en-US"/>
        </w:rPr>
        <w:t>Que,</w:t>
      </w:r>
      <w:r w:rsidR="004E4064" w:rsidRPr="00DA6F40">
        <w:rPr>
          <w:rFonts w:ascii="Palatino Linotype" w:eastAsiaTheme="minorHAnsi" w:hAnsi="Palatino Linotype"/>
          <w:sz w:val="22"/>
          <w:szCs w:val="22"/>
          <w:lang w:eastAsia="en-US"/>
        </w:rPr>
        <w:t xml:space="preserve"> </w:t>
      </w:r>
      <w:r w:rsidR="00967D02">
        <w:rPr>
          <w:rFonts w:ascii="Palatino Linotype" w:hAnsi="Palatino Linotype"/>
          <w:sz w:val="22"/>
          <w:szCs w:val="22"/>
        </w:rPr>
        <w:t>d</w:t>
      </w:r>
      <w:r w:rsidR="00967D02" w:rsidRPr="008D5F03">
        <w:rPr>
          <w:rFonts w:ascii="Palatino Linotype" w:hAnsi="Palatino Linotype"/>
          <w:sz w:val="22"/>
          <w:szCs w:val="22"/>
        </w:rPr>
        <w:t xml:space="preserve">e conformidad al Proceso de Juicio No. 17230-2011-0017 de 01 de diciembre de 2017 a las 14h18, de la Unidad Judicial Civil con sede en la Parroquia de Iñaquito del Distrito Metropolitano de Quito, suscrito por el Juez Salazar Vasco Gustavo Javier a favor de Lomas Ayala Marco Marcelo, en su parte pertinente señala: </w:t>
      </w:r>
      <w:r w:rsidR="00967D02" w:rsidRPr="008D5F03">
        <w:rPr>
          <w:rFonts w:ascii="Palatino Linotype" w:hAnsi="Palatino Linotype"/>
          <w:i/>
          <w:sz w:val="22"/>
          <w:szCs w:val="22"/>
        </w:rPr>
        <w:t xml:space="preserve">¨(…) se acepta la demanda y se declara la Prescripción Adquisitiva Extraordinaria de Dominio a favor del señor Marco Marcelino Lomas Ayala, respecto del lote de terreno que forma parte de uno de mayor extensión, adquirido por adjudicación del IERAC, en el barrio Jardines del Norte, parroquia de Pomasqui de este Distrito Metropolitano de Quito, Provincia de Pichincha, con una superficie de 210 metros cuadrados”. </w:t>
      </w:r>
    </w:p>
    <w:p w:rsidR="003144EF" w:rsidRPr="00DA6F40" w:rsidRDefault="003144EF" w:rsidP="001A6EE6">
      <w:pPr>
        <w:autoSpaceDE w:val="0"/>
        <w:autoSpaceDN w:val="0"/>
        <w:adjustRightInd w:val="0"/>
        <w:jc w:val="both"/>
        <w:rPr>
          <w:rFonts w:ascii="Palatino Linotype" w:hAnsi="Palatino Linotype"/>
          <w:color w:val="000000" w:themeColor="text1"/>
          <w:sz w:val="22"/>
          <w:szCs w:val="22"/>
          <w:lang w:val="es-ES"/>
        </w:rPr>
      </w:pPr>
    </w:p>
    <w:p w:rsidR="003144EF" w:rsidRPr="00DA6F40" w:rsidRDefault="003144EF" w:rsidP="003144EF">
      <w:pPr>
        <w:autoSpaceDE w:val="0"/>
        <w:autoSpaceDN w:val="0"/>
        <w:adjustRightInd w:val="0"/>
        <w:ind w:left="708" w:hanging="708"/>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mediante oficio Nro.</w:t>
      </w:r>
      <w:r w:rsidRPr="00DA6F40">
        <w:rPr>
          <w:rFonts w:ascii="Palatino Linotype" w:hAnsi="Palatino Linotype"/>
          <w:sz w:val="22"/>
          <w:szCs w:val="22"/>
        </w:rPr>
        <w:t xml:space="preserve"> 2950-2010 de 31 de octubre de 2011</w:t>
      </w:r>
      <w:r w:rsidRPr="00DA6F40">
        <w:rPr>
          <w:rFonts w:ascii="Palatino Linotype" w:eastAsiaTheme="minorHAnsi" w:hAnsi="Palatino Linotype"/>
          <w:sz w:val="22"/>
          <w:szCs w:val="22"/>
          <w:lang w:eastAsia="en-US"/>
        </w:rPr>
        <w:t xml:space="preserve"> la Procuraduría Metropolitana emitió un </w:t>
      </w:r>
      <w:r w:rsidRPr="00DA6F40">
        <w:rPr>
          <w:rFonts w:ascii="Palatino Linotype" w:hAnsi="Palatino Linotype"/>
          <w:sz w:val="22"/>
          <w:szCs w:val="22"/>
        </w:rPr>
        <w:t xml:space="preserve">pronunciamiento en forma general, respecto al marco legal y operativo para todos los casos de </w:t>
      </w:r>
      <w:r w:rsidRPr="00DA6F40">
        <w:rPr>
          <w:rFonts w:ascii="Palatino Linotype" w:eastAsiaTheme="minorHAnsi" w:hAnsi="Palatino Linotype"/>
          <w:sz w:val="22"/>
          <w:szCs w:val="22"/>
          <w:lang w:eastAsia="en-US"/>
        </w:rPr>
        <w:t>prescripción extraordinaria adquisitiva de dominio;</w:t>
      </w:r>
    </w:p>
    <w:p w:rsidR="00372B0E" w:rsidRPr="00DA6F40" w:rsidRDefault="00372B0E" w:rsidP="00372B0E">
      <w:pPr>
        <w:autoSpaceDE w:val="0"/>
        <w:autoSpaceDN w:val="0"/>
        <w:adjustRightInd w:val="0"/>
        <w:spacing w:line="276" w:lineRule="auto"/>
        <w:ind w:left="708" w:hanging="708"/>
        <w:jc w:val="both"/>
        <w:rPr>
          <w:rFonts w:ascii="Palatino Linotype" w:hAnsi="Palatino Linotype"/>
          <w:i/>
          <w:sz w:val="22"/>
          <w:szCs w:val="22"/>
        </w:rPr>
      </w:pPr>
    </w:p>
    <w:p w:rsidR="00BE06CC" w:rsidRPr="008D5F03" w:rsidRDefault="00D24C41" w:rsidP="00BE06CC">
      <w:pPr>
        <w:tabs>
          <w:tab w:val="left" w:pos="1080"/>
        </w:tabs>
        <w:jc w:val="both"/>
        <w:rPr>
          <w:rFonts w:ascii="Palatino Linotype" w:hAnsi="Palatino Linotype"/>
          <w:sz w:val="22"/>
          <w:szCs w:val="22"/>
        </w:rPr>
      </w:pPr>
      <w:r w:rsidRPr="00DA6F40">
        <w:rPr>
          <w:rFonts w:ascii="Palatino Linotype" w:hAnsi="Palatino Linotype"/>
          <w:b/>
          <w:sz w:val="22"/>
          <w:szCs w:val="22"/>
        </w:rPr>
        <w:lastRenderedPageBreak/>
        <w:t xml:space="preserve">Que, </w:t>
      </w:r>
      <w:r w:rsidR="00BE06CC">
        <w:rPr>
          <w:rFonts w:ascii="Palatino Linotype" w:hAnsi="Palatino Linotype"/>
          <w:sz w:val="22"/>
          <w:szCs w:val="22"/>
        </w:rPr>
        <w:t>m</w:t>
      </w:r>
      <w:r w:rsidR="00BE06CC" w:rsidRPr="008D5F03">
        <w:rPr>
          <w:rFonts w:ascii="Palatino Linotype" w:hAnsi="Palatino Linotype"/>
          <w:sz w:val="22"/>
          <w:szCs w:val="22"/>
        </w:rPr>
        <w:t>ediante memorando Nro. GADDMQ-STHV-DMC-UGT-AZC-2021-0142-M de 14 de septiembre de 2021, la Ing. Nancy Maribel Calapaqui Chiliquinga, Responsable de la Unidad Catastro Administración Zonal Calderón, señala:</w:t>
      </w:r>
    </w:p>
    <w:p w:rsidR="00BE06CC" w:rsidRPr="008D5F03" w:rsidRDefault="00BE06CC" w:rsidP="00BE06CC">
      <w:pPr>
        <w:tabs>
          <w:tab w:val="left" w:pos="1080"/>
        </w:tabs>
        <w:jc w:val="both"/>
        <w:rPr>
          <w:rFonts w:ascii="Palatino Linotype" w:hAnsi="Palatino Linotype"/>
          <w:i/>
          <w:sz w:val="22"/>
          <w:szCs w:val="22"/>
        </w:rPr>
      </w:pPr>
    </w:p>
    <w:p w:rsidR="00BE06CC" w:rsidRPr="008D5F03" w:rsidRDefault="00A3193F" w:rsidP="00BE06CC">
      <w:pPr>
        <w:tabs>
          <w:tab w:val="left" w:pos="1080"/>
        </w:tabs>
        <w:ind w:left="708"/>
        <w:jc w:val="both"/>
        <w:rPr>
          <w:rFonts w:ascii="Palatino Linotype" w:hAnsi="Palatino Linotype"/>
          <w:i/>
          <w:sz w:val="22"/>
          <w:szCs w:val="22"/>
        </w:rPr>
      </w:pPr>
      <w:r>
        <w:rPr>
          <w:rFonts w:ascii="Palatino Linotype" w:hAnsi="Palatino Linotype"/>
          <w:i/>
          <w:sz w:val="22"/>
          <w:szCs w:val="22"/>
        </w:rPr>
        <w:t>“De</w:t>
      </w:r>
      <w:r w:rsidR="00BE06CC" w:rsidRPr="008D5F03">
        <w:rPr>
          <w:rFonts w:ascii="Palatino Linotype" w:hAnsi="Palatino Linotype"/>
          <w:i/>
          <w:sz w:val="22"/>
          <w:szCs w:val="22"/>
        </w:rPr>
        <w:t xml:space="preserve"> la  base  legal  expuesta,  me  permito  informar  que,  es  competencia  de  la  Dirección Metropolitana  de  Catastro  ingresar  al  sistema  de  Catastro  las  sentencias  de  Prescripción Adquisitiva  de  Dominio  y  generar  número  de  predio,  una  vez  ingresado  al  Sistema  de Licencias    Metropolitanas    SLUM,    más    no    la    de    generar    valor    alguno    sobrecompensaciones monetarias por la contribución del 15% del área útil prescrita. </w:t>
      </w:r>
    </w:p>
    <w:p w:rsidR="00BE06CC" w:rsidRPr="008D5F03" w:rsidRDefault="00BE06CC" w:rsidP="00BE06CC">
      <w:pPr>
        <w:tabs>
          <w:tab w:val="left" w:pos="1080"/>
        </w:tabs>
        <w:ind w:left="708"/>
        <w:jc w:val="both"/>
        <w:rPr>
          <w:rFonts w:ascii="Palatino Linotype" w:hAnsi="Palatino Linotype"/>
          <w:i/>
          <w:sz w:val="22"/>
          <w:szCs w:val="22"/>
        </w:rPr>
      </w:pPr>
    </w:p>
    <w:p w:rsidR="00BE06CC" w:rsidRPr="008D5F03" w:rsidRDefault="00A3193F" w:rsidP="00BE06CC">
      <w:pPr>
        <w:tabs>
          <w:tab w:val="left" w:pos="1080"/>
        </w:tabs>
        <w:ind w:left="708"/>
        <w:jc w:val="both"/>
        <w:rPr>
          <w:rFonts w:ascii="Palatino Linotype" w:hAnsi="Palatino Linotype"/>
          <w:i/>
          <w:sz w:val="22"/>
          <w:szCs w:val="22"/>
        </w:rPr>
      </w:pPr>
      <w:r>
        <w:rPr>
          <w:rFonts w:ascii="Palatino Linotype" w:hAnsi="Palatino Linotype"/>
          <w:i/>
          <w:sz w:val="22"/>
          <w:szCs w:val="22"/>
        </w:rPr>
        <w:t>Por</w:t>
      </w:r>
      <w:r w:rsidR="00F112C0">
        <w:rPr>
          <w:rFonts w:ascii="Palatino Linotype" w:hAnsi="Palatino Linotype"/>
          <w:i/>
          <w:sz w:val="22"/>
          <w:szCs w:val="22"/>
        </w:rPr>
        <w:t xml:space="preserve"> tanto,</w:t>
      </w:r>
      <w:r w:rsidR="00BE06CC" w:rsidRPr="008D5F03">
        <w:rPr>
          <w:rFonts w:ascii="Palatino Linotype" w:hAnsi="Palatino Linotype"/>
          <w:i/>
          <w:sz w:val="22"/>
          <w:szCs w:val="22"/>
        </w:rPr>
        <w:t xml:space="preserve"> revisado  el  sistema  de  registro  catastral  SIREC-Q  a  la  presente  fecha,  el inmueble  identificado  con  Predio  390030,  Clave  Catastral  1381404022,  ubicado  en  la parroquia  Calderón  y  catastrado  a  nombre  de  GONZALEZ  QUISILEMA  MANUEL MARIA HRDS Ci. 1701478479, registra los siguientes datos técnicos:</w:t>
      </w:r>
    </w:p>
    <w:p w:rsidR="00BE06CC" w:rsidRPr="008D5F03" w:rsidRDefault="00BE06CC" w:rsidP="00BE06CC">
      <w:pPr>
        <w:tabs>
          <w:tab w:val="left" w:pos="1080"/>
        </w:tabs>
        <w:ind w:left="708"/>
        <w:jc w:val="both"/>
        <w:rPr>
          <w:rFonts w:ascii="Palatino Linotype" w:hAnsi="Palatino Linotype"/>
          <w:b/>
          <w:sz w:val="22"/>
          <w:szCs w:val="22"/>
        </w:rPr>
      </w:pPr>
    </w:p>
    <w:tbl>
      <w:tblPr>
        <w:tblW w:w="82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5"/>
        <w:gridCol w:w="1511"/>
        <w:gridCol w:w="2022"/>
        <w:gridCol w:w="3000"/>
      </w:tblGrid>
      <w:tr w:rsidR="00BE06CC" w:rsidRPr="008D5F03" w:rsidTr="003B6356">
        <w:trPr>
          <w:trHeight w:val="301"/>
        </w:trPr>
        <w:tc>
          <w:tcPr>
            <w:tcW w:w="1584" w:type="dxa"/>
          </w:tcPr>
          <w:p w:rsidR="00BE06CC" w:rsidRPr="003B6356" w:rsidRDefault="00BE06CC" w:rsidP="004B58FE">
            <w:pPr>
              <w:tabs>
                <w:tab w:val="left" w:pos="1080"/>
              </w:tabs>
              <w:ind w:left="133"/>
              <w:jc w:val="both"/>
              <w:rPr>
                <w:rFonts w:ascii="Palatino Linotype" w:hAnsi="Palatino Linotype"/>
                <w:b/>
                <w:i/>
                <w:sz w:val="20"/>
                <w:szCs w:val="20"/>
                <w:shd w:val="clear" w:color="auto" w:fill="FAF9F8"/>
              </w:rPr>
            </w:pPr>
            <w:r w:rsidRPr="003B6356">
              <w:rPr>
                <w:rFonts w:ascii="Palatino Linotype" w:hAnsi="Palatino Linotype"/>
                <w:b/>
                <w:i/>
                <w:sz w:val="20"/>
                <w:szCs w:val="20"/>
                <w:shd w:val="clear" w:color="auto" w:fill="FAF9F8"/>
              </w:rPr>
              <w:t>AIVA</w:t>
            </w:r>
          </w:p>
        </w:tc>
        <w:tc>
          <w:tcPr>
            <w:tcW w:w="1532" w:type="dxa"/>
          </w:tcPr>
          <w:p w:rsidR="00BE06CC" w:rsidRPr="003B6356" w:rsidRDefault="00BE06CC" w:rsidP="004B58FE">
            <w:pPr>
              <w:tabs>
                <w:tab w:val="left" w:pos="1080"/>
              </w:tabs>
              <w:ind w:left="337"/>
              <w:jc w:val="both"/>
              <w:rPr>
                <w:rFonts w:ascii="Palatino Linotype" w:hAnsi="Palatino Linotype"/>
                <w:b/>
                <w:i/>
                <w:sz w:val="20"/>
                <w:szCs w:val="20"/>
                <w:shd w:val="clear" w:color="auto" w:fill="FAF9F8"/>
              </w:rPr>
            </w:pPr>
            <w:r w:rsidRPr="003B6356">
              <w:rPr>
                <w:rFonts w:ascii="Palatino Linotype" w:hAnsi="Palatino Linotype"/>
                <w:b/>
                <w:i/>
                <w:sz w:val="20"/>
                <w:szCs w:val="20"/>
                <w:shd w:val="clear" w:color="auto" w:fill="FAF9F8"/>
              </w:rPr>
              <w:t>AREA</w:t>
            </w:r>
          </w:p>
        </w:tc>
        <w:tc>
          <w:tcPr>
            <w:tcW w:w="2041" w:type="dxa"/>
          </w:tcPr>
          <w:p w:rsidR="00BE06CC" w:rsidRPr="003B6356" w:rsidRDefault="00BE06CC" w:rsidP="004B58FE">
            <w:pPr>
              <w:tabs>
                <w:tab w:val="left" w:pos="1080"/>
              </w:tabs>
              <w:ind w:left="445"/>
              <w:jc w:val="both"/>
              <w:rPr>
                <w:rFonts w:ascii="Palatino Linotype" w:hAnsi="Palatino Linotype"/>
                <w:b/>
                <w:i/>
                <w:sz w:val="20"/>
                <w:szCs w:val="20"/>
                <w:shd w:val="clear" w:color="auto" w:fill="FAF9F8"/>
              </w:rPr>
            </w:pPr>
            <w:r w:rsidRPr="003B6356">
              <w:rPr>
                <w:rFonts w:ascii="Palatino Linotype" w:hAnsi="Palatino Linotype"/>
                <w:b/>
                <w:i/>
                <w:sz w:val="20"/>
                <w:szCs w:val="20"/>
                <w:shd w:val="clear" w:color="auto" w:fill="FAF9F8"/>
              </w:rPr>
              <w:t>VALOR/m2</w:t>
            </w:r>
          </w:p>
        </w:tc>
        <w:tc>
          <w:tcPr>
            <w:tcW w:w="3081" w:type="dxa"/>
          </w:tcPr>
          <w:p w:rsidR="00BE06CC" w:rsidRPr="003B6356" w:rsidRDefault="00BE06CC" w:rsidP="004B58FE">
            <w:pPr>
              <w:tabs>
                <w:tab w:val="left" w:pos="1080"/>
              </w:tabs>
              <w:ind w:left="227"/>
              <w:jc w:val="both"/>
              <w:rPr>
                <w:rFonts w:ascii="Palatino Linotype" w:hAnsi="Palatino Linotype"/>
                <w:b/>
                <w:i/>
                <w:sz w:val="20"/>
                <w:szCs w:val="20"/>
                <w:shd w:val="clear" w:color="auto" w:fill="FAF9F8"/>
              </w:rPr>
            </w:pPr>
            <w:r w:rsidRPr="003B6356">
              <w:rPr>
                <w:rFonts w:ascii="Palatino Linotype" w:hAnsi="Palatino Linotype"/>
                <w:b/>
                <w:i/>
                <w:sz w:val="20"/>
                <w:szCs w:val="20"/>
                <w:shd w:val="clear" w:color="auto" w:fill="FAF9F8"/>
              </w:rPr>
              <w:t>Avalúo de terreno</w:t>
            </w:r>
          </w:p>
        </w:tc>
      </w:tr>
      <w:tr w:rsidR="00BE06CC" w:rsidRPr="008D5F03" w:rsidTr="003B6356">
        <w:trPr>
          <w:trHeight w:val="957"/>
        </w:trPr>
        <w:tc>
          <w:tcPr>
            <w:tcW w:w="1584" w:type="dxa"/>
          </w:tcPr>
          <w:p w:rsidR="00BE06CC" w:rsidRPr="003B6356" w:rsidRDefault="00BE06CC" w:rsidP="004B58FE">
            <w:pPr>
              <w:tabs>
                <w:tab w:val="left" w:pos="1080"/>
              </w:tabs>
              <w:ind w:left="133"/>
              <w:jc w:val="both"/>
              <w:rPr>
                <w:rFonts w:ascii="Palatino Linotype" w:hAnsi="Palatino Linotype"/>
                <w:i/>
                <w:sz w:val="20"/>
                <w:szCs w:val="20"/>
                <w:shd w:val="clear" w:color="auto" w:fill="FAF9F8"/>
              </w:rPr>
            </w:pPr>
            <w:r w:rsidRPr="003B6356">
              <w:rPr>
                <w:rFonts w:ascii="Palatino Linotype" w:hAnsi="Palatino Linotype"/>
                <w:i/>
                <w:sz w:val="20"/>
                <w:szCs w:val="20"/>
                <w:shd w:val="clear" w:color="auto" w:fill="FAF9F8"/>
              </w:rPr>
              <w:t>08010114</w:t>
            </w:r>
          </w:p>
          <w:p w:rsidR="00BE06CC" w:rsidRPr="003B6356" w:rsidRDefault="00BE06CC" w:rsidP="004B58FE">
            <w:pPr>
              <w:tabs>
                <w:tab w:val="left" w:pos="1080"/>
              </w:tabs>
              <w:ind w:left="133"/>
              <w:jc w:val="both"/>
              <w:rPr>
                <w:rFonts w:ascii="Palatino Linotype" w:hAnsi="Palatino Linotype"/>
                <w:i/>
                <w:sz w:val="20"/>
                <w:szCs w:val="20"/>
                <w:shd w:val="clear" w:color="auto" w:fill="FAF9F8"/>
              </w:rPr>
            </w:pPr>
            <w:r w:rsidRPr="003B6356">
              <w:rPr>
                <w:rFonts w:ascii="Palatino Linotype" w:hAnsi="Palatino Linotype"/>
                <w:i/>
                <w:sz w:val="20"/>
                <w:szCs w:val="20"/>
                <w:shd w:val="clear" w:color="auto" w:fill="FAF9F8"/>
              </w:rPr>
              <w:t xml:space="preserve">COOPERATIVA LUZ </w:t>
            </w:r>
          </w:p>
          <w:p w:rsidR="00BE06CC" w:rsidRPr="003B6356" w:rsidRDefault="00BE06CC" w:rsidP="004B58FE">
            <w:pPr>
              <w:tabs>
                <w:tab w:val="left" w:pos="1080"/>
              </w:tabs>
              <w:ind w:left="133"/>
              <w:jc w:val="both"/>
              <w:rPr>
                <w:rFonts w:ascii="Palatino Linotype" w:hAnsi="Palatino Linotype"/>
                <w:i/>
                <w:sz w:val="20"/>
                <w:szCs w:val="20"/>
                <w:shd w:val="clear" w:color="auto" w:fill="FAF9F8"/>
              </w:rPr>
            </w:pPr>
            <w:r w:rsidRPr="003B6356">
              <w:rPr>
                <w:rFonts w:ascii="Palatino Linotype" w:hAnsi="Palatino Linotype"/>
                <w:i/>
                <w:sz w:val="20"/>
                <w:szCs w:val="20"/>
                <w:shd w:val="clear" w:color="auto" w:fill="FAF9F8"/>
              </w:rPr>
              <w:t>Y VIDA - URBANO</w:t>
            </w:r>
          </w:p>
          <w:p w:rsidR="00BE06CC" w:rsidRPr="003B6356" w:rsidRDefault="00BE06CC" w:rsidP="004B58FE">
            <w:pPr>
              <w:tabs>
                <w:tab w:val="left" w:pos="1080"/>
              </w:tabs>
              <w:jc w:val="both"/>
              <w:rPr>
                <w:rFonts w:ascii="Palatino Linotype" w:hAnsi="Palatino Linotype"/>
                <w:i/>
                <w:sz w:val="20"/>
                <w:szCs w:val="20"/>
                <w:shd w:val="clear" w:color="auto" w:fill="FAF9F8"/>
              </w:rPr>
            </w:pPr>
          </w:p>
        </w:tc>
        <w:tc>
          <w:tcPr>
            <w:tcW w:w="1532" w:type="dxa"/>
          </w:tcPr>
          <w:p w:rsidR="00BE06CC" w:rsidRPr="003B6356" w:rsidRDefault="00BE06CC" w:rsidP="004B58FE">
            <w:pPr>
              <w:tabs>
                <w:tab w:val="left" w:pos="1080"/>
              </w:tabs>
              <w:jc w:val="both"/>
              <w:rPr>
                <w:rFonts w:ascii="Palatino Linotype" w:hAnsi="Palatino Linotype"/>
                <w:i/>
                <w:sz w:val="20"/>
                <w:szCs w:val="20"/>
                <w:shd w:val="clear" w:color="auto" w:fill="FAF9F8"/>
              </w:rPr>
            </w:pPr>
          </w:p>
          <w:p w:rsidR="00BE06CC" w:rsidRPr="003B6356" w:rsidRDefault="00BE06CC" w:rsidP="004B58FE">
            <w:pPr>
              <w:tabs>
                <w:tab w:val="left" w:pos="1080"/>
              </w:tabs>
              <w:jc w:val="both"/>
              <w:rPr>
                <w:rFonts w:ascii="Palatino Linotype" w:hAnsi="Palatino Linotype"/>
                <w:i/>
                <w:sz w:val="20"/>
                <w:szCs w:val="20"/>
                <w:shd w:val="clear" w:color="auto" w:fill="FAF9F8"/>
              </w:rPr>
            </w:pPr>
            <w:r w:rsidRPr="003B6356">
              <w:rPr>
                <w:rFonts w:ascii="Palatino Linotype" w:hAnsi="Palatino Linotype"/>
                <w:i/>
                <w:sz w:val="20"/>
                <w:szCs w:val="20"/>
                <w:shd w:val="clear" w:color="auto" w:fill="FAF9F8"/>
              </w:rPr>
              <w:t>9.256,70m2</w:t>
            </w:r>
          </w:p>
          <w:p w:rsidR="00BE06CC" w:rsidRPr="003B6356" w:rsidRDefault="00BE06CC" w:rsidP="004B58FE">
            <w:pPr>
              <w:tabs>
                <w:tab w:val="left" w:pos="1080"/>
              </w:tabs>
              <w:jc w:val="both"/>
              <w:rPr>
                <w:rFonts w:ascii="Palatino Linotype" w:hAnsi="Palatino Linotype"/>
                <w:i/>
                <w:sz w:val="20"/>
                <w:szCs w:val="20"/>
                <w:shd w:val="clear" w:color="auto" w:fill="FAF9F8"/>
              </w:rPr>
            </w:pPr>
          </w:p>
        </w:tc>
        <w:tc>
          <w:tcPr>
            <w:tcW w:w="2041" w:type="dxa"/>
          </w:tcPr>
          <w:p w:rsidR="00BE06CC" w:rsidRPr="003B6356" w:rsidRDefault="00BE06CC" w:rsidP="004B58FE">
            <w:pPr>
              <w:tabs>
                <w:tab w:val="left" w:pos="1080"/>
              </w:tabs>
              <w:jc w:val="both"/>
              <w:rPr>
                <w:rFonts w:ascii="Palatino Linotype" w:hAnsi="Palatino Linotype"/>
                <w:i/>
                <w:sz w:val="20"/>
                <w:szCs w:val="20"/>
                <w:shd w:val="clear" w:color="auto" w:fill="FAF9F8"/>
              </w:rPr>
            </w:pPr>
          </w:p>
          <w:p w:rsidR="00BE06CC" w:rsidRPr="003B6356" w:rsidRDefault="00BE06CC" w:rsidP="004B58FE">
            <w:pPr>
              <w:tabs>
                <w:tab w:val="left" w:pos="1080"/>
              </w:tabs>
              <w:jc w:val="both"/>
              <w:rPr>
                <w:rFonts w:ascii="Palatino Linotype" w:hAnsi="Palatino Linotype"/>
                <w:i/>
                <w:sz w:val="20"/>
                <w:szCs w:val="20"/>
                <w:shd w:val="clear" w:color="auto" w:fill="FAF9F8"/>
              </w:rPr>
            </w:pPr>
            <w:r w:rsidRPr="003B6356">
              <w:rPr>
                <w:rFonts w:ascii="Palatino Linotype" w:hAnsi="Palatino Linotype"/>
                <w:i/>
                <w:sz w:val="20"/>
                <w:szCs w:val="20"/>
                <w:shd w:val="clear" w:color="auto" w:fill="FAF9F8"/>
              </w:rPr>
              <w:t>95,00usd</w:t>
            </w:r>
          </w:p>
          <w:p w:rsidR="00BE06CC" w:rsidRPr="003B6356" w:rsidRDefault="00BE06CC" w:rsidP="004B58FE">
            <w:pPr>
              <w:tabs>
                <w:tab w:val="left" w:pos="1080"/>
              </w:tabs>
              <w:jc w:val="both"/>
              <w:rPr>
                <w:rFonts w:ascii="Palatino Linotype" w:hAnsi="Palatino Linotype"/>
                <w:i/>
                <w:sz w:val="20"/>
                <w:szCs w:val="20"/>
                <w:shd w:val="clear" w:color="auto" w:fill="FAF9F8"/>
              </w:rPr>
            </w:pPr>
          </w:p>
        </w:tc>
        <w:tc>
          <w:tcPr>
            <w:tcW w:w="3081" w:type="dxa"/>
          </w:tcPr>
          <w:p w:rsidR="00BE06CC" w:rsidRPr="003B6356" w:rsidRDefault="00BE06CC" w:rsidP="004B58FE">
            <w:pPr>
              <w:tabs>
                <w:tab w:val="left" w:pos="1080"/>
              </w:tabs>
              <w:jc w:val="both"/>
              <w:rPr>
                <w:rFonts w:ascii="Palatino Linotype" w:hAnsi="Palatino Linotype"/>
                <w:i/>
                <w:sz w:val="20"/>
                <w:szCs w:val="20"/>
                <w:shd w:val="clear" w:color="auto" w:fill="FAF9F8"/>
              </w:rPr>
            </w:pPr>
          </w:p>
          <w:p w:rsidR="00BE06CC" w:rsidRPr="003B6356" w:rsidRDefault="00BE06CC" w:rsidP="004B58FE">
            <w:pPr>
              <w:tabs>
                <w:tab w:val="left" w:pos="1080"/>
              </w:tabs>
              <w:jc w:val="both"/>
              <w:rPr>
                <w:rFonts w:ascii="Palatino Linotype" w:hAnsi="Palatino Linotype"/>
                <w:i/>
                <w:sz w:val="20"/>
                <w:szCs w:val="20"/>
                <w:shd w:val="clear" w:color="auto" w:fill="FAF9F8"/>
              </w:rPr>
            </w:pPr>
            <w:r w:rsidRPr="003B6356">
              <w:rPr>
                <w:rFonts w:ascii="Palatino Linotype" w:hAnsi="Palatino Linotype"/>
                <w:i/>
                <w:sz w:val="20"/>
                <w:szCs w:val="20"/>
                <w:shd w:val="clear" w:color="auto" w:fill="FAF9F8"/>
              </w:rPr>
              <w:t xml:space="preserve">739.300,23usd </w:t>
            </w:r>
          </w:p>
          <w:p w:rsidR="00BE06CC" w:rsidRPr="003B6356" w:rsidRDefault="00BE06CC" w:rsidP="004B58FE">
            <w:pPr>
              <w:tabs>
                <w:tab w:val="left" w:pos="1080"/>
              </w:tabs>
              <w:jc w:val="both"/>
              <w:rPr>
                <w:rFonts w:ascii="Palatino Linotype" w:hAnsi="Palatino Linotype"/>
                <w:i/>
                <w:sz w:val="20"/>
                <w:szCs w:val="20"/>
                <w:shd w:val="clear" w:color="auto" w:fill="FAF9F8"/>
              </w:rPr>
            </w:pPr>
          </w:p>
        </w:tc>
      </w:tr>
      <w:tr w:rsidR="00BE06CC" w:rsidRPr="008D5F03" w:rsidTr="003B6356">
        <w:trPr>
          <w:trHeight w:val="1568"/>
        </w:trPr>
        <w:tc>
          <w:tcPr>
            <w:tcW w:w="8238" w:type="dxa"/>
            <w:gridSpan w:val="4"/>
          </w:tcPr>
          <w:p w:rsidR="00BE06CC" w:rsidRPr="003B6356" w:rsidRDefault="00BE06CC" w:rsidP="006F6D18">
            <w:pPr>
              <w:tabs>
                <w:tab w:val="left" w:pos="1080"/>
              </w:tabs>
              <w:jc w:val="both"/>
              <w:rPr>
                <w:rFonts w:ascii="Palatino Linotype" w:hAnsi="Palatino Linotype"/>
                <w:i/>
                <w:sz w:val="20"/>
                <w:szCs w:val="20"/>
                <w:shd w:val="clear" w:color="auto" w:fill="FAF9F8"/>
              </w:rPr>
            </w:pPr>
            <w:r w:rsidRPr="003B6356">
              <w:rPr>
                <w:rFonts w:ascii="Palatino Linotype" w:hAnsi="Palatino Linotype"/>
                <w:b/>
                <w:i/>
                <w:sz w:val="20"/>
                <w:szCs w:val="20"/>
                <w:shd w:val="clear" w:color="auto" w:fill="FAF9F8"/>
              </w:rPr>
              <w:t>Base Legal:</w:t>
            </w:r>
            <w:r w:rsidRPr="003B6356">
              <w:rPr>
                <w:rFonts w:ascii="Palatino Linotype" w:hAnsi="Palatino Linotype"/>
                <w:i/>
                <w:sz w:val="20"/>
                <w:szCs w:val="20"/>
                <w:shd w:val="clear" w:color="auto" w:fill="FAF9F8"/>
              </w:rPr>
              <w:t xml:space="preserve"> Ordenanza Metropolitana Nro. 008-2019, Modificatoria del Capítulo I "VALORACIÓN INMOBILIARIA", DEL TÍTULO III “, DEL LIBRO 111.5 Del Eje Económico del Código Municipal para el Distrito Metropolitano de Quito con el cual se aprueba el Plano de Valor de la Tierra de los predios Urbanos y Rurales del Distrito Metropolitano a regir para el Bienio 2020-2021.</w:t>
            </w:r>
          </w:p>
        </w:tc>
      </w:tr>
    </w:tbl>
    <w:p w:rsidR="00BE06CC" w:rsidRDefault="00BE06CC" w:rsidP="00BE06CC">
      <w:pPr>
        <w:autoSpaceDE w:val="0"/>
        <w:autoSpaceDN w:val="0"/>
        <w:adjustRightInd w:val="0"/>
        <w:jc w:val="both"/>
        <w:rPr>
          <w:rFonts w:ascii="Palatino Linotype" w:hAnsi="Palatino Linotype"/>
          <w:sz w:val="22"/>
          <w:szCs w:val="22"/>
        </w:rPr>
      </w:pPr>
    </w:p>
    <w:p w:rsidR="00C92ED6" w:rsidRDefault="00C92ED6" w:rsidP="00C92ED6">
      <w:pPr>
        <w:autoSpaceDE w:val="0"/>
        <w:autoSpaceDN w:val="0"/>
        <w:adjustRightInd w:val="0"/>
        <w:ind w:left="708"/>
        <w:jc w:val="both"/>
        <w:rPr>
          <w:rFonts w:ascii="Palatino Linotype" w:hAnsi="Palatino Linotype"/>
          <w:i/>
          <w:sz w:val="22"/>
          <w:szCs w:val="22"/>
        </w:rPr>
      </w:pPr>
      <w:r w:rsidRPr="00036C0E">
        <w:rPr>
          <w:rFonts w:ascii="Palatino Linotype" w:hAnsi="Palatino Linotype"/>
          <w:i/>
          <w:sz w:val="22"/>
          <w:szCs w:val="22"/>
        </w:rPr>
        <w:t>Por tanto, el valor por compensación del 15% por ciento del área útil adjudicada mediante sentencia a la fecha de hoy es la que se detalla a continuación pudiendo esta cambiar si cambia el avaluó catastral.</w:t>
      </w:r>
    </w:p>
    <w:p w:rsidR="001D43D9" w:rsidRDefault="001D43D9" w:rsidP="00C92ED6">
      <w:pPr>
        <w:autoSpaceDE w:val="0"/>
        <w:autoSpaceDN w:val="0"/>
        <w:adjustRightInd w:val="0"/>
        <w:ind w:left="708"/>
        <w:jc w:val="both"/>
        <w:rPr>
          <w:rFonts w:ascii="Palatino Linotype" w:hAnsi="Palatino Linotype"/>
          <w:i/>
          <w:sz w:val="22"/>
          <w:szCs w:val="22"/>
        </w:rPr>
      </w:pPr>
    </w:p>
    <w:p w:rsidR="001D43D9" w:rsidRPr="00036C0E" w:rsidRDefault="002435E3" w:rsidP="00C92ED6">
      <w:pPr>
        <w:autoSpaceDE w:val="0"/>
        <w:autoSpaceDN w:val="0"/>
        <w:adjustRightInd w:val="0"/>
        <w:ind w:left="708"/>
        <w:jc w:val="both"/>
        <w:rPr>
          <w:rFonts w:ascii="Palatino Linotype" w:hAnsi="Palatino Linotype"/>
          <w:i/>
          <w:sz w:val="22"/>
          <w:szCs w:val="22"/>
        </w:rPr>
      </w:pPr>
      <w:r w:rsidRPr="002435E3">
        <w:rPr>
          <w:rFonts w:ascii="Palatino Linotype" w:hAnsi="Palatino Linotype"/>
          <w:i/>
          <w:sz w:val="22"/>
          <w:szCs w:val="22"/>
        </w:rPr>
        <w:drawing>
          <wp:inline distT="0" distB="0" distL="0" distR="0" wp14:anchorId="2DDD4556" wp14:editId="0B02ADEA">
            <wp:extent cx="4744112" cy="676369"/>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44112" cy="676369"/>
                    </a:xfrm>
                    <a:prstGeom prst="rect">
                      <a:avLst/>
                    </a:prstGeom>
                  </pic:spPr>
                </pic:pic>
              </a:graphicData>
            </a:graphic>
          </wp:inline>
        </w:drawing>
      </w:r>
    </w:p>
    <w:p w:rsidR="00D90E77" w:rsidRDefault="00D90E77" w:rsidP="00BE06CC">
      <w:pPr>
        <w:autoSpaceDE w:val="0"/>
        <w:autoSpaceDN w:val="0"/>
        <w:adjustRightInd w:val="0"/>
        <w:ind w:left="708" w:hanging="708"/>
        <w:jc w:val="both"/>
        <w:rPr>
          <w:rFonts w:ascii="Palatino Linotype" w:hAnsi="Palatino Linotype"/>
          <w:color w:val="000000" w:themeColor="text1"/>
          <w:sz w:val="22"/>
          <w:szCs w:val="22"/>
        </w:rPr>
      </w:pPr>
    </w:p>
    <w:p w:rsidR="00804DD4" w:rsidRPr="008D5F03" w:rsidRDefault="000022D4" w:rsidP="00804DD4">
      <w:pPr>
        <w:autoSpaceDE w:val="0"/>
        <w:autoSpaceDN w:val="0"/>
        <w:adjustRightInd w:val="0"/>
        <w:ind w:left="708" w:hanging="708"/>
        <w:jc w:val="both"/>
        <w:rPr>
          <w:rFonts w:ascii="Palatino Linotype" w:hAnsi="Palatino Linotype"/>
          <w:sz w:val="22"/>
          <w:szCs w:val="22"/>
        </w:rPr>
      </w:pPr>
      <w:r w:rsidRPr="00DA6F40">
        <w:rPr>
          <w:rFonts w:ascii="Palatino Linotype" w:hAnsi="Palatino Linotype"/>
          <w:b/>
          <w:sz w:val="22"/>
          <w:szCs w:val="22"/>
        </w:rPr>
        <w:t xml:space="preserve">Que, </w:t>
      </w:r>
      <w:r w:rsidR="00804DD4">
        <w:rPr>
          <w:rFonts w:ascii="Palatino Linotype" w:hAnsi="Palatino Linotype"/>
          <w:sz w:val="22"/>
          <w:szCs w:val="22"/>
        </w:rPr>
        <w:t>m</w:t>
      </w:r>
      <w:r w:rsidR="00804DD4" w:rsidRPr="008D5F03">
        <w:rPr>
          <w:rFonts w:ascii="Palatino Linotype" w:hAnsi="Palatino Linotype"/>
          <w:sz w:val="22"/>
          <w:szCs w:val="22"/>
        </w:rPr>
        <w:t xml:space="preserve">ediante oficio GADDMQ-AZCA-DGT-2021-2662-M de fecha 16 de noviembre de 2021, emitido por la Jefatura de Territorio y Vivienda de la Administración Zonal Calderón se expone: </w:t>
      </w:r>
    </w:p>
    <w:p w:rsidR="00804DD4" w:rsidRPr="008D5F03" w:rsidRDefault="00804DD4" w:rsidP="00804DD4">
      <w:pPr>
        <w:autoSpaceDE w:val="0"/>
        <w:autoSpaceDN w:val="0"/>
        <w:adjustRightInd w:val="0"/>
        <w:jc w:val="both"/>
        <w:rPr>
          <w:rFonts w:ascii="Palatino Linotype" w:hAnsi="Palatino Linotype"/>
          <w:sz w:val="22"/>
          <w:szCs w:val="22"/>
        </w:rPr>
      </w:pPr>
    </w:p>
    <w:p w:rsidR="00804DD4" w:rsidRPr="008D5F03" w:rsidRDefault="00804DD4" w:rsidP="00804DD4">
      <w:pPr>
        <w:autoSpaceDE w:val="0"/>
        <w:autoSpaceDN w:val="0"/>
        <w:adjustRightInd w:val="0"/>
        <w:ind w:left="708" w:firstLine="60"/>
        <w:jc w:val="both"/>
        <w:rPr>
          <w:rFonts w:ascii="Palatino Linotype" w:hAnsi="Palatino Linotype"/>
          <w:sz w:val="22"/>
          <w:szCs w:val="22"/>
        </w:rPr>
      </w:pPr>
      <w:r w:rsidRPr="008D5F03">
        <w:rPr>
          <w:rFonts w:ascii="Palatino Linotype" w:hAnsi="Palatino Linotype"/>
          <w:sz w:val="22"/>
          <w:szCs w:val="22"/>
        </w:rPr>
        <w:lastRenderedPageBreak/>
        <w:t>“</w:t>
      </w:r>
      <w:r w:rsidRPr="008D5F03">
        <w:rPr>
          <w:rFonts w:ascii="Palatino Linotype" w:hAnsi="Palatino Linotype"/>
          <w:i/>
          <w:sz w:val="22"/>
          <w:szCs w:val="22"/>
        </w:rPr>
        <w:t xml:space="preserve">El inmueble descrito en la </w:t>
      </w:r>
      <w:r w:rsidRPr="008D5F03">
        <w:rPr>
          <w:rFonts w:ascii="Palatino Linotype" w:hAnsi="Palatino Linotype"/>
          <w:b/>
          <w:i/>
          <w:sz w:val="22"/>
          <w:szCs w:val="22"/>
          <w:u w:val="single"/>
        </w:rPr>
        <w:t>Sentencia de prescripci</w:t>
      </w:r>
      <w:r w:rsidRPr="008D5F03">
        <w:rPr>
          <w:rFonts w:ascii="Palatino Linotype" w:hAnsi="Palatino Linotype" w:cs="Palatino Linotype"/>
          <w:b/>
          <w:i/>
          <w:sz w:val="22"/>
          <w:szCs w:val="22"/>
          <w:u w:val="single"/>
        </w:rPr>
        <w:t>ó</w:t>
      </w:r>
      <w:r w:rsidRPr="008D5F03">
        <w:rPr>
          <w:rFonts w:ascii="Palatino Linotype" w:hAnsi="Palatino Linotype"/>
          <w:b/>
          <w:i/>
          <w:sz w:val="22"/>
          <w:szCs w:val="22"/>
          <w:u w:val="single"/>
        </w:rPr>
        <w:t>n Adquisitiva de Dominio del Sr. MARCO MARCELINO LOMAS AYALA con cedula CU: 150018328-8, referencia LOTE No. 12</w:t>
      </w:r>
      <w:r w:rsidRPr="008D5F03">
        <w:rPr>
          <w:rFonts w:ascii="Palatino Linotype" w:hAnsi="Palatino Linotype"/>
          <w:i/>
          <w:sz w:val="22"/>
          <w:szCs w:val="22"/>
        </w:rPr>
        <w:t xml:space="preserve">; se encuentra ubicado en la parte interna del predio No. </w:t>
      </w:r>
      <w:r w:rsidRPr="008D5F03">
        <w:rPr>
          <w:rFonts w:ascii="Palatino Linotype" w:hAnsi="Palatino Linotype"/>
          <w:b/>
          <w:i/>
          <w:sz w:val="22"/>
          <w:szCs w:val="22"/>
        </w:rPr>
        <w:t>390030</w:t>
      </w:r>
      <w:r w:rsidRPr="008D5F03">
        <w:rPr>
          <w:rFonts w:ascii="Palatino Linotype" w:hAnsi="Palatino Linotype"/>
          <w:i/>
          <w:sz w:val="22"/>
          <w:szCs w:val="22"/>
        </w:rPr>
        <w:t xml:space="preserve"> de clave catastral </w:t>
      </w:r>
      <w:r w:rsidRPr="008D5F03">
        <w:rPr>
          <w:rFonts w:ascii="Palatino Linotype" w:hAnsi="Palatino Linotype"/>
          <w:b/>
          <w:i/>
          <w:sz w:val="22"/>
          <w:szCs w:val="22"/>
        </w:rPr>
        <w:t>13814-04-022</w:t>
      </w:r>
      <w:r w:rsidRPr="008D5F03">
        <w:rPr>
          <w:rFonts w:ascii="Palatino Linotype" w:hAnsi="Palatino Linotype"/>
          <w:i/>
          <w:sz w:val="22"/>
          <w:szCs w:val="22"/>
        </w:rPr>
        <w:t xml:space="preserve"> ubicado en el sector LUZ y VIDA de la parroquia de CALDERON, como se visualiza en la foto adjunta De acuerdo al Plan Parcial Calderón las vías locales existentes aperturada, aprobadas por ordenanza Metropolitana Nro. 0209-(005/Ref0016)(P.P.C). Esta Sentencia de Prescripción </w:t>
      </w:r>
      <w:r w:rsidR="00310B84">
        <w:rPr>
          <w:rFonts w:ascii="Palatino Linotype" w:hAnsi="Palatino Linotype"/>
          <w:b/>
          <w:i/>
          <w:sz w:val="22"/>
          <w:szCs w:val="22"/>
        </w:rPr>
        <w:t>Adquisitiva</w:t>
      </w:r>
      <w:r w:rsidRPr="008D5F03">
        <w:rPr>
          <w:rFonts w:ascii="Palatino Linotype" w:hAnsi="Palatino Linotype"/>
          <w:b/>
          <w:i/>
          <w:sz w:val="22"/>
          <w:szCs w:val="22"/>
        </w:rPr>
        <w:t xml:space="preserve"> NO COLINDA </w:t>
      </w:r>
      <w:r w:rsidRPr="008D5F03">
        <w:rPr>
          <w:rFonts w:ascii="Palatino Linotype" w:hAnsi="Palatino Linotype"/>
          <w:i/>
          <w:sz w:val="22"/>
          <w:szCs w:val="22"/>
        </w:rPr>
        <w:t xml:space="preserve">con ninguna vía Publica aprobada para su acceso.” </w:t>
      </w:r>
    </w:p>
    <w:p w:rsidR="000113AC" w:rsidRPr="00DA6F40" w:rsidRDefault="000113AC" w:rsidP="00804DD4">
      <w:pPr>
        <w:autoSpaceDE w:val="0"/>
        <w:autoSpaceDN w:val="0"/>
        <w:adjustRightInd w:val="0"/>
        <w:ind w:left="708" w:hanging="708"/>
        <w:jc w:val="both"/>
        <w:rPr>
          <w:rFonts w:ascii="Palatino Linotype" w:hAnsi="Palatino Linotype"/>
          <w:b/>
          <w:sz w:val="22"/>
          <w:szCs w:val="22"/>
        </w:rPr>
      </w:pPr>
    </w:p>
    <w:p w:rsidR="00CF122E" w:rsidRPr="008D5F03" w:rsidRDefault="0050436B" w:rsidP="00CF122E">
      <w:pPr>
        <w:autoSpaceDE w:val="0"/>
        <w:autoSpaceDN w:val="0"/>
        <w:adjustRightInd w:val="0"/>
        <w:jc w:val="both"/>
        <w:rPr>
          <w:rFonts w:ascii="Palatino Linotype" w:hAnsi="Palatino Linotype"/>
          <w:sz w:val="22"/>
          <w:szCs w:val="22"/>
        </w:rPr>
      </w:pPr>
      <w:r w:rsidRPr="00DA6F40">
        <w:rPr>
          <w:rFonts w:ascii="Palatino Linotype" w:hAnsi="Palatino Linotype"/>
          <w:b/>
          <w:sz w:val="22"/>
          <w:szCs w:val="22"/>
        </w:rPr>
        <w:t>Que,</w:t>
      </w:r>
      <w:r w:rsidR="004948A2" w:rsidRPr="00DA6F40">
        <w:rPr>
          <w:rFonts w:ascii="Palatino Linotype" w:hAnsi="Palatino Linotype"/>
          <w:b/>
          <w:sz w:val="22"/>
          <w:szCs w:val="22"/>
        </w:rPr>
        <w:t xml:space="preserve"> </w:t>
      </w:r>
      <w:r w:rsidR="00CF122E">
        <w:rPr>
          <w:rFonts w:ascii="Palatino Linotype" w:hAnsi="Palatino Linotype"/>
          <w:sz w:val="22"/>
          <w:szCs w:val="22"/>
        </w:rPr>
        <w:t>m</w:t>
      </w:r>
      <w:r w:rsidR="00CF122E" w:rsidRPr="008D5F03">
        <w:rPr>
          <w:rFonts w:ascii="Palatino Linotype" w:hAnsi="Palatino Linotype"/>
          <w:sz w:val="22"/>
          <w:szCs w:val="22"/>
        </w:rPr>
        <w:t xml:space="preserve">ediante Informe Técnico Nro. </w:t>
      </w:r>
      <w:r w:rsidR="00CF122E" w:rsidRPr="008D5F03">
        <w:rPr>
          <w:rFonts w:ascii="Palatino Linotype" w:hAnsi="Palatino Linotype" w:cs="Arial"/>
          <w:sz w:val="22"/>
          <w:szCs w:val="22"/>
          <w:shd w:val="clear" w:color="auto" w:fill="FAF9F8"/>
        </w:rPr>
        <w:t>AZCA-DGT-2021-016</w:t>
      </w:r>
      <w:r w:rsidR="00CF122E" w:rsidRPr="008D5F03">
        <w:rPr>
          <w:rFonts w:ascii="Palatino Linotype" w:hAnsi="Palatino Linotype"/>
          <w:sz w:val="22"/>
          <w:szCs w:val="22"/>
          <w:lang w:val="es-ES"/>
        </w:rPr>
        <w:t xml:space="preserve"> de 24 de noviembre de 2021</w:t>
      </w:r>
      <w:r w:rsidR="00CF122E" w:rsidRPr="008D5F03">
        <w:rPr>
          <w:rFonts w:ascii="Palatino Linotype" w:hAnsi="Palatino Linotype"/>
          <w:sz w:val="22"/>
          <w:szCs w:val="22"/>
        </w:rPr>
        <w:t xml:space="preserve">, el Ing. Israel Jiménez Veloz, señala: </w:t>
      </w:r>
    </w:p>
    <w:p w:rsidR="00CF122E" w:rsidRPr="008D5F03" w:rsidRDefault="00CF122E" w:rsidP="00CF122E">
      <w:pPr>
        <w:autoSpaceDE w:val="0"/>
        <w:autoSpaceDN w:val="0"/>
        <w:adjustRightInd w:val="0"/>
        <w:rPr>
          <w:rFonts w:ascii="Palatino Linotype" w:hAnsi="Palatino Linotype"/>
          <w:sz w:val="22"/>
          <w:szCs w:val="22"/>
        </w:rPr>
      </w:pPr>
      <w:r w:rsidRPr="008D5F03">
        <w:rPr>
          <w:rFonts w:ascii="Palatino Linotype" w:hAnsi="Palatino Linotype"/>
          <w:sz w:val="22"/>
          <w:szCs w:val="22"/>
        </w:rPr>
        <w:t xml:space="preserve"> </w:t>
      </w:r>
    </w:p>
    <w:p w:rsidR="00CF122E" w:rsidRPr="008D5F03" w:rsidRDefault="00CF122E" w:rsidP="00CF122E">
      <w:pPr>
        <w:tabs>
          <w:tab w:val="left" w:pos="284"/>
        </w:tabs>
        <w:ind w:left="360"/>
        <w:jc w:val="both"/>
        <w:rPr>
          <w:rFonts w:ascii="Palatino Linotype" w:hAnsi="Palatino Linotype"/>
          <w:b/>
          <w:i/>
          <w:sz w:val="22"/>
          <w:szCs w:val="22"/>
        </w:rPr>
      </w:pPr>
      <w:r w:rsidRPr="008D5F03">
        <w:rPr>
          <w:rFonts w:ascii="Palatino Linotype" w:hAnsi="Palatino Linotype"/>
          <w:sz w:val="22"/>
          <w:szCs w:val="22"/>
        </w:rPr>
        <w:t>“</w:t>
      </w:r>
      <w:r w:rsidRPr="008D5F03">
        <w:rPr>
          <w:rFonts w:ascii="Palatino Linotype" w:hAnsi="Palatino Linotype"/>
          <w:i/>
          <w:sz w:val="22"/>
          <w:szCs w:val="22"/>
        </w:rPr>
        <w:t>Del análisis técnico se desprende que, la prescripción adquisitiva de dominio de una parte del inmueble del pr</w:t>
      </w:r>
      <w:r w:rsidR="00310B84">
        <w:rPr>
          <w:rFonts w:ascii="Palatino Linotype" w:hAnsi="Palatino Linotype"/>
          <w:i/>
          <w:sz w:val="22"/>
          <w:szCs w:val="22"/>
        </w:rPr>
        <w:t xml:space="preserve">edio No. 390030, Cumple con el </w:t>
      </w:r>
      <w:r w:rsidRPr="008D5F03">
        <w:rPr>
          <w:rFonts w:ascii="Palatino Linotype" w:hAnsi="Palatino Linotype"/>
          <w:i/>
          <w:sz w:val="22"/>
          <w:szCs w:val="22"/>
        </w:rPr>
        <w:t>Lote m</w:t>
      </w:r>
      <w:r w:rsidRPr="008D5F03">
        <w:rPr>
          <w:rFonts w:ascii="Palatino Linotype" w:hAnsi="Palatino Linotype" w:cs="Palatino Linotype"/>
          <w:i/>
          <w:sz w:val="22"/>
          <w:szCs w:val="22"/>
        </w:rPr>
        <w:t>í</w:t>
      </w:r>
      <w:r w:rsidRPr="008D5F03">
        <w:rPr>
          <w:rFonts w:ascii="Palatino Linotype" w:hAnsi="Palatino Linotype"/>
          <w:i/>
          <w:sz w:val="22"/>
          <w:szCs w:val="22"/>
        </w:rPr>
        <w:t xml:space="preserve">nimo </w:t>
      </w:r>
      <w:r w:rsidRPr="008D5F03">
        <w:rPr>
          <w:i/>
          <w:sz w:val="22"/>
          <w:szCs w:val="22"/>
        </w:rPr>
        <w:t>̈</w:t>
      </w:r>
      <w:r w:rsidR="00310B84">
        <w:rPr>
          <w:rFonts w:ascii="Palatino Linotype" w:hAnsi="Palatino Linotype"/>
          <w:i/>
          <w:sz w:val="22"/>
          <w:szCs w:val="22"/>
        </w:rPr>
        <w:t xml:space="preserve">establecida en </w:t>
      </w:r>
      <w:r w:rsidRPr="008D5F03">
        <w:rPr>
          <w:rFonts w:ascii="Palatino Linotype" w:hAnsi="Palatino Linotype"/>
          <w:i/>
          <w:sz w:val="22"/>
          <w:szCs w:val="22"/>
        </w:rPr>
        <w:t>la zonificaci</w:t>
      </w:r>
      <w:r w:rsidRPr="008D5F03">
        <w:rPr>
          <w:rFonts w:ascii="Palatino Linotype" w:hAnsi="Palatino Linotype" w:cs="Palatino Linotype"/>
          <w:i/>
          <w:sz w:val="22"/>
          <w:szCs w:val="22"/>
        </w:rPr>
        <w:t>ó</w:t>
      </w:r>
      <w:r w:rsidRPr="008D5F03">
        <w:rPr>
          <w:rFonts w:ascii="Palatino Linotype" w:hAnsi="Palatino Linotype"/>
          <w:i/>
          <w:sz w:val="22"/>
          <w:szCs w:val="22"/>
        </w:rPr>
        <w:t>n  vigente, pero al no tener frente hacia una v</w:t>
      </w:r>
      <w:r w:rsidRPr="008D5F03">
        <w:rPr>
          <w:rFonts w:ascii="Palatino Linotype" w:hAnsi="Palatino Linotype" w:cs="Palatino Linotype"/>
          <w:i/>
          <w:sz w:val="22"/>
          <w:szCs w:val="22"/>
        </w:rPr>
        <w:t>í</w:t>
      </w:r>
      <w:r w:rsidRPr="008D5F03">
        <w:rPr>
          <w:rFonts w:ascii="Palatino Linotype" w:hAnsi="Palatino Linotype"/>
          <w:i/>
          <w:sz w:val="22"/>
          <w:szCs w:val="22"/>
        </w:rPr>
        <w:t>a p</w:t>
      </w:r>
      <w:r w:rsidRPr="008D5F03">
        <w:rPr>
          <w:rFonts w:ascii="Palatino Linotype" w:hAnsi="Palatino Linotype" w:cs="Palatino Linotype"/>
          <w:i/>
          <w:sz w:val="22"/>
          <w:szCs w:val="22"/>
        </w:rPr>
        <w:t>ú</w:t>
      </w:r>
      <w:r w:rsidRPr="008D5F03">
        <w:rPr>
          <w:rFonts w:ascii="Palatino Linotype" w:hAnsi="Palatino Linotype"/>
          <w:i/>
          <w:sz w:val="22"/>
          <w:szCs w:val="22"/>
        </w:rPr>
        <w:t xml:space="preserve">blica no cumple con el  </w:t>
      </w:r>
      <w:r w:rsidRPr="008D5F03">
        <w:rPr>
          <w:i/>
          <w:sz w:val="22"/>
          <w:szCs w:val="22"/>
        </w:rPr>
        <w:t>̈</w:t>
      </w:r>
      <w:r w:rsidRPr="008D5F03">
        <w:rPr>
          <w:rFonts w:ascii="Palatino Linotype" w:hAnsi="Palatino Linotype"/>
          <w:i/>
          <w:sz w:val="22"/>
          <w:szCs w:val="22"/>
        </w:rPr>
        <w:t>Frente m</w:t>
      </w:r>
      <w:r w:rsidRPr="008D5F03">
        <w:rPr>
          <w:rFonts w:ascii="Palatino Linotype" w:hAnsi="Palatino Linotype" w:cs="Palatino Linotype"/>
          <w:i/>
          <w:sz w:val="22"/>
          <w:szCs w:val="22"/>
        </w:rPr>
        <w:t>í</w:t>
      </w:r>
      <w:r w:rsidRPr="008D5F03">
        <w:rPr>
          <w:rFonts w:ascii="Palatino Linotype" w:hAnsi="Palatino Linotype"/>
          <w:i/>
          <w:sz w:val="22"/>
          <w:szCs w:val="22"/>
        </w:rPr>
        <w:t xml:space="preserve">nimo </w:t>
      </w:r>
      <w:r w:rsidRPr="008D5F03">
        <w:rPr>
          <w:i/>
          <w:sz w:val="22"/>
          <w:szCs w:val="22"/>
        </w:rPr>
        <w:t>̈</w:t>
      </w:r>
      <w:r w:rsidRPr="008D5F03">
        <w:rPr>
          <w:rFonts w:ascii="Palatino Linotype" w:hAnsi="Palatino Linotype"/>
          <w:i/>
          <w:sz w:val="22"/>
          <w:szCs w:val="22"/>
        </w:rPr>
        <w:t>, raz</w:t>
      </w:r>
      <w:r w:rsidRPr="008D5F03">
        <w:rPr>
          <w:rFonts w:ascii="Palatino Linotype" w:hAnsi="Palatino Linotype" w:cs="Palatino Linotype"/>
          <w:i/>
          <w:sz w:val="22"/>
          <w:szCs w:val="22"/>
        </w:rPr>
        <w:t>ó</w:t>
      </w:r>
      <w:r w:rsidRPr="008D5F03">
        <w:rPr>
          <w:rFonts w:ascii="Palatino Linotype" w:hAnsi="Palatino Linotype"/>
          <w:i/>
          <w:sz w:val="22"/>
          <w:szCs w:val="22"/>
        </w:rPr>
        <w:t xml:space="preserve">n por la que se emite </w:t>
      </w:r>
      <w:r w:rsidRPr="008D5F03">
        <w:rPr>
          <w:rFonts w:ascii="Palatino Linotype" w:hAnsi="Palatino Linotype"/>
          <w:b/>
          <w:i/>
          <w:sz w:val="22"/>
          <w:szCs w:val="22"/>
        </w:rPr>
        <w:t>Informe T</w:t>
      </w:r>
      <w:r w:rsidRPr="008D5F03">
        <w:rPr>
          <w:rFonts w:ascii="Palatino Linotype" w:hAnsi="Palatino Linotype" w:cs="Palatino Linotype"/>
          <w:b/>
          <w:i/>
          <w:sz w:val="22"/>
          <w:szCs w:val="22"/>
        </w:rPr>
        <w:t>é</w:t>
      </w:r>
      <w:r w:rsidRPr="008D5F03">
        <w:rPr>
          <w:rFonts w:ascii="Palatino Linotype" w:hAnsi="Palatino Linotype"/>
          <w:b/>
          <w:i/>
          <w:sz w:val="22"/>
          <w:szCs w:val="22"/>
        </w:rPr>
        <w:t>cnico Desfavorable</w:t>
      </w:r>
      <w:r w:rsidRPr="008D5F03">
        <w:rPr>
          <w:rFonts w:ascii="Palatino Linotype" w:hAnsi="Palatino Linotype"/>
          <w:i/>
          <w:sz w:val="22"/>
          <w:szCs w:val="22"/>
        </w:rPr>
        <w:t xml:space="preserve">”. </w:t>
      </w:r>
    </w:p>
    <w:p w:rsidR="0050436B" w:rsidRDefault="0050436B" w:rsidP="00595410">
      <w:pPr>
        <w:pStyle w:val="Default"/>
        <w:jc w:val="both"/>
        <w:rPr>
          <w:b/>
          <w:sz w:val="22"/>
          <w:szCs w:val="22"/>
        </w:rPr>
      </w:pPr>
    </w:p>
    <w:p w:rsidR="00E75599" w:rsidRDefault="00E75599" w:rsidP="00E75599">
      <w:pPr>
        <w:autoSpaceDE w:val="0"/>
        <w:autoSpaceDN w:val="0"/>
        <w:adjustRightInd w:val="0"/>
        <w:jc w:val="both"/>
        <w:rPr>
          <w:rFonts w:ascii="Palatino Linotype" w:hAnsi="Palatino Linotype"/>
          <w:sz w:val="22"/>
          <w:szCs w:val="22"/>
        </w:rPr>
      </w:pPr>
      <w:r w:rsidRPr="00DA6F40">
        <w:rPr>
          <w:rFonts w:ascii="Palatino Linotype" w:hAnsi="Palatino Linotype"/>
          <w:b/>
          <w:sz w:val="22"/>
          <w:szCs w:val="22"/>
        </w:rPr>
        <w:t xml:space="preserve">Que, </w:t>
      </w:r>
      <w:r>
        <w:rPr>
          <w:rFonts w:ascii="Palatino Linotype" w:hAnsi="Palatino Linotype"/>
          <w:sz w:val="22"/>
          <w:szCs w:val="22"/>
        </w:rPr>
        <w:t>m</w:t>
      </w:r>
      <w:r w:rsidRPr="008D5F03">
        <w:rPr>
          <w:rFonts w:ascii="Palatino Linotype" w:hAnsi="Palatino Linotype"/>
          <w:sz w:val="22"/>
          <w:szCs w:val="22"/>
        </w:rPr>
        <w:t xml:space="preserve">ediante </w:t>
      </w:r>
      <w:r>
        <w:rPr>
          <w:rFonts w:ascii="Palatino Linotype" w:hAnsi="Palatino Linotype"/>
          <w:sz w:val="22"/>
          <w:szCs w:val="22"/>
        </w:rPr>
        <w:t xml:space="preserve">oficio </w:t>
      </w:r>
      <w:r w:rsidRPr="008D5F03">
        <w:rPr>
          <w:rFonts w:ascii="Palatino Linotype" w:hAnsi="Palatino Linotype"/>
          <w:sz w:val="22"/>
          <w:szCs w:val="22"/>
        </w:rPr>
        <w:t xml:space="preserve">Nro. </w:t>
      </w:r>
      <w:r>
        <w:t>GADDMQ-AZCA-2022-0341-O</w:t>
      </w:r>
      <w:r>
        <w:t xml:space="preserve">, </w:t>
      </w:r>
      <w:r w:rsidRPr="008D5F03">
        <w:rPr>
          <w:rFonts w:ascii="Palatino Linotype" w:hAnsi="Palatino Linotype"/>
          <w:sz w:val="22"/>
          <w:szCs w:val="22"/>
          <w:lang w:val="es-ES"/>
        </w:rPr>
        <w:t xml:space="preserve">de </w:t>
      </w:r>
      <w:r>
        <w:rPr>
          <w:rFonts w:ascii="Palatino Linotype" w:hAnsi="Palatino Linotype"/>
          <w:sz w:val="22"/>
          <w:szCs w:val="22"/>
          <w:lang w:val="es-ES"/>
        </w:rPr>
        <w:t xml:space="preserve">29 </w:t>
      </w:r>
      <w:r w:rsidRPr="008D5F03">
        <w:rPr>
          <w:rFonts w:ascii="Palatino Linotype" w:hAnsi="Palatino Linotype"/>
          <w:sz w:val="22"/>
          <w:szCs w:val="22"/>
          <w:lang w:val="es-ES"/>
        </w:rPr>
        <w:t xml:space="preserve">de </w:t>
      </w:r>
      <w:r>
        <w:rPr>
          <w:rFonts w:ascii="Palatino Linotype" w:hAnsi="Palatino Linotype"/>
          <w:sz w:val="22"/>
          <w:szCs w:val="22"/>
          <w:lang w:val="es-ES"/>
        </w:rPr>
        <w:t>enero de 2022</w:t>
      </w:r>
      <w:r w:rsidRPr="008D5F03">
        <w:rPr>
          <w:rFonts w:ascii="Palatino Linotype" w:hAnsi="Palatino Linotype"/>
          <w:sz w:val="22"/>
          <w:szCs w:val="22"/>
        </w:rPr>
        <w:t xml:space="preserve">, </w:t>
      </w:r>
      <w:r w:rsidR="00842941">
        <w:rPr>
          <w:rFonts w:ascii="Palatino Linotype" w:hAnsi="Palatino Linotype"/>
          <w:sz w:val="22"/>
          <w:szCs w:val="22"/>
        </w:rPr>
        <w:t>la Mgs. Ana María Sánchez, Administradora Zonal Calderón</w:t>
      </w:r>
      <w:r w:rsidRPr="008D5F03">
        <w:rPr>
          <w:rFonts w:ascii="Palatino Linotype" w:hAnsi="Palatino Linotype"/>
          <w:sz w:val="22"/>
          <w:szCs w:val="22"/>
        </w:rPr>
        <w:t xml:space="preserve">, señala: </w:t>
      </w:r>
    </w:p>
    <w:p w:rsidR="00842941" w:rsidRDefault="00842941" w:rsidP="00E75599">
      <w:pPr>
        <w:autoSpaceDE w:val="0"/>
        <w:autoSpaceDN w:val="0"/>
        <w:adjustRightInd w:val="0"/>
        <w:jc w:val="both"/>
        <w:rPr>
          <w:rFonts w:ascii="Palatino Linotype" w:hAnsi="Palatino Linotype"/>
          <w:sz w:val="22"/>
          <w:szCs w:val="22"/>
        </w:rPr>
      </w:pPr>
    </w:p>
    <w:p w:rsidR="00842941" w:rsidRDefault="00842941" w:rsidP="009E4E92">
      <w:pPr>
        <w:autoSpaceDE w:val="0"/>
        <w:autoSpaceDN w:val="0"/>
        <w:adjustRightInd w:val="0"/>
        <w:ind w:left="708"/>
        <w:jc w:val="both"/>
        <w:rPr>
          <w:i/>
        </w:rPr>
      </w:pPr>
      <w:r w:rsidRPr="009E4E92">
        <w:rPr>
          <w:rFonts w:ascii="Palatino Linotype" w:hAnsi="Palatino Linotype"/>
          <w:i/>
          <w:sz w:val="22"/>
          <w:szCs w:val="22"/>
        </w:rPr>
        <w:t>“(…)</w:t>
      </w:r>
      <w:r w:rsidR="002F36C3" w:rsidRPr="009E4E92">
        <w:rPr>
          <w:rFonts w:ascii="Palatino Linotype" w:hAnsi="Palatino Linotype"/>
          <w:i/>
          <w:sz w:val="22"/>
          <w:szCs w:val="22"/>
        </w:rPr>
        <w:t xml:space="preserve"> </w:t>
      </w:r>
      <w:r w:rsidR="009E4E92" w:rsidRPr="009E4E92">
        <w:rPr>
          <w:i/>
        </w:rPr>
        <w:t>Por tanto, el valor por compensación del 15% por ciento del área útil adjudicada mediante sentencia a la fecha de hoy es la que se detalla a continuación pudiendo esta cambiar si cambia el avaluó catastral.</w:t>
      </w:r>
    </w:p>
    <w:p w:rsidR="009E4E92" w:rsidRDefault="009E4E92" w:rsidP="009E4E92">
      <w:pPr>
        <w:autoSpaceDE w:val="0"/>
        <w:autoSpaceDN w:val="0"/>
        <w:adjustRightInd w:val="0"/>
        <w:ind w:left="708"/>
        <w:jc w:val="both"/>
        <w:rPr>
          <w:rFonts w:ascii="Palatino Linotype" w:hAnsi="Palatino Linotype"/>
          <w:i/>
          <w:sz w:val="22"/>
          <w:szCs w:val="22"/>
        </w:rPr>
      </w:pPr>
    </w:p>
    <w:p w:rsidR="009E4E92" w:rsidRPr="009E4E92" w:rsidRDefault="002E1BD8" w:rsidP="009E4E92">
      <w:pPr>
        <w:autoSpaceDE w:val="0"/>
        <w:autoSpaceDN w:val="0"/>
        <w:adjustRightInd w:val="0"/>
        <w:ind w:left="708"/>
        <w:jc w:val="both"/>
        <w:rPr>
          <w:rFonts w:ascii="Palatino Linotype" w:hAnsi="Palatino Linotype"/>
          <w:i/>
          <w:sz w:val="22"/>
          <w:szCs w:val="22"/>
        </w:rPr>
      </w:pPr>
      <w:r w:rsidRPr="002E1BD8">
        <w:rPr>
          <w:rFonts w:ascii="Palatino Linotype" w:hAnsi="Palatino Linotype"/>
          <w:i/>
          <w:sz w:val="22"/>
          <w:szCs w:val="22"/>
        </w:rPr>
        <w:drawing>
          <wp:inline distT="0" distB="0" distL="0" distR="0" wp14:anchorId="21F8D022" wp14:editId="26AA37E8">
            <wp:extent cx="4686954" cy="70494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86954" cy="704948"/>
                    </a:xfrm>
                    <a:prstGeom prst="rect">
                      <a:avLst/>
                    </a:prstGeom>
                  </pic:spPr>
                </pic:pic>
              </a:graphicData>
            </a:graphic>
          </wp:inline>
        </w:drawing>
      </w:r>
    </w:p>
    <w:p w:rsidR="00E75599" w:rsidRDefault="00E75599" w:rsidP="00595410">
      <w:pPr>
        <w:pStyle w:val="Default"/>
        <w:jc w:val="both"/>
        <w:rPr>
          <w:b/>
          <w:sz w:val="22"/>
          <w:szCs w:val="22"/>
        </w:rPr>
      </w:pPr>
    </w:p>
    <w:p w:rsidR="002E1BD8" w:rsidRDefault="002E1BD8" w:rsidP="002E1BD8">
      <w:pPr>
        <w:pStyle w:val="Default"/>
        <w:ind w:left="708"/>
        <w:jc w:val="both"/>
        <w:rPr>
          <w:i/>
        </w:rPr>
      </w:pPr>
      <w:r w:rsidRPr="002E1BD8">
        <w:rPr>
          <w:i/>
        </w:rPr>
        <w:t>En virtud de lo expuesto, ratificamos el informe Técnico y Legal de fechas 24-11-2021 y 08-10-2021 respectivamente referente al valor de contribución correspondiente a $2515.79 a las fechas mencionadas, pudiendo este valor cambiar si cambia el avalúo catastral.</w:t>
      </w:r>
    </w:p>
    <w:p w:rsidR="002E1BD8" w:rsidRPr="002E1BD8" w:rsidRDefault="002E1BD8" w:rsidP="002E1BD8">
      <w:pPr>
        <w:pStyle w:val="Default"/>
        <w:ind w:left="708"/>
        <w:jc w:val="both"/>
        <w:rPr>
          <w:b/>
          <w:i/>
          <w:sz w:val="22"/>
          <w:szCs w:val="22"/>
        </w:rPr>
      </w:pPr>
      <w:bookmarkStart w:id="0" w:name="_GoBack"/>
      <w:bookmarkEnd w:id="0"/>
    </w:p>
    <w:p w:rsidR="000113AC" w:rsidRPr="00DA6F40" w:rsidRDefault="000113AC" w:rsidP="000113AC">
      <w:pPr>
        <w:pStyle w:val="Default"/>
        <w:ind w:left="708" w:hanging="708"/>
        <w:jc w:val="both"/>
        <w:rPr>
          <w:sz w:val="22"/>
          <w:szCs w:val="22"/>
        </w:rPr>
      </w:pPr>
      <w:r w:rsidRPr="00DA6F40">
        <w:rPr>
          <w:b/>
          <w:sz w:val="22"/>
          <w:szCs w:val="22"/>
        </w:rPr>
        <w:t>Que,</w:t>
      </w:r>
      <w:r w:rsidRPr="00DA6F40">
        <w:rPr>
          <w:sz w:val="22"/>
          <w:szCs w:val="22"/>
        </w:rPr>
        <w:t xml:space="preserve"> mediante oficio GADDMQ-PM-2021-0396-O de 29 de enero de 2021, el Dr. Edison Yépez Vinueza, Subprocurador Metropolitano, señala: </w:t>
      </w:r>
    </w:p>
    <w:p w:rsidR="000113AC" w:rsidRPr="00DA6F40" w:rsidRDefault="000113AC" w:rsidP="000113AC">
      <w:pPr>
        <w:tabs>
          <w:tab w:val="left" w:pos="426"/>
        </w:tabs>
        <w:ind w:left="1416" w:right="566"/>
        <w:jc w:val="both"/>
        <w:rPr>
          <w:rFonts w:ascii="Palatino Linotype" w:hAnsi="Palatino Linotype"/>
          <w:i/>
          <w:sz w:val="22"/>
          <w:szCs w:val="22"/>
        </w:rPr>
      </w:pPr>
    </w:p>
    <w:p w:rsidR="000113AC" w:rsidRPr="00DA6F40" w:rsidRDefault="000113AC" w:rsidP="000113AC">
      <w:pPr>
        <w:tabs>
          <w:tab w:val="left" w:pos="284"/>
        </w:tabs>
        <w:ind w:left="708"/>
        <w:jc w:val="both"/>
        <w:rPr>
          <w:rFonts w:ascii="Palatino Linotype" w:hAnsi="Palatino Linotype"/>
          <w:i/>
          <w:sz w:val="22"/>
          <w:szCs w:val="22"/>
        </w:rPr>
      </w:pPr>
      <w:r w:rsidRPr="00DA6F40">
        <w:rPr>
          <w:rFonts w:ascii="Palatino Linotype" w:hAnsi="Palatino Linotype"/>
          <w:i/>
          <w:sz w:val="22"/>
          <w:szCs w:val="22"/>
        </w:rPr>
        <w:t xml:space="preserve">“(…) Mediante oficio No. 2950-2010 de 31 de octubre de 2011, la Procuraduría Metropolitana absuelve la consulta planteada por la Secretaría de Coordinación Territorial y Participación Ciudadana, para los casos de fraccionamiento producidos a causa de las </w:t>
      </w:r>
      <w:r w:rsidRPr="00DA6F40">
        <w:rPr>
          <w:rFonts w:ascii="Palatino Linotype" w:hAnsi="Palatino Linotype"/>
          <w:i/>
          <w:sz w:val="22"/>
          <w:szCs w:val="22"/>
        </w:rPr>
        <w:lastRenderedPageBreak/>
        <w:t>sentencias dictadas en juicios de prescripción adquisitiva de dominio y se pronunció respecto del procedimiento a seguir para el cumplimiento y ejecución de dichas sentencias.</w:t>
      </w:r>
    </w:p>
    <w:p w:rsidR="000113AC" w:rsidRPr="00DA6F40" w:rsidRDefault="000113AC" w:rsidP="000113AC">
      <w:pPr>
        <w:tabs>
          <w:tab w:val="left" w:pos="284"/>
        </w:tabs>
        <w:ind w:left="708"/>
        <w:jc w:val="both"/>
        <w:rPr>
          <w:rFonts w:ascii="Palatino Linotype" w:hAnsi="Palatino Linotype"/>
          <w:i/>
          <w:sz w:val="22"/>
          <w:szCs w:val="22"/>
        </w:rPr>
      </w:pPr>
      <w:r w:rsidRPr="00DA6F40">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E969BE" w:rsidRPr="00DA6F40" w:rsidRDefault="00E969BE" w:rsidP="000113AC">
      <w:pPr>
        <w:tabs>
          <w:tab w:val="left" w:pos="284"/>
        </w:tabs>
        <w:ind w:left="708"/>
        <w:jc w:val="both"/>
        <w:rPr>
          <w:rFonts w:ascii="Palatino Linotype" w:hAnsi="Palatino Linotype"/>
          <w:i/>
          <w:sz w:val="22"/>
          <w:szCs w:val="22"/>
        </w:rPr>
      </w:pPr>
    </w:p>
    <w:p w:rsidR="000113AC" w:rsidRPr="00DA6F40" w:rsidRDefault="000113AC" w:rsidP="000113AC">
      <w:pPr>
        <w:tabs>
          <w:tab w:val="left" w:pos="284"/>
        </w:tabs>
        <w:ind w:left="708"/>
        <w:jc w:val="both"/>
        <w:rPr>
          <w:rFonts w:ascii="Palatino Linotype" w:hAnsi="Palatino Linotype"/>
          <w:i/>
          <w:sz w:val="22"/>
          <w:szCs w:val="22"/>
        </w:rPr>
      </w:pPr>
      <w:r w:rsidRPr="00DA6F40">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E969BE" w:rsidRPr="00DA6F40" w:rsidRDefault="00E969BE" w:rsidP="000113AC">
      <w:pPr>
        <w:tabs>
          <w:tab w:val="left" w:pos="284"/>
        </w:tabs>
        <w:ind w:left="708"/>
        <w:jc w:val="both"/>
        <w:rPr>
          <w:rFonts w:ascii="Palatino Linotype" w:hAnsi="Palatino Linotype"/>
          <w:i/>
          <w:sz w:val="22"/>
          <w:szCs w:val="22"/>
        </w:rPr>
      </w:pPr>
    </w:p>
    <w:p w:rsidR="000113AC" w:rsidRPr="00DA6F40" w:rsidRDefault="000113AC" w:rsidP="000113AC">
      <w:pPr>
        <w:tabs>
          <w:tab w:val="left" w:pos="284"/>
        </w:tabs>
        <w:ind w:left="708"/>
        <w:jc w:val="both"/>
        <w:rPr>
          <w:rFonts w:ascii="Palatino Linotype" w:hAnsi="Palatino Linotype"/>
          <w:i/>
          <w:sz w:val="22"/>
          <w:szCs w:val="22"/>
        </w:rPr>
      </w:pPr>
      <w:r w:rsidRPr="00DA6F40">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w:t>
      </w:r>
      <w:r w:rsidR="00CF561D" w:rsidRPr="00DA6F40">
        <w:rPr>
          <w:rFonts w:ascii="Palatino Linotype" w:hAnsi="Palatino Linotype"/>
          <w:i/>
          <w:sz w:val="22"/>
          <w:szCs w:val="22"/>
        </w:rPr>
        <w:t>no de los casos en particular.”;</w:t>
      </w:r>
    </w:p>
    <w:p w:rsidR="005168D0" w:rsidRPr="00DA6F40" w:rsidRDefault="005168D0" w:rsidP="000F0D3B">
      <w:pPr>
        <w:pStyle w:val="Default"/>
        <w:ind w:left="708" w:hanging="708"/>
        <w:jc w:val="both"/>
        <w:rPr>
          <w:b/>
          <w:i/>
          <w:sz w:val="22"/>
          <w:szCs w:val="22"/>
        </w:rPr>
      </w:pPr>
    </w:p>
    <w:p w:rsidR="00D46EAD" w:rsidRPr="008D5F03" w:rsidRDefault="009C7AA1" w:rsidP="002D415C">
      <w:pPr>
        <w:pStyle w:val="Default"/>
        <w:ind w:left="708" w:hanging="708"/>
        <w:jc w:val="both"/>
        <w:rPr>
          <w:sz w:val="22"/>
          <w:szCs w:val="22"/>
        </w:rPr>
      </w:pPr>
      <w:r w:rsidRPr="00DA6F40">
        <w:rPr>
          <w:b/>
          <w:sz w:val="22"/>
          <w:szCs w:val="22"/>
        </w:rPr>
        <w:t xml:space="preserve">Que, </w:t>
      </w:r>
      <w:r w:rsidR="00D46EAD">
        <w:rPr>
          <w:sz w:val="22"/>
          <w:szCs w:val="22"/>
        </w:rPr>
        <w:t>m</w:t>
      </w:r>
      <w:r w:rsidR="00D46EAD" w:rsidRPr="008D5F03">
        <w:rPr>
          <w:sz w:val="22"/>
          <w:szCs w:val="22"/>
        </w:rPr>
        <w:t xml:space="preserve">ediante </w:t>
      </w:r>
      <w:r w:rsidR="00D46EAD" w:rsidRPr="008D5F03">
        <w:rPr>
          <w:sz w:val="22"/>
          <w:szCs w:val="22"/>
          <w:lang w:val="es-EC"/>
        </w:rPr>
        <w:t xml:space="preserve">Memorando Nro. GADDMQ-AZCA-AJ-2021-0486-M </w:t>
      </w:r>
      <w:r w:rsidR="00D46EAD" w:rsidRPr="008D5F03">
        <w:rPr>
          <w:sz w:val="22"/>
          <w:szCs w:val="22"/>
        </w:rPr>
        <w:t>de 08 de diciembre</w:t>
      </w:r>
      <w:r w:rsidR="0018204A">
        <w:rPr>
          <w:sz w:val="22"/>
          <w:szCs w:val="22"/>
        </w:rPr>
        <w:t xml:space="preserve"> de 2021, </w:t>
      </w:r>
      <w:r w:rsidR="00D46EAD" w:rsidRPr="008D5F03">
        <w:rPr>
          <w:sz w:val="22"/>
          <w:szCs w:val="22"/>
        </w:rPr>
        <w:t xml:space="preserve">la </w:t>
      </w:r>
      <w:r w:rsidR="00D46EAD" w:rsidRPr="008D5F03">
        <w:rPr>
          <w:sz w:val="22"/>
          <w:szCs w:val="22"/>
          <w:lang w:val="es-EC"/>
        </w:rPr>
        <w:t>Abg. Lorena Elizabeth Donoso Rivera</w:t>
      </w:r>
      <w:r w:rsidR="00D46EAD" w:rsidRPr="008D5F03">
        <w:rPr>
          <w:sz w:val="22"/>
          <w:szCs w:val="22"/>
        </w:rPr>
        <w:t>, Subprocuradora Zonal de la Administración Calderón, señala:</w:t>
      </w:r>
    </w:p>
    <w:p w:rsidR="00D46EAD" w:rsidRPr="008D5F03" w:rsidRDefault="00D46EAD" w:rsidP="00D46EAD">
      <w:pPr>
        <w:pStyle w:val="Default"/>
        <w:jc w:val="both"/>
        <w:rPr>
          <w:i/>
          <w:sz w:val="22"/>
          <w:szCs w:val="22"/>
        </w:rPr>
      </w:pPr>
    </w:p>
    <w:p w:rsidR="00D46EAD" w:rsidRPr="008D5F03" w:rsidRDefault="00D46EAD" w:rsidP="00D46EAD">
      <w:pPr>
        <w:tabs>
          <w:tab w:val="left" w:pos="284"/>
        </w:tabs>
        <w:ind w:left="708"/>
        <w:jc w:val="both"/>
        <w:rPr>
          <w:rFonts w:ascii="Palatino Linotype" w:eastAsiaTheme="minorHAnsi" w:hAnsi="Palatino Linotype" w:cs="Palatino Linotype"/>
          <w:i/>
          <w:color w:val="000000"/>
          <w:sz w:val="22"/>
          <w:szCs w:val="22"/>
          <w:lang w:eastAsia="en-US"/>
        </w:rPr>
      </w:pPr>
      <w:r w:rsidRPr="008D5F03">
        <w:rPr>
          <w:rFonts w:ascii="Palatino Linotype" w:eastAsiaTheme="minorHAnsi" w:hAnsi="Palatino Linotype" w:cs="Palatino Linotype"/>
          <w:i/>
          <w:color w:val="000000"/>
          <w:sz w:val="22"/>
          <w:szCs w:val="22"/>
          <w:lang w:eastAsia="en-US"/>
        </w:rPr>
        <w:t xml:space="preserve">“Por lo expuesto, esta Dirección Jurídica acogiendo el informe técnico AZCA-DGT-2021-016,de  24  de  noviembre  de  2021,   del  Jefe  de  Gestión  Urbana  y  aprobado  por  la  Directora  de Gestión    Territorial    de    la    Administración    Zonal    Calderón    con    memorando    Nro.GADDMQ-AZCA-DGT-2021-2724-M  de  25  de  noviembre  de  2021,  en  el  que  indica  que  la prescripción  adquisitiva  de  dominio  de  una  parte  del  inmueble  del  predio  No.  390030, </w:t>
      </w:r>
      <w:r w:rsidR="0018204A">
        <w:rPr>
          <w:rFonts w:ascii="Palatino Linotype" w:eastAsiaTheme="minorHAnsi" w:hAnsi="Palatino Linotype" w:cs="Palatino Linotype"/>
          <w:i/>
          <w:color w:val="000000"/>
          <w:sz w:val="22"/>
          <w:szCs w:val="22"/>
          <w:lang w:eastAsia="en-US"/>
        </w:rPr>
        <w:t>Cumple</w:t>
      </w:r>
      <w:r w:rsidR="00B34FBC">
        <w:rPr>
          <w:rFonts w:ascii="Palatino Linotype" w:eastAsiaTheme="minorHAnsi" w:hAnsi="Palatino Linotype" w:cs="Palatino Linotype"/>
          <w:i/>
          <w:color w:val="000000"/>
          <w:sz w:val="22"/>
          <w:szCs w:val="22"/>
          <w:lang w:eastAsia="en-US"/>
        </w:rPr>
        <w:t xml:space="preserve"> con</w:t>
      </w:r>
      <w:r w:rsidRPr="008D5F03">
        <w:rPr>
          <w:rFonts w:ascii="Palatino Linotype" w:eastAsiaTheme="minorHAnsi" w:hAnsi="Palatino Linotype" w:cs="Palatino Linotype"/>
          <w:i/>
          <w:color w:val="000000"/>
          <w:sz w:val="22"/>
          <w:szCs w:val="22"/>
          <w:lang w:eastAsia="en-US"/>
        </w:rPr>
        <w:t xml:space="preserve"> el   </w:t>
      </w:r>
      <w:r w:rsidRPr="008D5F03">
        <w:rPr>
          <w:rFonts w:eastAsiaTheme="minorHAnsi"/>
          <w:i/>
          <w:color w:val="000000"/>
          <w:sz w:val="22"/>
          <w:szCs w:val="22"/>
          <w:lang w:eastAsia="en-US"/>
        </w:rPr>
        <w:t>̈</w:t>
      </w:r>
      <w:r w:rsidRPr="008D5F03">
        <w:rPr>
          <w:rFonts w:ascii="Palatino Linotype" w:eastAsiaTheme="minorHAnsi" w:hAnsi="Palatino Linotype" w:cs="Palatino Linotype"/>
          <w:i/>
          <w:color w:val="000000"/>
          <w:sz w:val="22"/>
          <w:szCs w:val="22"/>
          <w:lang w:eastAsia="en-US"/>
        </w:rPr>
        <w:t xml:space="preserve">Lote  mínimo </w:t>
      </w:r>
      <w:r w:rsidRPr="008D5F03">
        <w:rPr>
          <w:rFonts w:eastAsiaTheme="minorHAnsi"/>
          <w:i/>
          <w:color w:val="000000"/>
          <w:sz w:val="22"/>
          <w:szCs w:val="22"/>
          <w:lang w:eastAsia="en-US"/>
        </w:rPr>
        <w:t>̈</w:t>
      </w:r>
      <w:r w:rsidRPr="008D5F03">
        <w:rPr>
          <w:rFonts w:ascii="Palatino Linotype" w:eastAsiaTheme="minorHAnsi" w:hAnsi="Palatino Linotype" w:cs="Palatino Linotype"/>
          <w:i/>
          <w:color w:val="000000"/>
          <w:sz w:val="22"/>
          <w:szCs w:val="22"/>
          <w:lang w:eastAsia="en-US"/>
        </w:rPr>
        <w:t xml:space="preserve">  establecida  en  la  zonificación  vigente,  pero  al  no  tener  frente hacia una vía pública no cumple con el  </w:t>
      </w:r>
      <w:r w:rsidRPr="008D5F03">
        <w:rPr>
          <w:rFonts w:eastAsiaTheme="minorHAnsi"/>
          <w:i/>
          <w:color w:val="000000"/>
          <w:sz w:val="22"/>
          <w:szCs w:val="22"/>
          <w:lang w:eastAsia="en-US"/>
        </w:rPr>
        <w:t>̈</w:t>
      </w:r>
      <w:r w:rsidRPr="008D5F03">
        <w:rPr>
          <w:rFonts w:ascii="Palatino Linotype" w:eastAsiaTheme="minorHAnsi" w:hAnsi="Palatino Linotype" w:cs="Palatino Linotype"/>
          <w:i/>
          <w:color w:val="000000"/>
          <w:sz w:val="22"/>
          <w:szCs w:val="22"/>
          <w:lang w:eastAsia="en-US"/>
        </w:rPr>
        <w:t xml:space="preserve">Frente mínimo </w:t>
      </w:r>
      <w:r w:rsidRPr="008D5F03">
        <w:rPr>
          <w:rFonts w:eastAsiaTheme="minorHAnsi"/>
          <w:i/>
          <w:color w:val="000000"/>
          <w:sz w:val="22"/>
          <w:szCs w:val="22"/>
          <w:lang w:eastAsia="en-US"/>
        </w:rPr>
        <w:t>̈</w:t>
      </w:r>
      <w:r w:rsidRPr="008D5F03">
        <w:rPr>
          <w:rFonts w:ascii="Palatino Linotype" w:eastAsiaTheme="minorHAnsi" w:hAnsi="Palatino Linotype" w:cs="Palatino Linotype"/>
          <w:i/>
          <w:color w:val="000000"/>
          <w:sz w:val="22"/>
          <w:szCs w:val="22"/>
          <w:lang w:eastAsia="en-US"/>
        </w:rPr>
        <w:t xml:space="preserve">, en este sentido, se deberá proceder conforme lo establece en el COOTAD y la Ordenanza 001”. </w:t>
      </w:r>
    </w:p>
    <w:p w:rsidR="003144EF" w:rsidRPr="00DA6F40" w:rsidRDefault="003144EF" w:rsidP="00B34FBC">
      <w:pPr>
        <w:pStyle w:val="Default"/>
        <w:jc w:val="both"/>
        <w:rPr>
          <w:b/>
          <w:sz w:val="22"/>
          <w:szCs w:val="22"/>
        </w:rPr>
      </w:pPr>
    </w:p>
    <w:p w:rsidR="000113AC" w:rsidRPr="00DA6F40" w:rsidRDefault="000113AC" w:rsidP="000113AC">
      <w:pPr>
        <w:pStyle w:val="Default"/>
        <w:ind w:left="708" w:hanging="708"/>
        <w:jc w:val="both"/>
        <w:rPr>
          <w:sz w:val="22"/>
          <w:szCs w:val="22"/>
        </w:rPr>
      </w:pPr>
      <w:r w:rsidRPr="00DA6F40">
        <w:rPr>
          <w:b/>
          <w:sz w:val="22"/>
          <w:szCs w:val="22"/>
        </w:rPr>
        <w:t xml:space="preserve">Que, </w:t>
      </w:r>
      <w:r w:rsidRPr="00DA6F40">
        <w:rPr>
          <w:sz w:val="22"/>
          <w:szCs w:val="22"/>
        </w:rPr>
        <w:tab/>
        <w:t>la Comisión de Uso de Su</w:t>
      </w:r>
      <w:r w:rsidR="00C31F94" w:rsidRPr="00DA6F40">
        <w:rPr>
          <w:sz w:val="22"/>
          <w:szCs w:val="22"/>
        </w:rPr>
        <w:t xml:space="preserve">elo en sesión ordinaria Nro. </w:t>
      </w:r>
      <w:r w:rsidR="004372D3">
        <w:rPr>
          <w:sz w:val="22"/>
          <w:szCs w:val="22"/>
        </w:rPr>
        <w:t>149</w:t>
      </w:r>
      <w:r w:rsidRPr="00DA6F40">
        <w:rPr>
          <w:sz w:val="22"/>
          <w:szCs w:val="22"/>
        </w:rPr>
        <w:t xml:space="preserve">, de </w:t>
      </w:r>
      <w:r w:rsidR="004372D3">
        <w:rPr>
          <w:sz w:val="22"/>
          <w:szCs w:val="22"/>
        </w:rPr>
        <w:t xml:space="preserve">06 </w:t>
      </w:r>
      <w:r w:rsidRPr="00DA6F40">
        <w:rPr>
          <w:sz w:val="22"/>
          <w:szCs w:val="22"/>
        </w:rPr>
        <w:t xml:space="preserve">de </w:t>
      </w:r>
      <w:r w:rsidR="004372D3">
        <w:rPr>
          <w:sz w:val="22"/>
          <w:szCs w:val="22"/>
        </w:rPr>
        <w:t xml:space="preserve">junio </w:t>
      </w:r>
      <w:r w:rsidR="00061B14" w:rsidRPr="00DA6F40">
        <w:rPr>
          <w:sz w:val="22"/>
          <w:szCs w:val="22"/>
        </w:rPr>
        <w:t>de 2022</w:t>
      </w:r>
      <w:r w:rsidRPr="00DA6F40">
        <w:rPr>
          <w:sz w:val="22"/>
          <w:szCs w:val="22"/>
        </w:rPr>
        <w:t>, analizó los informes técnicos y legale</w:t>
      </w:r>
      <w:r w:rsidR="009D1665" w:rsidRPr="00DA6F40">
        <w:rPr>
          <w:sz w:val="22"/>
          <w:szCs w:val="22"/>
        </w:rPr>
        <w:t>s, que reposan en el expediente</w:t>
      </w:r>
      <w:r w:rsidRPr="00DA6F40">
        <w:rPr>
          <w:sz w:val="22"/>
          <w:szCs w:val="22"/>
        </w:rPr>
        <w:t>,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w:t>
      </w:r>
      <w:r w:rsidR="003D00A7" w:rsidRPr="00DA6F40">
        <w:rPr>
          <w:sz w:val="22"/>
          <w:szCs w:val="22"/>
        </w:rPr>
        <w:t>i</w:t>
      </w:r>
      <w:r w:rsidR="00E0537E" w:rsidRPr="00DA6F40">
        <w:rPr>
          <w:sz w:val="22"/>
          <w:szCs w:val="22"/>
        </w:rPr>
        <w:t xml:space="preserve">ón a las condiciones generales. </w:t>
      </w:r>
      <w:r w:rsidRPr="00DA6F40">
        <w:rPr>
          <w:sz w:val="22"/>
          <w:szCs w:val="22"/>
        </w:rPr>
        <w:t xml:space="preserve"> </w:t>
      </w:r>
    </w:p>
    <w:p w:rsidR="000113AC" w:rsidRPr="00DA6F40"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sz w:val="22"/>
          <w:szCs w:val="22"/>
          <w:lang w:eastAsia="en-US"/>
        </w:rPr>
        <w:lastRenderedPageBreak/>
        <w:t xml:space="preserve">Que, </w:t>
      </w:r>
      <w:r w:rsidRPr="00DA6F40">
        <w:rPr>
          <w:rFonts w:ascii="Palatino Linotype" w:eastAsiaTheme="minorHAnsi" w:hAnsi="Palatino Linotype"/>
          <w:sz w:val="22"/>
          <w:szCs w:val="22"/>
          <w:lang w:eastAsia="en-US"/>
        </w:rPr>
        <w:tab/>
        <w:t>el Concejo Metropolitano de Quito, en sesión pública ordinaria realizada el … de … de 2022, analizó el informe Nro. IC-CUS-202</w:t>
      </w:r>
      <w:r w:rsidR="00061B14" w:rsidRPr="00DA6F40">
        <w:rPr>
          <w:rFonts w:ascii="Palatino Linotype" w:eastAsiaTheme="minorHAnsi" w:hAnsi="Palatino Linotype"/>
          <w:sz w:val="22"/>
          <w:szCs w:val="22"/>
          <w:lang w:eastAsia="en-US"/>
        </w:rPr>
        <w:t>2</w:t>
      </w:r>
      <w:r w:rsidR="007A32EC" w:rsidRPr="00DA6F40">
        <w:rPr>
          <w:rFonts w:ascii="Palatino Linotype" w:eastAsiaTheme="minorHAnsi" w:hAnsi="Palatino Linotype"/>
          <w:sz w:val="22"/>
          <w:szCs w:val="22"/>
          <w:lang w:eastAsia="en-US"/>
        </w:rPr>
        <w:t>-</w:t>
      </w:r>
      <w:r w:rsidR="004729F0">
        <w:rPr>
          <w:rFonts w:ascii="Palatino Linotype" w:eastAsiaTheme="minorHAnsi" w:hAnsi="Palatino Linotype"/>
          <w:sz w:val="22"/>
          <w:szCs w:val="22"/>
          <w:lang w:eastAsia="en-US"/>
        </w:rPr>
        <w:t>060</w:t>
      </w:r>
      <w:r w:rsidRPr="00DA6F40">
        <w:rPr>
          <w:rFonts w:ascii="Palatino Linotype" w:eastAsiaTheme="minorHAnsi" w:hAnsi="Palatino Linotype"/>
          <w:sz w:val="22"/>
          <w:szCs w:val="22"/>
          <w:lang w:eastAsia="en-US"/>
        </w:rPr>
        <w:t xml:space="preserve">, emitido por la Comisión de Uso de Suelo; </w:t>
      </w: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r w:rsidRPr="00DA6F40">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0113AC" w:rsidRPr="00DA6F40"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p>
    <w:p w:rsidR="000113AC" w:rsidRPr="00DA6F40" w:rsidRDefault="000113AC" w:rsidP="000113AC">
      <w:pPr>
        <w:autoSpaceDE w:val="0"/>
        <w:autoSpaceDN w:val="0"/>
        <w:adjustRightInd w:val="0"/>
        <w:spacing w:line="276" w:lineRule="auto"/>
        <w:jc w:val="center"/>
        <w:rPr>
          <w:rFonts w:ascii="Palatino Linotype" w:eastAsiaTheme="minorHAnsi" w:hAnsi="Palatino Linotype"/>
          <w:b/>
          <w:bCs/>
          <w:sz w:val="22"/>
          <w:szCs w:val="22"/>
          <w:lang w:eastAsia="en-US"/>
        </w:rPr>
      </w:pPr>
      <w:r w:rsidRPr="00DA6F40">
        <w:rPr>
          <w:rFonts w:ascii="Palatino Linotype" w:eastAsiaTheme="minorHAnsi" w:hAnsi="Palatino Linotype"/>
          <w:b/>
          <w:bCs/>
          <w:sz w:val="22"/>
          <w:szCs w:val="22"/>
          <w:lang w:eastAsia="en-US"/>
        </w:rPr>
        <w:t>RESUELVE:</w:t>
      </w:r>
    </w:p>
    <w:p w:rsidR="000113AC" w:rsidRPr="00DA6F40" w:rsidRDefault="000113AC" w:rsidP="000113AC">
      <w:pPr>
        <w:autoSpaceDE w:val="0"/>
        <w:autoSpaceDN w:val="0"/>
        <w:adjustRightInd w:val="0"/>
        <w:spacing w:line="276" w:lineRule="auto"/>
        <w:jc w:val="center"/>
        <w:rPr>
          <w:rFonts w:ascii="Palatino Linotype" w:hAnsi="Palatino Linotype"/>
          <w:sz w:val="22"/>
          <w:szCs w:val="22"/>
        </w:rPr>
      </w:pP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Artículo 1.-</w:t>
      </w:r>
      <w:r w:rsidRPr="00DA6F40">
        <w:rPr>
          <w:rFonts w:ascii="Palatino Linotype" w:eastAsiaTheme="minorHAnsi" w:hAnsi="Palatino Linotype"/>
          <w:sz w:val="22"/>
          <w:szCs w:val="22"/>
          <w:lang w:eastAsia="en-US"/>
        </w:rPr>
        <w:t xml:space="preserve"> Acoger el informe Nr</w:t>
      </w:r>
      <w:r w:rsidR="00061B14" w:rsidRPr="00DA6F40">
        <w:rPr>
          <w:rFonts w:ascii="Palatino Linotype" w:eastAsiaTheme="minorHAnsi" w:hAnsi="Palatino Linotype"/>
          <w:sz w:val="22"/>
          <w:szCs w:val="22"/>
          <w:lang w:eastAsia="en-US"/>
        </w:rPr>
        <w:t>o. IC-CUS-2022</w:t>
      </w:r>
      <w:r w:rsidRPr="00DA6F40">
        <w:rPr>
          <w:rFonts w:ascii="Palatino Linotype" w:eastAsiaTheme="minorHAnsi" w:hAnsi="Palatino Linotype"/>
          <w:sz w:val="22"/>
          <w:szCs w:val="22"/>
          <w:lang w:eastAsia="en-US"/>
        </w:rPr>
        <w:t>-</w:t>
      </w:r>
      <w:r w:rsidR="004729F0">
        <w:rPr>
          <w:rFonts w:ascii="Palatino Linotype" w:eastAsiaTheme="minorHAnsi" w:hAnsi="Palatino Linotype"/>
          <w:sz w:val="22"/>
          <w:szCs w:val="22"/>
          <w:lang w:eastAsia="en-US"/>
        </w:rPr>
        <w:t>060</w:t>
      </w:r>
      <w:r w:rsidRPr="00DA6F40">
        <w:rPr>
          <w:rFonts w:ascii="Palatino Linotype" w:eastAsiaTheme="minorHAnsi" w:hAnsi="Palatino Linotype"/>
          <w:sz w:val="22"/>
          <w:szCs w:val="22"/>
          <w:lang w:eastAsia="en-US"/>
        </w:rPr>
        <w:t xml:space="preserve"> emitido por la Comisión de Uso de Suelo, y por tanto, conocer la sentencia de prescripción extraordinaria adquisitiva de dominio y como efecto de dicha sentencia, y para su efectiva ejecución, autorizar la subdivisión del bien en mención, cambiando las condiciones de ese inmueble en particular y generando una excepció</w:t>
      </w:r>
      <w:r w:rsidR="00C167C7" w:rsidRPr="00DA6F40">
        <w:rPr>
          <w:rFonts w:ascii="Palatino Linotype" w:eastAsiaTheme="minorHAnsi" w:hAnsi="Palatino Linotype"/>
          <w:sz w:val="22"/>
          <w:szCs w:val="22"/>
          <w:lang w:eastAsia="en-US"/>
        </w:rPr>
        <w:t xml:space="preserve">n a las condiciones generales. </w:t>
      </w: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DA6F40">
        <w:rPr>
          <w:rFonts w:ascii="Palatino Linotype" w:eastAsiaTheme="minorHAnsi" w:hAnsi="Palatino Linotype"/>
          <w:sz w:val="22"/>
          <w:szCs w:val="22"/>
          <w:lang w:eastAsia="en-US"/>
        </w:rPr>
        <w:t xml:space="preserve">De conformidad con lo dispuesto en el numeral 4 del artículo 2171 del Código Municipal para el Distrito Metropolitano de Quito, </w:t>
      </w:r>
      <w:r w:rsidR="008824AD">
        <w:rPr>
          <w:rFonts w:ascii="Palatino Linotype" w:hAnsi="Palatino Linotype"/>
          <w:color w:val="000000" w:themeColor="text1"/>
          <w:sz w:val="22"/>
          <w:szCs w:val="22"/>
        </w:rPr>
        <w:t>el señor</w:t>
      </w:r>
      <w:r w:rsidR="008824AD" w:rsidRPr="008D5F03">
        <w:rPr>
          <w:rFonts w:ascii="Palatino Linotype" w:hAnsi="Palatino Linotype"/>
          <w:sz w:val="22"/>
          <w:szCs w:val="22"/>
        </w:rPr>
        <w:t xml:space="preserve"> Marco Marcelino Lomas Ayala</w:t>
      </w:r>
      <w:r w:rsidRPr="00DA6F40">
        <w:rPr>
          <w:rFonts w:ascii="Palatino Linotype" w:eastAsiaTheme="minorHAnsi" w:hAnsi="Palatino Linotype"/>
          <w:sz w:val="22"/>
          <w:szCs w:val="22"/>
          <w:lang w:eastAsia="en-US"/>
        </w:rPr>
        <w:t xml:space="preserve">, deberá compensar en valor monetario, la contribución del 15% del área útil adjudicada, que, de acuerdo al cálculo realizado por la Administración Zonal, corresponde al </w:t>
      </w:r>
      <w:r w:rsidRPr="00D71BB9">
        <w:rPr>
          <w:rFonts w:ascii="Palatino Linotype" w:eastAsiaTheme="minorHAnsi" w:hAnsi="Palatino Linotype"/>
          <w:sz w:val="22"/>
          <w:szCs w:val="22"/>
          <w:lang w:eastAsia="en-US"/>
        </w:rPr>
        <w:t xml:space="preserve">valor </w:t>
      </w:r>
      <w:r w:rsidR="00D71BB9">
        <w:rPr>
          <w:rFonts w:ascii="Palatino Linotype" w:hAnsi="Palatino Linotype"/>
          <w:sz w:val="22"/>
          <w:szCs w:val="22"/>
        </w:rPr>
        <w:t xml:space="preserve">de </w:t>
      </w:r>
      <w:r w:rsidR="00E326D5">
        <w:rPr>
          <w:rFonts w:ascii="Palatino Linotype" w:hAnsi="Palatino Linotype"/>
          <w:sz w:val="22"/>
          <w:szCs w:val="22"/>
        </w:rPr>
        <w:t>USD 2</w:t>
      </w:r>
      <w:r w:rsidR="00E326D5">
        <w:t>515.79</w:t>
      </w:r>
      <w:r w:rsidR="00E326D5">
        <w:t xml:space="preserve"> dólares. </w:t>
      </w: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 xml:space="preserve">Artículo 2.- </w:t>
      </w:r>
      <w:r w:rsidRPr="00DA6F40">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0113AC" w:rsidRPr="00DA6F40" w:rsidRDefault="000113AC" w:rsidP="000113AC">
      <w:pPr>
        <w:autoSpaceDE w:val="0"/>
        <w:autoSpaceDN w:val="0"/>
        <w:adjustRightInd w:val="0"/>
        <w:spacing w:line="276" w:lineRule="auto"/>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Disposición Final.-</w:t>
      </w:r>
      <w:r w:rsidRPr="00DA6F40">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DA6F40" w:rsidRDefault="000113AC" w:rsidP="000113AC">
      <w:pPr>
        <w:spacing w:line="276" w:lineRule="auto"/>
        <w:ind w:left="-5"/>
        <w:jc w:val="both"/>
        <w:rPr>
          <w:rFonts w:ascii="Palatino Linotype" w:hAnsi="Palatino Linotype"/>
          <w:sz w:val="22"/>
          <w:szCs w:val="22"/>
        </w:rPr>
      </w:pPr>
      <w:r w:rsidRPr="00DA6F40">
        <w:rPr>
          <w:rFonts w:ascii="Palatino Linotype" w:hAnsi="Palatino Linotype"/>
          <w:sz w:val="22"/>
          <w:szCs w:val="22"/>
        </w:rPr>
        <w:t xml:space="preserve">Dada en la sesión del Concejo Metropolitano de Quito, el ……….. </w:t>
      </w:r>
    </w:p>
    <w:p w:rsidR="000113AC" w:rsidRPr="00DA6F40" w:rsidRDefault="000113AC" w:rsidP="000113AC">
      <w:pPr>
        <w:spacing w:line="276" w:lineRule="auto"/>
        <w:ind w:left="-5"/>
        <w:jc w:val="both"/>
        <w:rPr>
          <w:rFonts w:ascii="Palatino Linotype" w:hAnsi="Palatino Linotype"/>
          <w:sz w:val="22"/>
          <w:szCs w:val="22"/>
        </w:rPr>
      </w:pPr>
    </w:p>
    <w:p w:rsidR="000113AC" w:rsidRPr="00DA6F40" w:rsidRDefault="000113AC" w:rsidP="000113AC">
      <w:pPr>
        <w:spacing w:line="276" w:lineRule="auto"/>
        <w:ind w:left="-5" w:right="-143"/>
        <w:jc w:val="both"/>
        <w:rPr>
          <w:rFonts w:ascii="Palatino Linotype" w:hAnsi="Palatino Linotype"/>
          <w:sz w:val="22"/>
          <w:szCs w:val="22"/>
        </w:rPr>
      </w:pPr>
      <w:r w:rsidRPr="00DA6F40">
        <w:rPr>
          <w:rFonts w:ascii="Palatino Linotype" w:hAnsi="Palatino Linotype"/>
          <w:b/>
          <w:sz w:val="22"/>
          <w:szCs w:val="22"/>
        </w:rPr>
        <w:t xml:space="preserve">Alcaldía del Distrito Metropolitano. - </w:t>
      </w:r>
      <w:r w:rsidRPr="00DA6F40">
        <w:rPr>
          <w:rFonts w:ascii="Palatino Linotype" w:hAnsi="Palatino Linotype"/>
          <w:sz w:val="22"/>
          <w:szCs w:val="22"/>
        </w:rPr>
        <w:t>Distrito Metropolitano de Quito, ………..</w:t>
      </w:r>
    </w:p>
    <w:p w:rsidR="000113AC" w:rsidRPr="00DA6F40" w:rsidRDefault="000113AC" w:rsidP="000113AC">
      <w:pPr>
        <w:spacing w:line="276" w:lineRule="auto"/>
        <w:jc w:val="both"/>
        <w:rPr>
          <w:rFonts w:ascii="Palatino Linotype" w:hAnsi="Palatino Linotype"/>
          <w:sz w:val="22"/>
          <w:szCs w:val="22"/>
        </w:rPr>
      </w:pPr>
    </w:p>
    <w:p w:rsidR="000113AC" w:rsidRPr="00DA6F40" w:rsidRDefault="000113AC" w:rsidP="000113AC">
      <w:pPr>
        <w:spacing w:line="276" w:lineRule="auto"/>
        <w:jc w:val="center"/>
        <w:rPr>
          <w:rFonts w:ascii="Palatino Linotype" w:hAnsi="Palatino Linotype"/>
          <w:sz w:val="22"/>
          <w:szCs w:val="22"/>
        </w:rPr>
      </w:pPr>
      <w:r w:rsidRPr="00DA6F40">
        <w:rPr>
          <w:rFonts w:ascii="Palatino Linotype" w:hAnsi="Palatino Linotype"/>
          <w:b/>
          <w:sz w:val="22"/>
          <w:szCs w:val="22"/>
        </w:rPr>
        <w:t>EJECÚTESE:</w:t>
      </w:r>
    </w:p>
    <w:p w:rsidR="000113AC" w:rsidRPr="00DA6F40" w:rsidRDefault="000113AC" w:rsidP="000113AC">
      <w:pPr>
        <w:spacing w:line="276" w:lineRule="auto"/>
        <w:ind w:left="51"/>
        <w:jc w:val="center"/>
        <w:rPr>
          <w:rFonts w:ascii="Palatino Linotype" w:hAnsi="Palatino Linotype"/>
          <w:sz w:val="22"/>
          <w:szCs w:val="22"/>
        </w:rPr>
      </w:pPr>
    </w:p>
    <w:p w:rsidR="000113AC" w:rsidRPr="00DA6F40" w:rsidRDefault="000113AC" w:rsidP="000113AC">
      <w:pPr>
        <w:spacing w:line="276" w:lineRule="auto"/>
        <w:ind w:left="51"/>
        <w:jc w:val="center"/>
        <w:rPr>
          <w:rFonts w:ascii="Palatino Linotype" w:hAnsi="Palatino Linotype"/>
          <w:sz w:val="22"/>
          <w:szCs w:val="22"/>
        </w:rPr>
      </w:pPr>
    </w:p>
    <w:p w:rsidR="000113AC" w:rsidRPr="00DA6F40" w:rsidRDefault="000113AC" w:rsidP="000113AC">
      <w:pPr>
        <w:spacing w:line="276" w:lineRule="auto"/>
        <w:ind w:left="51"/>
        <w:jc w:val="center"/>
        <w:rPr>
          <w:rFonts w:ascii="Palatino Linotype" w:hAnsi="Palatino Linotype"/>
          <w:sz w:val="22"/>
          <w:szCs w:val="22"/>
        </w:rPr>
      </w:pPr>
    </w:p>
    <w:p w:rsidR="000113AC" w:rsidRPr="00DA6F40" w:rsidRDefault="000113AC" w:rsidP="000113AC">
      <w:pPr>
        <w:spacing w:line="276" w:lineRule="auto"/>
        <w:ind w:left="51"/>
        <w:jc w:val="center"/>
        <w:rPr>
          <w:rFonts w:ascii="Palatino Linotype" w:hAnsi="Palatino Linotype"/>
          <w:sz w:val="22"/>
          <w:szCs w:val="22"/>
        </w:rPr>
      </w:pPr>
      <w:r w:rsidRPr="00DA6F40">
        <w:rPr>
          <w:rFonts w:ascii="Palatino Linotype" w:hAnsi="Palatino Linotype"/>
          <w:sz w:val="22"/>
          <w:szCs w:val="22"/>
        </w:rPr>
        <w:lastRenderedPageBreak/>
        <w:t>Dr. Santiago Guarderas Izquierdo</w:t>
      </w:r>
    </w:p>
    <w:p w:rsidR="000113AC" w:rsidRPr="00DA6F40" w:rsidRDefault="000113AC" w:rsidP="000113AC">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DA6F40">
        <w:rPr>
          <w:rFonts w:ascii="Palatino Linotype" w:eastAsia="Palatino Linotype" w:hAnsi="Palatino Linotype" w:cs="Palatino Linotype"/>
          <w:b/>
          <w:color w:val="000000"/>
          <w:sz w:val="22"/>
          <w:szCs w:val="22"/>
          <w:lang w:eastAsia="es-EC"/>
        </w:rPr>
        <w:t>ALCALDE DEL DISTRITO METROPOLITANO DE QUITO</w:t>
      </w:r>
    </w:p>
    <w:p w:rsidR="000113AC" w:rsidRPr="00DA6F40" w:rsidRDefault="000113AC" w:rsidP="000113AC">
      <w:pPr>
        <w:spacing w:line="276" w:lineRule="auto"/>
        <w:jc w:val="center"/>
        <w:rPr>
          <w:rFonts w:ascii="Palatino Linotype" w:hAnsi="Palatino Linotype"/>
          <w:sz w:val="22"/>
          <w:szCs w:val="22"/>
        </w:rPr>
      </w:pPr>
    </w:p>
    <w:p w:rsidR="000113AC" w:rsidRPr="00DA6F40" w:rsidRDefault="000113AC" w:rsidP="000113AC">
      <w:pPr>
        <w:spacing w:line="276" w:lineRule="auto"/>
        <w:ind w:left="-5"/>
        <w:jc w:val="both"/>
        <w:rPr>
          <w:rFonts w:ascii="Palatino Linotype" w:hAnsi="Palatino Linotype"/>
          <w:sz w:val="22"/>
          <w:szCs w:val="22"/>
        </w:rPr>
      </w:pPr>
      <w:r w:rsidRPr="00DA6F40">
        <w:rPr>
          <w:rFonts w:ascii="Palatino Linotype" w:hAnsi="Palatino Linotype"/>
          <w:b/>
          <w:sz w:val="22"/>
          <w:szCs w:val="22"/>
        </w:rPr>
        <w:t>CERTIFICO,</w:t>
      </w:r>
      <w:r w:rsidRPr="00DA6F40">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0113AC" w:rsidRPr="00DA6F40" w:rsidRDefault="000113AC" w:rsidP="000113AC">
      <w:pPr>
        <w:spacing w:line="276" w:lineRule="auto"/>
        <w:jc w:val="both"/>
        <w:rPr>
          <w:rFonts w:ascii="Palatino Linotype" w:hAnsi="Palatino Linotype"/>
          <w:sz w:val="22"/>
          <w:szCs w:val="22"/>
        </w:rPr>
      </w:pPr>
      <w:r w:rsidRPr="00DA6F40">
        <w:rPr>
          <w:rFonts w:ascii="Palatino Linotype" w:hAnsi="Palatino Linotype"/>
          <w:b/>
          <w:sz w:val="22"/>
          <w:szCs w:val="22"/>
        </w:rPr>
        <w:t xml:space="preserve"> </w:t>
      </w:r>
    </w:p>
    <w:p w:rsidR="000113AC" w:rsidRPr="00DA6F40" w:rsidRDefault="000113AC" w:rsidP="000113AC">
      <w:pPr>
        <w:spacing w:line="276" w:lineRule="auto"/>
        <w:ind w:left="-5"/>
        <w:jc w:val="both"/>
        <w:rPr>
          <w:rFonts w:ascii="Palatino Linotype" w:hAnsi="Palatino Linotype"/>
          <w:sz w:val="22"/>
          <w:szCs w:val="22"/>
          <w:highlight w:val="yellow"/>
        </w:rPr>
      </w:pPr>
      <w:r w:rsidRPr="00DA6F40">
        <w:rPr>
          <w:rFonts w:ascii="Palatino Linotype" w:hAnsi="Palatino Linotype"/>
          <w:b/>
          <w:sz w:val="22"/>
          <w:szCs w:val="22"/>
        </w:rPr>
        <w:t xml:space="preserve">Lo certifico. - </w:t>
      </w:r>
      <w:r w:rsidR="00754E1F" w:rsidRPr="00DA6F40">
        <w:rPr>
          <w:rFonts w:ascii="Palatino Linotype" w:hAnsi="Palatino Linotype"/>
          <w:sz w:val="22"/>
          <w:szCs w:val="22"/>
        </w:rPr>
        <w:t>Distrito Metropolitano de Quito</w:t>
      </w:r>
      <w:r w:rsidRPr="00DA6F40">
        <w:rPr>
          <w:rFonts w:ascii="Palatino Linotype" w:hAnsi="Palatino Linotype"/>
          <w:sz w:val="22"/>
          <w:szCs w:val="22"/>
        </w:rPr>
        <w:t xml:space="preserve">. </w:t>
      </w:r>
    </w:p>
    <w:p w:rsidR="000113AC" w:rsidRPr="00DA6F40" w:rsidRDefault="000113AC" w:rsidP="000113AC">
      <w:pPr>
        <w:spacing w:line="276" w:lineRule="auto"/>
        <w:jc w:val="both"/>
        <w:rPr>
          <w:rFonts w:ascii="Palatino Linotype" w:hAnsi="Palatino Linotype"/>
          <w:sz w:val="22"/>
          <w:szCs w:val="22"/>
          <w:highlight w:val="yellow"/>
        </w:rPr>
      </w:pPr>
      <w:r w:rsidRPr="00DA6F40">
        <w:rPr>
          <w:rFonts w:ascii="Palatino Linotype" w:hAnsi="Palatino Linotype"/>
          <w:sz w:val="22"/>
          <w:szCs w:val="22"/>
          <w:highlight w:val="yellow"/>
        </w:rPr>
        <w:t xml:space="preserve"> </w:t>
      </w:r>
    </w:p>
    <w:p w:rsidR="000113AC" w:rsidRPr="00DA6F40" w:rsidRDefault="000113AC" w:rsidP="000113AC">
      <w:pPr>
        <w:spacing w:line="276" w:lineRule="auto"/>
        <w:jc w:val="both"/>
        <w:rPr>
          <w:rFonts w:ascii="Palatino Linotype" w:hAnsi="Palatino Linotype"/>
          <w:sz w:val="22"/>
          <w:szCs w:val="22"/>
          <w:highlight w:val="yellow"/>
        </w:rPr>
      </w:pPr>
    </w:p>
    <w:p w:rsidR="000113AC" w:rsidRPr="00DA6F40" w:rsidRDefault="000113AC" w:rsidP="000113AC">
      <w:pPr>
        <w:spacing w:line="276" w:lineRule="auto"/>
        <w:jc w:val="both"/>
        <w:rPr>
          <w:rFonts w:ascii="Palatino Linotype" w:hAnsi="Palatino Linotype"/>
          <w:sz w:val="22"/>
          <w:szCs w:val="22"/>
          <w:highlight w:val="yellow"/>
        </w:rPr>
      </w:pPr>
      <w:r w:rsidRPr="00DA6F40">
        <w:rPr>
          <w:rFonts w:ascii="Palatino Linotype" w:hAnsi="Palatino Linotype"/>
          <w:sz w:val="22"/>
          <w:szCs w:val="22"/>
          <w:highlight w:val="yellow"/>
        </w:rPr>
        <w:t xml:space="preserve"> </w:t>
      </w:r>
    </w:p>
    <w:p w:rsidR="000113AC" w:rsidRPr="00DA6F40" w:rsidRDefault="000113AC" w:rsidP="000113AC">
      <w:pPr>
        <w:spacing w:line="276" w:lineRule="auto"/>
        <w:jc w:val="both"/>
        <w:rPr>
          <w:rFonts w:ascii="Palatino Linotype" w:hAnsi="Palatino Linotype"/>
          <w:sz w:val="22"/>
          <w:szCs w:val="22"/>
          <w:highlight w:val="yellow"/>
        </w:rPr>
      </w:pPr>
      <w:r w:rsidRPr="00DA6F40">
        <w:rPr>
          <w:rFonts w:ascii="Palatino Linotype" w:hAnsi="Palatino Linotype"/>
          <w:sz w:val="22"/>
          <w:szCs w:val="22"/>
          <w:highlight w:val="yellow"/>
        </w:rPr>
        <w:t xml:space="preserve"> </w:t>
      </w:r>
    </w:p>
    <w:p w:rsidR="000113AC" w:rsidRPr="00DA6F40" w:rsidRDefault="000113AC" w:rsidP="000113AC">
      <w:pPr>
        <w:spacing w:line="276" w:lineRule="auto"/>
        <w:jc w:val="center"/>
        <w:rPr>
          <w:rFonts w:ascii="Palatino Linotype" w:hAnsi="Palatino Linotype"/>
          <w:sz w:val="22"/>
          <w:szCs w:val="22"/>
        </w:rPr>
      </w:pPr>
      <w:r w:rsidRPr="00DA6F40">
        <w:rPr>
          <w:rFonts w:ascii="Palatino Linotype" w:hAnsi="Palatino Linotype"/>
          <w:sz w:val="22"/>
          <w:szCs w:val="22"/>
        </w:rPr>
        <w:t>Abg. Pablo Santillán Paredes</w:t>
      </w:r>
    </w:p>
    <w:p w:rsidR="000113AC" w:rsidRPr="00DA6F40" w:rsidRDefault="000113AC" w:rsidP="000113AC">
      <w:pPr>
        <w:spacing w:line="276" w:lineRule="auto"/>
        <w:jc w:val="center"/>
        <w:rPr>
          <w:rFonts w:ascii="Palatino Linotype" w:eastAsia="Calibri" w:hAnsi="Palatino Linotype"/>
          <w:b/>
          <w:sz w:val="22"/>
          <w:szCs w:val="22"/>
          <w:lang w:eastAsia="en-US"/>
        </w:rPr>
      </w:pPr>
      <w:r w:rsidRPr="00DA6F40">
        <w:rPr>
          <w:rFonts w:ascii="Palatino Linotype" w:eastAsia="Calibri" w:hAnsi="Palatino Linotype"/>
          <w:b/>
          <w:sz w:val="22"/>
          <w:szCs w:val="22"/>
          <w:lang w:eastAsia="en-US"/>
        </w:rPr>
        <w:t>SECRETARIO GENERAL DEL CONCEJO METROPOLITANO DE QUITO</w:t>
      </w:r>
    </w:p>
    <w:p w:rsidR="000113AC" w:rsidRPr="00DA6F40" w:rsidRDefault="000113AC" w:rsidP="000113AC">
      <w:pPr>
        <w:pStyle w:val="Sinespaciado"/>
        <w:jc w:val="center"/>
        <w:rPr>
          <w:rFonts w:ascii="Palatino Linotype" w:hAnsi="Palatino Linotype"/>
          <w:b/>
          <w:sz w:val="22"/>
          <w:szCs w:val="22"/>
        </w:rPr>
      </w:pPr>
    </w:p>
    <w:p w:rsidR="000113AC" w:rsidRPr="00DA6F40" w:rsidRDefault="000113AC" w:rsidP="000113AC">
      <w:pPr>
        <w:rPr>
          <w:rFonts w:ascii="Palatino Linotype" w:hAnsi="Palatino Linotype"/>
          <w:sz w:val="22"/>
          <w:szCs w:val="22"/>
        </w:rPr>
      </w:pPr>
    </w:p>
    <w:p w:rsidR="000113AC" w:rsidRPr="00DA6F40" w:rsidRDefault="000113AC" w:rsidP="000113AC">
      <w:pPr>
        <w:rPr>
          <w:rFonts w:ascii="Palatino Linotype" w:hAnsi="Palatino Linotype"/>
          <w:sz w:val="22"/>
          <w:szCs w:val="22"/>
        </w:rPr>
      </w:pPr>
    </w:p>
    <w:p w:rsidR="00A70E2E" w:rsidRPr="00DA6F40" w:rsidRDefault="00A70E2E">
      <w:pPr>
        <w:rPr>
          <w:rFonts w:ascii="Palatino Linotype" w:hAnsi="Palatino Linotype"/>
          <w:sz w:val="22"/>
          <w:szCs w:val="22"/>
        </w:rPr>
      </w:pPr>
    </w:p>
    <w:sectPr w:rsidR="00A70E2E" w:rsidRPr="00DA6F40" w:rsidSect="005D2467">
      <w:headerReference w:type="default" r:id="rId8"/>
      <w:footerReference w:type="default" r:id="rId9"/>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2CE" w:rsidRDefault="00DA62CE">
      <w:r>
        <w:separator/>
      </w:r>
    </w:p>
  </w:endnote>
  <w:endnote w:type="continuationSeparator" w:id="0">
    <w:p w:rsidR="00DA62CE" w:rsidRDefault="00DA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754E1F">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2E1BD8">
              <w:rPr>
                <w:rFonts w:ascii="Palatino Linotype" w:hAnsi="Palatino Linotype"/>
                <w:b/>
                <w:bCs/>
                <w:noProof/>
                <w:sz w:val="20"/>
                <w:szCs w:val="20"/>
              </w:rPr>
              <w:t>5</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2E1BD8">
              <w:rPr>
                <w:rFonts w:ascii="Palatino Linotype" w:hAnsi="Palatino Linotype"/>
                <w:b/>
                <w:bCs/>
                <w:noProof/>
                <w:sz w:val="20"/>
                <w:szCs w:val="20"/>
              </w:rPr>
              <w:t>8</w:t>
            </w:r>
            <w:r w:rsidRPr="00707DE5">
              <w:rPr>
                <w:rFonts w:ascii="Palatino Linotype" w:hAnsi="Palatino Linotype"/>
                <w:b/>
                <w:bCs/>
                <w:sz w:val="20"/>
                <w:szCs w:val="20"/>
              </w:rPr>
              <w:fldChar w:fldCharType="end"/>
            </w:r>
          </w:p>
          <w:p w:rsidR="005D2467" w:rsidRPr="008479FB" w:rsidRDefault="00DA62CE">
            <w:pPr>
              <w:pStyle w:val="Piedepgina"/>
              <w:jc w:val="right"/>
              <w:rPr>
                <w:rFonts w:ascii="Palatino Linotype" w:hAnsi="Palatino Linotype"/>
                <w:sz w:val="20"/>
                <w:szCs w:val="20"/>
              </w:rPr>
            </w:pPr>
          </w:p>
        </w:sdtContent>
      </w:sdt>
    </w:sdtContent>
  </w:sdt>
  <w:p w:rsidR="005D2467" w:rsidRPr="008479FB" w:rsidRDefault="00DA62CE">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2CE" w:rsidRDefault="00DA62CE">
      <w:r>
        <w:separator/>
      </w:r>
    </w:p>
  </w:footnote>
  <w:footnote w:type="continuationSeparator" w:id="0">
    <w:p w:rsidR="00DA62CE" w:rsidRDefault="00DA62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DA62CE"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DA62CE"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DA62C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AC"/>
    <w:rsid w:val="000022D4"/>
    <w:rsid w:val="000113AC"/>
    <w:rsid w:val="000320FA"/>
    <w:rsid w:val="000350C3"/>
    <w:rsid w:val="00036C0E"/>
    <w:rsid w:val="00061B14"/>
    <w:rsid w:val="000F0D3B"/>
    <w:rsid w:val="000F53A8"/>
    <w:rsid w:val="000F6D87"/>
    <w:rsid w:val="0010315E"/>
    <w:rsid w:val="001203A0"/>
    <w:rsid w:val="00135676"/>
    <w:rsid w:val="00162AB0"/>
    <w:rsid w:val="0018204A"/>
    <w:rsid w:val="001A37F6"/>
    <w:rsid w:val="001A6EE6"/>
    <w:rsid w:val="001D43D9"/>
    <w:rsid w:val="001E6BB2"/>
    <w:rsid w:val="001F18A5"/>
    <w:rsid w:val="002435E3"/>
    <w:rsid w:val="002C0724"/>
    <w:rsid w:val="002D415C"/>
    <w:rsid w:val="002E1BD8"/>
    <w:rsid w:val="002E3F59"/>
    <w:rsid w:val="002F36C3"/>
    <w:rsid w:val="003057C1"/>
    <w:rsid w:val="00310B84"/>
    <w:rsid w:val="00311483"/>
    <w:rsid w:val="003144EF"/>
    <w:rsid w:val="003328D7"/>
    <w:rsid w:val="00372B0E"/>
    <w:rsid w:val="00385ABB"/>
    <w:rsid w:val="003B6356"/>
    <w:rsid w:val="003D00A7"/>
    <w:rsid w:val="004372D3"/>
    <w:rsid w:val="00462DF6"/>
    <w:rsid w:val="00462FAA"/>
    <w:rsid w:val="004729F0"/>
    <w:rsid w:val="00493A79"/>
    <w:rsid w:val="004948A2"/>
    <w:rsid w:val="0049515C"/>
    <w:rsid w:val="004E4064"/>
    <w:rsid w:val="004F29ED"/>
    <w:rsid w:val="0050436B"/>
    <w:rsid w:val="005168D0"/>
    <w:rsid w:val="00531F8A"/>
    <w:rsid w:val="005839EA"/>
    <w:rsid w:val="00595410"/>
    <w:rsid w:val="005A184C"/>
    <w:rsid w:val="005C1350"/>
    <w:rsid w:val="005D7A61"/>
    <w:rsid w:val="005F4329"/>
    <w:rsid w:val="0060538D"/>
    <w:rsid w:val="00606CEF"/>
    <w:rsid w:val="00626F33"/>
    <w:rsid w:val="006273BD"/>
    <w:rsid w:val="00630C41"/>
    <w:rsid w:val="00635D5D"/>
    <w:rsid w:val="006378A2"/>
    <w:rsid w:val="00656876"/>
    <w:rsid w:val="006767EB"/>
    <w:rsid w:val="00694D54"/>
    <w:rsid w:val="006F2BAD"/>
    <w:rsid w:val="006F6D18"/>
    <w:rsid w:val="00704417"/>
    <w:rsid w:val="00722F25"/>
    <w:rsid w:val="00754E1F"/>
    <w:rsid w:val="00757FA6"/>
    <w:rsid w:val="007854B8"/>
    <w:rsid w:val="00796E58"/>
    <w:rsid w:val="007A32EC"/>
    <w:rsid w:val="007E076B"/>
    <w:rsid w:val="00804DD4"/>
    <w:rsid w:val="00842941"/>
    <w:rsid w:val="0085024D"/>
    <w:rsid w:val="008532E8"/>
    <w:rsid w:val="008824AD"/>
    <w:rsid w:val="008A28F7"/>
    <w:rsid w:val="00902F65"/>
    <w:rsid w:val="009061F9"/>
    <w:rsid w:val="009441E9"/>
    <w:rsid w:val="00967D02"/>
    <w:rsid w:val="00971DAC"/>
    <w:rsid w:val="009906BE"/>
    <w:rsid w:val="009C51D6"/>
    <w:rsid w:val="009C7AA1"/>
    <w:rsid w:val="009D1665"/>
    <w:rsid w:val="009D3508"/>
    <w:rsid w:val="009E4E92"/>
    <w:rsid w:val="00A05387"/>
    <w:rsid w:val="00A3193F"/>
    <w:rsid w:val="00A37080"/>
    <w:rsid w:val="00A43B85"/>
    <w:rsid w:val="00A53CCA"/>
    <w:rsid w:val="00A666D4"/>
    <w:rsid w:val="00A70E2E"/>
    <w:rsid w:val="00AD76F0"/>
    <w:rsid w:val="00AD7AF2"/>
    <w:rsid w:val="00AE729F"/>
    <w:rsid w:val="00AF1FF5"/>
    <w:rsid w:val="00B34FBC"/>
    <w:rsid w:val="00B456A6"/>
    <w:rsid w:val="00B52FC7"/>
    <w:rsid w:val="00B9427A"/>
    <w:rsid w:val="00BE06CC"/>
    <w:rsid w:val="00C167C7"/>
    <w:rsid w:val="00C31F94"/>
    <w:rsid w:val="00C37F48"/>
    <w:rsid w:val="00C45A11"/>
    <w:rsid w:val="00C55EC2"/>
    <w:rsid w:val="00C70B8C"/>
    <w:rsid w:val="00C92ED6"/>
    <w:rsid w:val="00CC57B0"/>
    <w:rsid w:val="00CC6BBC"/>
    <w:rsid w:val="00CD56D1"/>
    <w:rsid w:val="00CF122E"/>
    <w:rsid w:val="00CF561D"/>
    <w:rsid w:val="00D24C41"/>
    <w:rsid w:val="00D46EAD"/>
    <w:rsid w:val="00D50F32"/>
    <w:rsid w:val="00D71BB9"/>
    <w:rsid w:val="00D834DC"/>
    <w:rsid w:val="00D90E77"/>
    <w:rsid w:val="00DA62CE"/>
    <w:rsid w:val="00DA6F40"/>
    <w:rsid w:val="00DC7143"/>
    <w:rsid w:val="00DF169C"/>
    <w:rsid w:val="00DF190B"/>
    <w:rsid w:val="00E0537E"/>
    <w:rsid w:val="00E31911"/>
    <w:rsid w:val="00E326D5"/>
    <w:rsid w:val="00E661F9"/>
    <w:rsid w:val="00E75599"/>
    <w:rsid w:val="00E969BE"/>
    <w:rsid w:val="00EA3F70"/>
    <w:rsid w:val="00EB28B4"/>
    <w:rsid w:val="00ED0FE0"/>
    <w:rsid w:val="00F112C0"/>
    <w:rsid w:val="00F1475B"/>
    <w:rsid w:val="00F23370"/>
    <w:rsid w:val="00F57398"/>
    <w:rsid w:val="00F66680"/>
    <w:rsid w:val="00F7765D"/>
    <w:rsid w:val="00FF7DA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F89C"/>
  <w15:chartTrackingRefBased/>
  <w15:docId w15:val="{0F731E31-9764-4894-A81A-30D2752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0113AC"/>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0113AC"/>
    <w:rPr>
      <w:sz w:val="20"/>
      <w:szCs w:val="20"/>
    </w:rPr>
  </w:style>
  <w:style w:type="paragraph" w:styleId="Piedepgina">
    <w:name w:val="footer"/>
    <w:basedOn w:val="Normal"/>
    <w:link w:val="PiedepginaCar"/>
    <w:uiPriority w:val="99"/>
    <w:unhideWhenUsed/>
    <w:rsid w:val="000113AC"/>
    <w:pPr>
      <w:tabs>
        <w:tab w:val="center" w:pos="4252"/>
        <w:tab w:val="right" w:pos="8504"/>
      </w:tabs>
    </w:pPr>
  </w:style>
  <w:style w:type="character" w:customStyle="1" w:styleId="PiedepginaCar">
    <w:name w:val="Pie de página Car"/>
    <w:basedOn w:val="Fuentedeprrafopredeter"/>
    <w:link w:val="Piedepgina"/>
    <w:uiPriority w:val="99"/>
    <w:rsid w:val="000113AC"/>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13AC"/>
    <w:pPr>
      <w:tabs>
        <w:tab w:val="center" w:pos="4419"/>
        <w:tab w:val="right" w:pos="8838"/>
      </w:tabs>
    </w:pPr>
  </w:style>
  <w:style w:type="character" w:customStyle="1" w:styleId="EncabezadoCar">
    <w:name w:val="Encabezado Car"/>
    <w:basedOn w:val="Fuentedeprrafopredeter"/>
    <w:link w:val="Encabezado"/>
    <w:uiPriority w:val="99"/>
    <w:rsid w:val="000113AC"/>
    <w:rPr>
      <w:rFonts w:ascii="Times New Roman" w:eastAsia="Times New Roman" w:hAnsi="Times New Roman" w:cs="Times New Roman"/>
      <w:sz w:val="24"/>
      <w:szCs w:val="24"/>
      <w:lang w:eastAsia="es-ES_tradnl"/>
    </w:rPr>
  </w:style>
  <w:style w:type="paragraph" w:customStyle="1" w:styleId="Default">
    <w:name w:val="Default"/>
    <w:rsid w:val="000113AC"/>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Textodeglobo">
    <w:name w:val="Balloon Text"/>
    <w:basedOn w:val="Normal"/>
    <w:link w:val="TextodegloboCar"/>
    <w:uiPriority w:val="99"/>
    <w:semiHidden/>
    <w:unhideWhenUsed/>
    <w:rsid w:val="0099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BE"/>
    <w:rPr>
      <w:rFonts w:ascii="Tahoma" w:eastAsia="Times New Roman" w:hAnsi="Tahoma" w:cs="Tahoma"/>
      <w:sz w:val="16"/>
      <w:szCs w:val="16"/>
      <w:lang w:eastAsia="es-ES_tradnl"/>
    </w:rPr>
  </w:style>
  <w:style w:type="table" w:styleId="Tablaconcuadrcula">
    <w:name w:val="Table Grid"/>
    <w:basedOn w:val="Tablanormal"/>
    <w:uiPriority w:val="59"/>
    <w:rsid w:val="00AF1F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2482</Words>
  <Characters>13855</Characters>
  <Application>Microsoft Office Word</Application>
  <DocSecurity>0</DocSecurity>
  <Lines>1259</Lines>
  <Paragraphs>526</Paragraphs>
  <ScaleCrop>false</ScaleCrop>
  <Company>HP Inc.</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279</cp:revision>
  <dcterms:created xsi:type="dcterms:W3CDTF">2022-08-17T20:37:00Z</dcterms:created>
  <dcterms:modified xsi:type="dcterms:W3CDTF">2022-09-22T19:36:00Z</dcterms:modified>
</cp:coreProperties>
</file>