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RESOLUCIÓN No. XXX</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EL CONCEJO METROPOLITANO DE QUITO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CONSIDERANDO:</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Que, el artículo 3 de la Constitución de la República del Ecuador (en adelante “Constitución”), con relación a los deberes primordiales del Estado, en su número 8, establece: “8. Garantizar a sus habitantes el derecho a una cultura de paz, a la seguridad integral y a vivir en una sociedad democrática y libre de corrupción.”;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Que, el artículo 226 de la Constitución, establece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Que, el artículo 227 de la Constitución, señala que: “La administración pública constituye un servicio a la colectividad que se rige por los principios de eficacia, eficiencia, calidad, jerarquía, desconcentración, descentralización, coordinación, participación, planificación, transparencia y evaluación”.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Que, el artículo 389 de la Constitución, con relación a la gestión de riesgos, determina: “El Estado protegerá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 El sistema nacional descentralizado de gestión de riesgo está compuesto por las unidades de gestión de riesgo de todas las instituciones públicas y privadas en los ámbitos local, regional y nacional. (…)”;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Que, el artículo 390 de la Constitución, señala: “Los riesgos se gestionarán bajo el principio de descentralización subsidiaria, que implicará la responsabilidad directa de las instituciones dentro de su ámbito geográfico. Cuando sus capacidades para la gestión del riesgo sean insuficientes, las instancias de mayor ámbito territorial y mayor capacidad técnica y financiera brindarán el apoyo necesario con respeto a su autoridad en el territorio y sin relevarlos de su responsabilidad.”;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Que, el artículo 393 de la Constitución, prevé: “El 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Que, el artículo 86 del Código Orgánico de Organización Territorial, Autonomía y Descentralización (en adelante “COOTAD”) señala que: “El concejo metropolitano es el órgano de legislación y fiscalización del gobierno autónomo descentralizado del distrito metropolitano. Estará integrado por los concejales o concejalas elegidos por votación popular de conformidad con lo previsto en la Ley de la materia electoral. El alcalde o alcaldesa metropolitana lo presidirá con voto dirimente”.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Que, de conformidad con el literal d) del artículo 87 del COOTAD , entre las atribuciones del Concejo Metropolitano, le corresponde: “d) Expedir acuerdos o resoluciones en el ámbito de sus competencias para regular temas institucionales específicos o reconocer derechos particulares (…)”;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Que, el artículo 140 del COOTAD, sobre el ejercicio de la competencia de gestión de riesgos, señala: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Los gobiernos autónomos descentralizados municipales adoptarán obligatoriamente normas técnicas para la prevención y gestión de riesgos en sus territorios con el propósito de proteger las personas, colectividades y la naturaleza, en sus procesos de ordenamiento territorial. (…) Para el caso de riesgos sísmicos los Municipios expedirán ordenanzas que reglamenten la aplicación de normas de construcción y prevención. (…) 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Que, el artículo 323 del COOTAD, con relación al proceso de emisión de resoluciones por parte de los órganos legislativos de los gobiernos autónomos descentralizados, establece: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Que, el Código Municipal para el Distrito Metropolitano de Quito, dentro de su Libro IV.8, regula la Seguridad, Convivencia Ciudadana y Gestión de Riesgos en el Distrito Metropolitano, en su artículo 3830 determina que: “La Secretaría responsable de la seguridad y gobernabilidad, a través de la Dirección Metropolitana de Gestión de Riesgos, se encargará de diseñar las políticas de gestión de riesgos y, una vez aprobadas por el Concejo Metropolitano de Quito, coordinarlas y ejecutarlas a través de las instituciones que conforman el Sistema Metropolitano de Gestión de Riesgos”.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Que, el artículo 3831 señala como una de  las funciones de la Secretaría responsable de la seguridad y gobernabilidad quien contará con los recursos humanos, materiales y técnicos de apoyo que le permitan una capacidad de gestión eficiente y oportuna (...)</w:t>
      </w:r>
    </w:p>
    <w:p w:rsidR="00000000" w:rsidDel="00000000" w:rsidP="00000000" w:rsidRDefault="00000000" w:rsidRPr="00000000" w14:paraId="00000020">
      <w:pPr>
        <w:jc w:val="both"/>
        <w:rPr/>
      </w:pPr>
      <w:r w:rsidDel="00000000" w:rsidR="00000000" w:rsidRPr="00000000">
        <w:rPr>
          <w:rtl w:val="0"/>
        </w:rPr>
        <w:t xml:space="preserve">a. Proponer las políticas de gestión de riesgos orientadas a la prevención, mitigación, atención de eventos adversos, remediación y transferencia del riesgo y ponerlas a consideración del Consejo Metropolitano de Gestión de Riesgos;”.</w:t>
      </w:r>
    </w:p>
    <w:p w:rsidR="00000000" w:rsidDel="00000000" w:rsidP="00000000" w:rsidRDefault="00000000" w:rsidRPr="00000000" w14:paraId="00000021">
      <w:pPr>
        <w:jc w:val="both"/>
        <w:rPr>
          <w:highlight w:val="yellow"/>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b w:val="1"/>
          <w:rtl w:val="0"/>
        </w:rPr>
        <w:t xml:space="preserve">En ejercicio de las atribuciones que le confiere el artículo 87, literal d) y 323 del Código Orgánico de Organización Territorial, Autonomía y Descentralización; y, los artículos 3830 del Código Municipal para el Distrito Metropolitano de Quito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EXPIDE LA SIGUIENTE: RESOLUCIÓN QUE APRUEBA EL </w:t>
      </w:r>
      <w:r w:rsidDel="00000000" w:rsidR="00000000" w:rsidRPr="00000000">
        <w:rPr>
          <w:rtl w:val="0"/>
        </w:rPr>
        <w:t xml:space="preserve">PLAN RESPONDE QUITO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Artículo Único.- Apruébese el Plan de Respuesta del Distrito Metropolitano de Quito “RespondeQuito”, </w:t>
      </w:r>
      <w:r w:rsidDel="00000000" w:rsidR="00000000" w:rsidRPr="00000000">
        <w:rPr>
          <w:rtl w:val="0"/>
        </w:rPr>
        <w:t xml:space="preserve">propuesto por la Secretaría General de Seguridad y Gobernabilidad del Municipio del Distrito Metropolitano de Quito</w:t>
      </w:r>
      <w:r w:rsidDel="00000000" w:rsidR="00000000" w:rsidRPr="00000000">
        <w:rPr>
          <w:rtl w:val="0"/>
        </w:rPr>
        <w:t xml:space="preserve">, conforme lo previsto en los artículos 3830 y 3831 del Código Municipal para el Distrito Metropolitano de Quito, el cual se adjunta a la presente resolución como anexo único y parte integrante de la misma.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Disposiciones Generales: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Primera.- Encarguese de la implementación y ejecución de la presente resolución al Director del COE Metropolitano como Gerente del Plan de Respuesta del Distrito Metropolitano de Quito “RespondeQuito”, y a  la Secretaria General de Seguridad y Gobernabilidad a través de la Dirección Metropolitana de Gestión de Riesgos brindar el acompañamiento y supervisión a la Gerencia sobre la implementación de la presente.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Segunda.- Las entidades que conforman el Municipio, a través del  Director del COE Metropolitano y la Secretaría General de Seguridad y Gobernabilidad, en el marco de sus respectivas competencias, durante la vigencia del Plan que se aprueba a través de la presente resolución, informarán semestralmente a la Comisión de Seguridad, Convivencia Ciudadana y Gestión de Riesgos sobre los resultados y evaluación de la implementación del Plan de Respuesta del Distrito Metropolitano de Quito “RespondeQuito”.</w:t>
      </w:r>
    </w:p>
    <w:p w:rsidR="00000000" w:rsidDel="00000000" w:rsidP="00000000" w:rsidRDefault="00000000" w:rsidRPr="00000000" w14:paraId="0000002E">
      <w:pPr>
        <w:jc w:val="both"/>
        <w:rPr/>
      </w:pPr>
      <w:r w:rsidDel="00000000" w:rsidR="00000000" w:rsidRPr="00000000">
        <w:rPr>
          <w:rtl w:val="0"/>
        </w:rPr>
        <w:t xml:space="preserve"> </w:t>
      </w:r>
    </w:p>
    <w:p w:rsidR="00000000" w:rsidDel="00000000" w:rsidP="00000000" w:rsidRDefault="00000000" w:rsidRPr="00000000" w14:paraId="0000002F">
      <w:pPr>
        <w:jc w:val="both"/>
        <w:rPr/>
      </w:pPr>
      <w:r w:rsidDel="00000000" w:rsidR="00000000" w:rsidRPr="00000000">
        <w:rPr>
          <w:rtl w:val="0"/>
        </w:rPr>
        <w:t xml:space="preserve">Tercera.- Sin perjuicio de lo establecido en la disposición precedente, el Director del COE Metropolitano remitirá para conocimiento de los integrantes del Cuerpo Edilicio, con la periodicidad prevista en la disposición general Segunda de esta resolución, el informe que contenga los resultados y la evaluación sobre la implementación del Plan Responde Quito.</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jc w:val="both"/>
        <w:rPr/>
      </w:pPr>
      <w:r w:rsidDel="00000000" w:rsidR="00000000" w:rsidRPr="00000000">
        <w:rPr>
          <w:rtl w:val="0"/>
        </w:rPr>
        <w:t xml:space="preserve">Cuarta.- Conforme lo previsto en el artículo 3830 del Código Municipal para el Distrito Metropolitano de Quito, las políticas en gestión de riesgos contenidas en el Plan Responde Quito, son de cumplimiento obligatorio, y su modificación, a través de resolución del Cuerpo Edilicio, requerirá informe previo del Consejo Metropolitano de Seguridad y de la Comisión de Seguridad, Convivencia Ciudadana y Gestión de Riesgos.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Disposición Final.- La presente resolución entrará en vigencia a partir de su suscripción. Dada en la Sala de Sesiones del Concejo Metropolitano de Quito,</w:t>
      </w:r>
      <w:r w:rsidDel="00000000" w:rsidR="00000000" w:rsidRPr="00000000">
        <w:rPr>
          <w:rtl w:val="0"/>
        </w:rPr>
        <w:t xml:space="preserve"> </w:t>
      </w:r>
      <w:r w:rsidDel="00000000" w:rsidR="00000000" w:rsidRPr="00000000">
        <w:rPr>
          <w:rtl w:val="0"/>
        </w:rPr>
        <w:t xml:space="preserve">el XXX de 2022.</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t xml:space="preserve">Alcaldía del Distrito Metropolitano. - Distrito Metropolitano de Quito, xxxxx 2022</w:t>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t xml:space="preserve">Dr. Santiago Guarderas Izquierdo </w:t>
      </w:r>
    </w:p>
    <w:p w:rsidR="00000000" w:rsidDel="00000000" w:rsidP="00000000" w:rsidRDefault="00000000" w:rsidRPr="00000000" w14:paraId="0000003D">
      <w:pPr>
        <w:jc w:val="center"/>
        <w:rPr/>
      </w:pPr>
      <w:r w:rsidDel="00000000" w:rsidR="00000000" w:rsidRPr="00000000">
        <w:rPr>
          <w:rtl w:val="0"/>
        </w:rPr>
        <w:t xml:space="preserve">ALCALDE DEL DISTRITO METROPOLITANO DE QUITO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CERTIFICO, que la presente resolución fue discutida y aprobada en sesión </w:t>
      </w:r>
      <w:r w:rsidDel="00000000" w:rsidR="00000000" w:rsidRPr="00000000">
        <w:rPr>
          <w:rtl w:val="0"/>
        </w:rPr>
        <w:t xml:space="preserve">No. xxxxxxxextraordinaria del Concejo Metropolitano de Quito, transmitida en vivo a través de las redes oficiales del Municipio, xxxxxxxxxxxx; y, suscrita por el Dr. Santiago  Guarderas Izquierdo, Alcalde del Distrito Metropolitano de Quito, el xxxxxxx de 2022. Lo certifico. - Distrito Metropolitano de Quito, xxxxxxx de 2022.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