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6EC" w:rsidRPr="00AC3BDD" w:rsidRDefault="001646EC" w:rsidP="001646EC">
      <w:pPr>
        <w:autoSpaceDE w:val="0"/>
        <w:autoSpaceDN w:val="0"/>
        <w:adjustRightInd w:val="0"/>
        <w:spacing w:after="0" w:line="240" w:lineRule="auto"/>
        <w:jc w:val="center"/>
        <w:rPr>
          <w:rFonts w:ascii="Times New Roman" w:hAnsi="Times New Roman" w:cs="Times New Roman"/>
          <w:b/>
          <w:color w:val="000000" w:themeColor="text1"/>
        </w:rPr>
      </w:pPr>
      <w:r w:rsidRPr="00AC3BDD">
        <w:rPr>
          <w:rFonts w:ascii="Times New Roman" w:hAnsi="Times New Roman" w:cs="Times New Roman"/>
          <w:b/>
          <w:color w:val="000000" w:themeColor="text1"/>
        </w:rPr>
        <w:t>CONCEJO DEL DISTRITO METROPOLITANO DE QUITO</w:t>
      </w:r>
    </w:p>
    <w:p w:rsidR="001646EC" w:rsidRPr="00AC3BDD" w:rsidRDefault="001646EC" w:rsidP="001646EC">
      <w:pPr>
        <w:autoSpaceDE w:val="0"/>
        <w:autoSpaceDN w:val="0"/>
        <w:adjustRightInd w:val="0"/>
        <w:spacing w:after="0" w:line="240" w:lineRule="auto"/>
        <w:jc w:val="center"/>
        <w:rPr>
          <w:rFonts w:ascii="Times New Roman" w:hAnsi="Times New Roman" w:cs="Times New Roman"/>
          <w:color w:val="000000" w:themeColor="text1"/>
        </w:rPr>
      </w:pPr>
    </w:p>
    <w:p w:rsidR="001646EC" w:rsidRPr="001646EC" w:rsidRDefault="001646EC" w:rsidP="001646EC">
      <w:pPr>
        <w:autoSpaceDE w:val="0"/>
        <w:autoSpaceDN w:val="0"/>
        <w:adjustRightInd w:val="0"/>
        <w:spacing w:after="0" w:line="240" w:lineRule="auto"/>
        <w:jc w:val="center"/>
        <w:rPr>
          <w:rFonts w:ascii="Times New Roman" w:hAnsi="Times New Roman" w:cs="Times New Roman"/>
          <w:b/>
          <w:color w:val="000000" w:themeColor="text1"/>
        </w:rPr>
      </w:pPr>
      <w:r w:rsidRPr="00AC3BDD">
        <w:rPr>
          <w:rFonts w:ascii="Times New Roman" w:hAnsi="Times New Roman" w:cs="Times New Roman"/>
          <w:b/>
          <w:color w:val="000000" w:themeColor="text1"/>
        </w:rPr>
        <w:t xml:space="preserve">RESOLUCIÓN No. </w:t>
      </w:r>
      <w:bookmarkStart w:id="0" w:name="_GoBack"/>
      <w:bookmarkEnd w:id="0"/>
    </w:p>
    <w:p w:rsidR="001646EC" w:rsidRPr="00AC3BDD" w:rsidRDefault="001646EC" w:rsidP="001646EC">
      <w:pPr>
        <w:pStyle w:val="Default"/>
        <w:rPr>
          <w:color w:val="000000" w:themeColor="text1"/>
          <w:sz w:val="22"/>
          <w:szCs w:val="22"/>
          <w:lang w:val="es-MX"/>
        </w:rPr>
      </w:pPr>
    </w:p>
    <w:p w:rsidR="001646EC" w:rsidRPr="00AC3BDD" w:rsidRDefault="001646EC" w:rsidP="001646EC">
      <w:pPr>
        <w:pStyle w:val="Default"/>
        <w:rPr>
          <w:color w:val="000000" w:themeColor="text1"/>
          <w:sz w:val="22"/>
          <w:szCs w:val="22"/>
          <w:lang w:val="es-MX"/>
        </w:rPr>
      </w:pPr>
    </w:p>
    <w:p w:rsidR="001646EC" w:rsidRPr="00AC3BDD" w:rsidRDefault="001646EC" w:rsidP="001646EC">
      <w:pPr>
        <w:jc w:val="center"/>
        <w:rPr>
          <w:rFonts w:ascii="Times New Roman" w:hAnsi="Times New Roman" w:cs="Times New Roman"/>
          <w:b/>
          <w:color w:val="000000" w:themeColor="text1"/>
        </w:rPr>
      </w:pPr>
      <w:r w:rsidRPr="00AC3BDD">
        <w:rPr>
          <w:rFonts w:ascii="Times New Roman" w:hAnsi="Times New Roman" w:cs="Times New Roman"/>
          <w:b/>
          <w:color w:val="000000" w:themeColor="text1"/>
        </w:rPr>
        <w:t>EL CONCEJO DEL DISTRITO METROPOLITANO DE QUITO</w:t>
      </w:r>
    </w:p>
    <w:p w:rsidR="001646EC" w:rsidRPr="00AC3BDD" w:rsidRDefault="001646EC" w:rsidP="001646EC">
      <w:pPr>
        <w:spacing w:after="0" w:line="240" w:lineRule="auto"/>
        <w:jc w:val="center"/>
        <w:rPr>
          <w:rFonts w:ascii="Times New Roman" w:hAnsi="Times New Roman" w:cs="Times New Roman"/>
          <w:color w:val="000000" w:themeColor="text1"/>
        </w:rPr>
      </w:pPr>
    </w:p>
    <w:p w:rsidR="001646EC" w:rsidRPr="00AC3BDD" w:rsidRDefault="001646EC" w:rsidP="001646EC">
      <w:pPr>
        <w:spacing w:after="0" w:line="240" w:lineRule="auto"/>
        <w:jc w:val="center"/>
        <w:rPr>
          <w:rFonts w:ascii="Times New Roman" w:hAnsi="Times New Roman" w:cs="Times New Roman"/>
          <w:b/>
          <w:color w:val="000000" w:themeColor="text1"/>
        </w:rPr>
      </w:pPr>
      <w:r w:rsidRPr="00AC3BDD">
        <w:rPr>
          <w:rFonts w:ascii="Times New Roman" w:hAnsi="Times New Roman" w:cs="Times New Roman"/>
          <w:b/>
          <w:color w:val="000000" w:themeColor="text1"/>
        </w:rPr>
        <w:t>CONSIDERANDO</w:t>
      </w:r>
    </w:p>
    <w:p w:rsidR="001646EC" w:rsidRPr="00AC3BDD" w:rsidRDefault="001646EC" w:rsidP="001646EC">
      <w:pPr>
        <w:spacing w:after="0" w:line="240" w:lineRule="auto"/>
        <w:rPr>
          <w:rFonts w:ascii="Times New Roman" w:hAnsi="Times New Roman" w:cs="Times New Roman"/>
          <w:b/>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lang w:val="es-MX"/>
        </w:rPr>
      </w:pPr>
      <w:r w:rsidRPr="00AC3BDD">
        <w:rPr>
          <w:rFonts w:ascii="Times New Roman" w:hAnsi="Times New Roman" w:cs="Times New Roman"/>
          <w:color w:val="000000" w:themeColor="text1"/>
          <w:lang w:eastAsia="ar-SA"/>
        </w:rPr>
        <w:t xml:space="preserve">Que, </w:t>
      </w:r>
      <w:r w:rsidRPr="00AC3BDD">
        <w:rPr>
          <w:rFonts w:ascii="Times New Roman" w:hAnsi="Times New Roman" w:cs="Times New Roman"/>
          <w:color w:val="000000" w:themeColor="text1"/>
          <w:lang w:eastAsia="ar-SA"/>
        </w:rPr>
        <w:tab/>
        <w:t>l</w:t>
      </w:r>
      <w:r w:rsidRPr="00AC3BDD">
        <w:rPr>
          <w:rFonts w:ascii="Times New Roman" w:hAnsi="Times New Roman" w:cs="Times New Roman"/>
          <w:color w:val="000000" w:themeColor="text1"/>
          <w:lang w:val="es-MX"/>
        </w:rPr>
        <w:t>a Dirección Metropolitana de Gestión de Bienes Inmuebles mantiene un inventario y registro de 13.979 inmuebles de propiedad del MDMQ, de lo cual se deriva que cerca del 25% corresponden a dominio privado y 75% a dominio público, conforme lo define el Art. 415; 416; 417; 418; y 419 del Código Orgánico de Organización Territorial - COOTAD.</w:t>
      </w:r>
    </w:p>
    <w:p w:rsidR="001646EC" w:rsidRPr="00AC3BDD" w:rsidRDefault="001646EC" w:rsidP="001646EC">
      <w:pPr>
        <w:pStyle w:val="Default"/>
        <w:jc w:val="both"/>
        <w:rPr>
          <w:color w:val="000000" w:themeColor="text1"/>
          <w:sz w:val="22"/>
          <w:szCs w:val="22"/>
          <w:lang w:val="es-MX"/>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r w:rsidRPr="00AC3BDD">
        <w:rPr>
          <w:rFonts w:ascii="Times New Roman" w:hAnsi="Times New Roman" w:cs="Times New Roman"/>
          <w:color w:val="000000" w:themeColor="text1"/>
          <w:lang w:eastAsia="ar-SA"/>
        </w:rPr>
        <w:t xml:space="preserve">Que, </w:t>
      </w:r>
      <w:r w:rsidRPr="00AC3BDD">
        <w:rPr>
          <w:rFonts w:ascii="Times New Roman" w:hAnsi="Times New Roman" w:cs="Times New Roman"/>
          <w:color w:val="000000" w:themeColor="text1"/>
          <w:lang w:eastAsia="ar-SA"/>
        </w:rPr>
        <w:tab/>
        <w:t xml:space="preserve">el Municipio del Distrito Metropolitano de Quito conforme lo establece el Código Municipal, cuenta con 12 Empresas Públicas Metropolitanas. Las empresas públicas metropolitanas son personas jurídicas de derecho público, con patrimonio propio, dotadas de autonomía presupuestaria, financiera, económica, administrativa, de gestión y con potestad coactiva, cuya constitución, organización, funcionamiento, fusión, escisión y liquidación se regula por la ley de la materia, las ordenanzas y las disposiciones contenidas en el Código Municipal. </w:t>
      </w: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r w:rsidRPr="00AC3BDD">
        <w:rPr>
          <w:rFonts w:ascii="Times New Roman" w:hAnsi="Times New Roman" w:cs="Times New Roman"/>
          <w:color w:val="000000" w:themeColor="text1"/>
          <w:lang w:eastAsia="ar-SA"/>
        </w:rPr>
        <w:t xml:space="preserve">Que, </w:t>
      </w:r>
      <w:r w:rsidRPr="00AC3BDD">
        <w:rPr>
          <w:rFonts w:ascii="Times New Roman" w:hAnsi="Times New Roman" w:cs="Times New Roman"/>
          <w:color w:val="000000" w:themeColor="text1"/>
          <w:lang w:eastAsia="ar-SA"/>
        </w:rPr>
        <w:tab/>
        <w:t xml:space="preserve">a más de las empresas públicas, existen corporaciones y fundaciones municipales u otras entidades prestadoras de servicios públicos en las que el Municipio de Quito tiene participación, que emplean bienes de propiedad municipal para el desarrollo inherente a sus funciones. </w:t>
      </w: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r w:rsidRPr="00AC3BDD">
        <w:rPr>
          <w:rFonts w:ascii="Times New Roman" w:hAnsi="Times New Roman" w:cs="Times New Roman"/>
          <w:color w:val="000000" w:themeColor="text1"/>
          <w:lang w:eastAsia="ar-SA"/>
        </w:rPr>
        <w:t xml:space="preserve">Que, </w:t>
      </w:r>
      <w:r w:rsidRPr="00AC3BDD">
        <w:rPr>
          <w:rFonts w:ascii="Times New Roman" w:hAnsi="Times New Roman" w:cs="Times New Roman"/>
          <w:color w:val="000000" w:themeColor="text1"/>
          <w:lang w:eastAsia="ar-SA"/>
        </w:rPr>
        <w:tab/>
        <w:t xml:space="preserve">la Dirección Metropolitana de Gestión de Bienes Inmuebles mantiene un registro de uso y ocupación de bienes inmuebles municipales por parte de las Empresas Públicas Metropolitanas, para el cumplimiento de su objeto institucional. Del registro de 103 bienes inmuebles de propiedad del MDMQ que actualmente se encuentran en uso y ocupación por parte de Empresas Públicas Metropolitanas y entidades parte de la estructura orgánica del GAD DMQ, el 93% de los bienes no cuentan con ninguna figura jurídica que haya autorizado su uso. </w:t>
      </w:r>
    </w:p>
    <w:p w:rsidR="001646EC" w:rsidRPr="001646EC" w:rsidRDefault="001646EC" w:rsidP="001646EC">
      <w:pPr>
        <w:pStyle w:val="Default"/>
        <w:jc w:val="both"/>
        <w:rPr>
          <w:lang w:val="es-EC"/>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r w:rsidRPr="00AC3BDD">
        <w:rPr>
          <w:rFonts w:ascii="Times New Roman" w:hAnsi="Times New Roman" w:cs="Times New Roman"/>
          <w:color w:val="000000" w:themeColor="text1"/>
          <w:lang w:eastAsia="ar-SA"/>
        </w:rPr>
        <w:t xml:space="preserve">Que, </w:t>
      </w:r>
      <w:r w:rsidRPr="00AC3BDD">
        <w:rPr>
          <w:rFonts w:ascii="Times New Roman" w:hAnsi="Times New Roman" w:cs="Times New Roman"/>
          <w:color w:val="000000" w:themeColor="text1"/>
          <w:lang w:eastAsia="ar-SA"/>
        </w:rPr>
        <w:tab/>
        <w:t xml:space="preserve">de los bienes inmuebles en uso por parte de las Empresas públicas se determina que el 16% corresponden a bienes de dominio privado y 84% a bienes de dominio público; propiedades que se destinan a la prestación directa de servicios públicos o para el propio desempeño de las instituciones prestadoras de servicios públicos conforme sus competencias, en este sentido es indispensable y prioritario legalizar el uso y ocupación de estos bienes. </w:t>
      </w: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r w:rsidRPr="00AC3BDD">
        <w:rPr>
          <w:rFonts w:ascii="Times New Roman" w:hAnsi="Times New Roman" w:cs="Times New Roman"/>
          <w:color w:val="000000" w:themeColor="text1"/>
          <w:lang w:eastAsia="ar-SA"/>
        </w:rPr>
        <w:t xml:space="preserve">Que, </w:t>
      </w:r>
      <w:r w:rsidRPr="00AC3BDD">
        <w:rPr>
          <w:rFonts w:ascii="Times New Roman" w:hAnsi="Times New Roman" w:cs="Times New Roman"/>
          <w:color w:val="000000" w:themeColor="text1"/>
          <w:lang w:eastAsia="ar-SA"/>
        </w:rPr>
        <w:tab/>
        <w:t xml:space="preserve">los procesos para la transferencia o préstamo de uso de los bienes inmuebles municipales establecidos requieren de la conformación de un expediente para la autorización del Concejo Metropolitano. El expediente con los informes técnicos y legales emitidos por parte de las dependencias municipales que forman parte del proceso, requerirá alrededor de 3 meses (120 días), sin tomar en cuenta el informe de la Comisión de Propiedad y Espacio Público y la autorización del Concejo Metropolitano. Sin embargo, los procesos para la transferencia y préstamo de uso de bienes inmuebles municipales, toman un tiempo mayor al establecido, lo que conlleva a que las Empresas Públicas Metropolitanas, no puedan prestar sus servicios a la ciudadanía, ejecutar sus proyectos o realizar inversiones sobre los bienes inmuebles municipales. </w:t>
      </w: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r w:rsidRPr="00AC3BDD">
        <w:rPr>
          <w:rFonts w:ascii="Times New Roman" w:hAnsi="Times New Roman" w:cs="Times New Roman"/>
          <w:color w:val="000000" w:themeColor="text1"/>
          <w:lang w:eastAsia="ar-SA"/>
        </w:rPr>
        <w:t xml:space="preserve">Que, </w:t>
      </w:r>
      <w:r w:rsidRPr="00AC3BDD">
        <w:rPr>
          <w:rFonts w:ascii="Times New Roman" w:hAnsi="Times New Roman" w:cs="Times New Roman"/>
          <w:color w:val="000000" w:themeColor="text1"/>
          <w:lang w:eastAsia="ar-SA"/>
        </w:rPr>
        <w:tab/>
        <w:t xml:space="preserve">el Alcalde Metropolitano de Quito, se encuentra facultado para suscribir convenios e instrumentos que comprometan al gobierno autónomo metropolitano, así como su patrimonio conforme lo establece el COOTAD, considerando para ello, la autorización del Concejo Metropolitano, en los montos y casos previstos en las ordenanzas distritales que se </w:t>
      </w:r>
      <w:r w:rsidRPr="00AC3BDD">
        <w:rPr>
          <w:rFonts w:ascii="Times New Roman" w:hAnsi="Times New Roman" w:cs="Times New Roman"/>
          <w:color w:val="000000" w:themeColor="text1"/>
          <w:lang w:eastAsia="ar-SA"/>
        </w:rPr>
        <w:lastRenderedPageBreak/>
        <w:t>dicten en la materia, conforme la normativa legal vigente. En este ámbito, las Empresas Públicas Metropolitanas han realizado varios requerimientos al Alcalde del Distrito Metropolitano de Quito, solicitando la transferencia o préstamo de uso de bienes inmuebles municipales para el funcionamiento de sus oficinas o para la implementación de proyectos bajo su competencia.</w:t>
      </w:r>
    </w:p>
    <w:p w:rsidR="001646EC" w:rsidRPr="00AC3BDD" w:rsidRDefault="001646EC" w:rsidP="001646EC">
      <w:pPr>
        <w:spacing w:after="0" w:line="240" w:lineRule="auto"/>
        <w:ind w:left="709" w:hanging="709"/>
        <w:jc w:val="both"/>
        <w:rPr>
          <w:rFonts w:ascii="Times New Roman" w:hAnsi="Times New Roman" w:cs="Times New Roman"/>
          <w:color w:val="000000" w:themeColor="text1"/>
          <w:lang w:eastAsia="ar-SA"/>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r w:rsidRPr="00AC3BDD">
        <w:rPr>
          <w:rFonts w:ascii="Times New Roman" w:hAnsi="Times New Roman" w:cs="Times New Roman"/>
          <w:color w:val="000000" w:themeColor="text1"/>
          <w:lang w:eastAsia="ar-SA"/>
        </w:rPr>
        <w:t>Que,</w:t>
      </w:r>
      <w:r w:rsidRPr="00AC3BDD">
        <w:rPr>
          <w:rFonts w:ascii="Times New Roman" w:hAnsi="Times New Roman" w:cs="Times New Roman"/>
          <w:color w:val="000000" w:themeColor="text1"/>
          <w:lang w:eastAsia="ar-SA"/>
        </w:rPr>
        <w:tab/>
      </w:r>
      <w:r w:rsidRPr="00AC3BDD">
        <w:rPr>
          <w:rFonts w:ascii="Times New Roman" w:hAnsi="Times New Roman" w:cs="Times New Roman"/>
          <w:color w:val="000000" w:themeColor="text1"/>
        </w:rPr>
        <w:t xml:space="preserve">el artículo 226 de la Constitución de la República del Ecuador, establece: </w:t>
      </w:r>
      <w:r w:rsidRPr="00AC3BDD">
        <w:rPr>
          <w:rFonts w:ascii="Times New Roman" w:hAnsi="Times New Roman" w:cs="Times New Roman"/>
          <w:i/>
          <w:color w:val="000000" w:themeColor="text1"/>
        </w:rPr>
        <w:t>“Las instituciones del Estado, sus organismos, dependencias, las servidoras o servidores públicos y las personas que actúan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artículo 227 de la Norma Suprema indica: </w:t>
      </w:r>
      <w:r w:rsidRPr="00AC3BDD">
        <w:rPr>
          <w:rFonts w:ascii="Times New Roman" w:hAnsi="Times New Roman" w:cs="Times New Roman"/>
          <w:i/>
          <w:color w:val="000000" w:themeColor="text1"/>
        </w:rPr>
        <w:t>“La administración pública constituye un servicio a la colectividad que se rige por los principios de eficacia, eficiencia, calidad, jerarquía, desconcentración, descentralización, coordinación, participación, planificación, transparencia y evaluación.”</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artículo 238 de la Constitución de la República manifiesta: </w:t>
      </w:r>
      <w:r w:rsidRPr="00AC3BDD">
        <w:rPr>
          <w:rFonts w:ascii="Times New Roman" w:hAnsi="Times New Roman" w:cs="Times New Roman"/>
          <w:i/>
          <w:color w:val="000000" w:themeColor="text1"/>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rsidR="001646EC" w:rsidRPr="00AC3BDD" w:rsidRDefault="001646EC" w:rsidP="001646EC">
      <w:pPr>
        <w:spacing w:after="0" w:line="240" w:lineRule="auto"/>
        <w:ind w:left="709" w:hanging="1"/>
        <w:jc w:val="both"/>
        <w:rPr>
          <w:rFonts w:ascii="Times New Roman" w:hAnsi="Times New Roman" w:cs="Times New Roman"/>
          <w:i/>
          <w:color w:val="000000" w:themeColor="text1"/>
        </w:rPr>
      </w:pPr>
    </w:p>
    <w:p w:rsidR="001646EC" w:rsidRPr="00AC3BDD" w:rsidRDefault="001646EC" w:rsidP="001646EC">
      <w:pPr>
        <w:spacing w:after="0" w:line="240" w:lineRule="auto"/>
        <w:ind w:left="709" w:hanging="1"/>
        <w:jc w:val="both"/>
        <w:rPr>
          <w:rFonts w:ascii="Times New Roman" w:hAnsi="Times New Roman" w:cs="Times New Roman"/>
          <w:color w:val="000000" w:themeColor="text1"/>
        </w:rPr>
      </w:pPr>
      <w:r w:rsidRPr="00AC3BDD">
        <w:rPr>
          <w:rFonts w:ascii="Times New Roman" w:hAnsi="Times New Roman" w:cs="Times New Roman"/>
          <w:i/>
          <w:color w:val="000000" w:themeColor="text1"/>
        </w:rPr>
        <w:t>Constituyen gobiernos autónomos descentralizados las juntas parroquiales rurales, los concejos municipales, los concejos metropolitanos, los consejos provinciales y los consejos regionales.”</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1"/>
        <w:jc w:val="both"/>
        <w:rPr>
          <w:rFonts w:ascii="Times New Roman" w:hAnsi="Times New Roman" w:cs="Times New Roman"/>
          <w:color w:val="000000" w:themeColor="text1"/>
        </w:rPr>
      </w:pPr>
    </w:p>
    <w:p w:rsidR="001646EC" w:rsidRPr="00AC3BDD" w:rsidRDefault="001646EC" w:rsidP="001646EC">
      <w:pPr>
        <w:spacing w:after="0" w:line="240" w:lineRule="auto"/>
        <w:ind w:left="708" w:hanging="709"/>
        <w:jc w:val="both"/>
        <w:rPr>
          <w:rFonts w:ascii="Times New Roman" w:hAnsi="Times New Roman" w:cs="Times New Roman"/>
        </w:rPr>
      </w:pPr>
      <w:r w:rsidRPr="00AC3BDD">
        <w:rPr>
          <w:rFonts w:ascii="Times New Roman" w:hAnsi="Times New Roman" w:cs="Times New Roman"/>
        </w:rPr>
        <w:t xml:space="preserve">Que, </w:t>
      </w:r>
      <w:r w:rsidRPr="00AC3BDD">
        <w:rPr>
          <w:rFonts w:ascii="Times New Roman" w:hAnsi="Times New Roman" w:cs="Times New Roman"/>
        </w:rPr>
        <w:tab/>
        <w:t xml:space="preserve">el artículo 240 de la Carta Magna determina: </w:t>
      </w:r>
      <w:r w:rsidRPr="00AC3BDD">
        <w:rPr>
          <w:rFonts w:ascii="Times New Roman" w:hAnsi="Times New Roman" w:cs="Times New Roman"/>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sidRPr="00AC3BDD">
        <w:rPr>
          <w:rFonts w:ascii="Times New Roman" w:hAnsi="Times New Roman" w:cs="Times New Roman"/>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r w:rsidRPr="00AC3BDD">
        <w:rPr>
          <w:rFonts w:ascii="Times New Roman" w:hAnsi="Times New Roman" w:cs="Times New Roman"/>
          <w:color w:val="000000" w:themeColor="text1"/>
        </w:rPr>
        <w:t>Que,</w:t>
      </w:r>
      <w:r w:rsidRPr="00AC3BDD">
        <w:rPr>
          <w:rFonts w:ascii="Times New Roman" w:hAnsi="Times New Roman" w:cs="Times New Roman"/>
          <w:color w:val="000000" w:themeColor="text1"/>
        </w:rPr>
        <w:tab/>
        <w:t>el artículo 315 de la Norma Suprema indica: “</w:t>
      </w:r>
      <w:r w:rsidRPr="00AC3BDD">
        <w:rPr>
          <w:rFonts w:ascii="Times New Roman" w:hAnsi="Times New Roman" w:cs="Times New Roman"/>
          <w:i/>
          <w:color w:val="000000" w:themeColor="text1"/>
        </w:rPr>
        <w:t>El Estado constituirá empresas públicas para la gestión de sectores estratégicos, la prestación de servicios públicos, el aprovechamiento sustentable de recursos naturales o de bienes públicos y el desarrollo de otras actividades económicas.</w:t>
      </w: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p>
    <w:p w:rsidR="001646EC" w:rsidRPr="00AC3BDD" w:rsidRDefault="001646EC" w:rsidP="001646EC">
      <w:pPr>
        <w:spacing w:after="0" w:line="240" w:lineRule="auto"/>
        <w:ind w:left="709" w:hanging="1"/>
        <w:jc w:val="both"/>
        <w:rPr>
          <w:rFonts w:ascii="Times New Roman" w:hAnsi="Times New Roman" w:cs="Times New Roman"/>
          <w:color w:val="000000" w:themeColor="text1"/>
        </w:rPr>
      </w:pPr>
      <w:r w:rsidRPr="00AC3BDD">
        <w:rPr>
          <w:rFonts w:ascii="Times New Roman" w:hAnsi="Times New Roman" w:cs="Times New Roman"/>
          <w:i/>
          <w:color w:val="000000" w:themeColor="text1"/>
        </w:rPr>
        <w:t>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 (…)</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1"/>
        <w:jc w:val="both"/>
        <w:rPr>
          <w:rFonts w:ascii="Times New Roman" w:hAnsi="Times New Roman" w:cs="Times New Roman"/>
          <w:color w:val="000000" w:themeColor="text1"/>
        </w:rPr>
      </w:pPr>
      <w:r w:rsidRPr="00AC3BDD">
        <w:rPr>
          <w:rFonts w:ascii="Times New Roman" w:hAnsi="Times New Roman" w:cs="Times New Roman"/>
          <w:i/>
          <w:color w:val="000000" w:themeColor="text1"/>
        </w:rPr>
        <w:t>La ley definirá la participación de las empresas públicas en empresas mixtas en las que el Estado siempre tendrá la mayoría accionaria, para la participación en la gestión de los sectores estratégicos y la prestación de los servicios públicos.”</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artículo 316 de la norma </w:t>
      </w:r>
      <w:r w:rsidRPr="00AC3BDD">
        <w:rPr>
          <w:rFonts w:ascii="Times New Roman" w:hAnsi="Times New Roman" w:cs="Times New Roman"/>
          <w:i/>
          <w:color w:val="000000" w:themeColor="text1"/>
        </w:rPr>
        <w:t>ut supra</w:t>
      </w:r>
      <w:r w:rsidRPr="00AC3BDD">
        <w:rPr>
          <w:rFonts w:ascii="Times New Roman" w:hAnsi="Times New Roman" w:cs="Times New Roman"/>
          <w:color w:val="000000" w:themeColor="text1"/>
        </w:rPr>
        <w:t xml:space="preserve"> indica: </w:t>
      </w:r>
      <w:r w:rsidRPr="00AC3BDD">
        <w:rPr>
          <w:rFonts w:ascii="Times New Roman" w:hAnsi="Times New Roman" w:cs="Times New Roman"/>
          <w:i/>
          <w:color w:val="000000" w:themeColor="text1"/>
        </w:rPr>
        <w:t>“El Estado podrá delegar la participación en los sectores estratégicos y servicios públicos a empresas mixtas en las cuales tenga mayoría accionaria. (…)”</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la Constitución de la República del Ecuador, en su artículo 415 señala: </w:t>
      </w:r>
      <w:r w:rsidRPr="00AC3BDD">
        <w:rPr>
          <w:rFonts w:ascii="Times New Roman" w:hAnsi="Times New Roman" w:cs="Times New Roman"/>
          <w:i/>
          <w:color w:val="000000" w:themeColor="text1"/>
        </w:rPr>
        <w:t>“El Estado central y los gobiernos autónomos descentralizados adoptarán</w:t>
      </w:r>
      <w:r w:rsidRPr="00AC3BDD">
        <w:rPr>
          <w:rFonts w:ascii="Times New Roman" w:hAnsi="Times New Roman" w:cs="Times New Roman"/>
          <w:i/>
          <w:color w:val="000000" w:themeColor="text1"/>
          <w:lang w:val="es-ES"/>
        </w:rPr>
        <w:t xml:space="preserve"> </w:t>
      </w:r>
      <w:r w:rsidRPr="00AC3BDD">
        <w:rPr>
          <w:rFonts w:ascii="Times New Roman" w:hAnsi="Times New Roman" w:cs="Times New Roman"/>
          <w:i/>
          <w:color w:val="000000" w:themeColor="text1"/>
        </w:rPr>
        <w:t>políticas integrales y participativas de ordenamiento territorial urbano y de uso</w:t>
      </w:r>
      <w:r w:rsidRPr="00AC3BDD">
        <w:rPr>
          <w:rFonts w:ascii="Times New Roman" w:hAnsi="Times New Roman" w:cs="Times New Roman"/>
          <w:i/>
          <w:color w:val="000000" w:themeColor="text1"/>
          <w:lang w:val="es-ES"/>
        </w:rPr>
        <w:t xml:space="preserve"> </w:t>
      </w:r>
      <w:r w:rsidRPr="00AC3BDD">
        <w:rPr>
          <w:rFonts w:ascii="Times New Roman" w:hAnsi="Times New Roman" w:cs="Times New Roman"/>
          <w:i/>
          <w:color w:val="000000" w:themeColor="text1"/>
        </w:rPr>
        <w:t>del suelo, que permitan regular el crecimiento urbano, el manejo de la fauna</w:t>
      </w:r>
      <w:r w:rsidRPr="00AC3BDD">
        <w:rPr>
          <w:rFonts w:ascii="Times New Roman" w:hAnsi="Times New Roman" w:cs="Times New Roman"/>
          <w:i/>
          <w:color w:val="000000" w:themeColor="text1"/>
          <w:lang w:val="es-ES"/>
        </w:rPr>
        <w:t xml:space="preserve"> </w:t>
      </w:r>
      <w:r w:rsidRPr="00AC3BDD">
        <w:rPr>
          <w:rFonts w:ascii="Times New Roman" w:hAnsi="Times New Roman" w:cs="Times New Roman"/>
          <w:i/>
          <w:color w:val="000000" w:themeColor="text1"/>
        </w:rPr>
        <w:t>urbana e incentiven el establecimiento de zonas verdes. (...)”</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i/>
          <w:color w:val="000000" w:themeColor="text1"/>
          <w:lang w:val="es-MX"/>
        </w:rPr>
      </w:pP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artículo 5 del Código Orgánico de Organización Territorial, Autonomía y Descentralización (COOTAD), dispone: </w:t>
      </w:r>
      <w:r w:rsidRPr="00AC3BDD">
        <w:rPr>
          <w:rFonts w:ascii="Times New Roman" w:hAnsi="Times New Roman" w:cs="Times New Roman"/>
          <w:i/>
          <w:color w:val="000000" w:themeColor="text1"/>
        </w:rPr>
        <w:t xml:space="preserve">“La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 </w:t>
      </w:r>
    </w:p>
    <w:p w:rsidR="001646EC" w:rsidRPr="00AC3BDD" w:rsidRDefault="001646EC" w:rsidP="001646EC">
      <w:pPr>
        <w:spacing w:after="0" w:line="240" w:lineRule="auto"/>
        <w:ind w:left="709" w:hanging="1"/>
        <w:jc w:val="both"/>
        <w:rPr>
          <w:rFonts w:ascii="Times New Roman" w:hAnsi="Times New Roman" w:cs="Times New Roman"/>
          <w:i/>
          <w:color w:val="000000" w:themeColor="text1"/>
        </w:rPr>
      </w:pPr>
    </w:p>
    <w:p w:rsidR="001646EC" w:rsidRPr="00AC3BDD" w:rsidRDefault="001646EC" w:rsidP="001646EC">
      <w:pPr>
        <w:spacing w:after="0" w:line="240" w:lineRule="auto"/>
        <w:ind w:left="709" w:hanging="1"/>
        <w:jc w:val="both"/>
        <w:rPr>
          <w:rFonts w:ascii="Times New Roman" w:hAnsi="Times New Roman" w:cs="Times New Roman"/>
          <w:i/>
          <w:color w:val="000000" w:themeColor="text1"/>
        </w:rPr>
      </w:pPr>
      <w:r w:rsidRPr="00AC3BDD">
        <w:rPr>
          <w:rFonts w:ascii="Times New Roman" w:hAnsi="Times New Roman" w:cs="Times New Roman"/>
          <w:i/>
          <w:color w:val="000000" w:themeColor="text1"/>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p>
    <w:p w:rsidR="001646EC" w:rsidRPr="00AC3BDD" w:rsidRDefault="001646EC" w:rsidP="001646EC">
      <w:pPr>
        <w:spacing w:after="0" w:line="240" w:lineRule="auto"/>
        <w:ind w:left="709" w:hanging="1"/>
        <w:jc w:val="both"/>
        <w:rPr>
          <w:rFonts w:ascii="Times New Roman" w:hAnsi="Times New Roman" w:cs="Times New Roman"/>
          <w:color w:val="000000" w:themeColor="text1"/>
        </w:rPr>
      </w:pPr>
      <w:r w:rsidRPr="00AC3BDD">
        <w:rPr>
          <w:rFonts w:ascii="Times New Roman" w:hAnsi="Times New Roman" w:cs="Times New Roman"/>
          <w:i/>
          <w:color w:val="000000" w:themeColor="text1"/>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la Constitución y la ley. (…)”</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Código antes indicado, en su artículo 87, letras a), d) y s) señalan respectivamente que: </w:t>
      </w:r>
      <w:r w:rsidRPr="00AC3BDD">
        <w:rPr>
          <w:rFonts w:ascii="Times New Roman" w:hAnsi="Times New Roman" w:cs="Times New Roman"/>
          <w:i/>
          <w:color w:val="000000" w:themeColor="text1"/>
        </w:rPr>
        <w:t>“Al concejo metropolitano le corresponde: (…)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s) Conocer y resolver los asuntos que sean sometidos a su conocimiento por parte del alcalde o alcaldesa metropolitana; (…)”</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artículo 90, letra n) del COOTAD expone: </w:t>
      </w:r>
      <w:r w:rsidRPr="00AC3BDD">
        <w:rPr>
          <w:rFonts w:ascii="Times New Roman" w:hAnsi="Times New Roman" w:cs="Times New Roman"/>
          <w:i/>
          <w:color w:val="000000" w:themeColor="text1"/>
        </w:rPr>
        <w:t>“Le corresponde al alcalde o alcaldesa metropolitano; (…) n) Suscribir contratos, convenios e instrumentos que comprometan al gobierno autónomo metropolitano, de acuerdo con la ley. Los convenios de crédito o aquellos que comprometan el patrimonio institucional requerirán de la autorización del concejo metropolitano, en los montos y casos previstos en las ordenanzas distritales que se dicten en la materia; (…)”</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artículo 277 del COOTAD determina: </w:t>
      </w:r>
      <w:r w:rsidRPr="00AC3BDD">
        <w:rPr>
          <w:rFonts w:ascii="Times New Roman" w:hAnsi="Times New Roman" w:cs="Times New Roman"/>
          <w:i/>
          <w:color w:val="000000" w:themeColor="text1"/>
        </w:rPr>
        <w:t>“Los gobiernos regional, provincial, metropolitano o municipal podrán crear empresas públicas siempre que esta forma de organización convenga más a sus intereses y a los de la ciudadanía: garantice una mayor eficiencia y mejore los niveles de calidad en la prestación de servicios públicos de su competencia o en el desarrollo de otras actividades de emprendimiento. (…)</w:t>
      </w: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p>
    <w:p w:rsidR="001646EC" w:rsidRPr="00AC3BDD" w:rsidRDefault="001646EC" w:rsidP="001646EC">
      <w:pPr>
        <w:spacing w:after="0" w:line="240" w:lineRule="auto"/>
        <w:ind w:left="709" w:hanging="1"/>
        <w:jc w:val="both"/>
        <w:rPr>
          <w:rFonts w:ascii="Times New Roman" w:hAnsi="Times New Roman" w:cs="Times New Roman"/>
          <w:color w:val="000000" w:themeColor="text1"/>
        </w:rPr>
      </w:pPr>
      <w:r w:rsidRPr="00AC3BDD">
        <w:rPr>
          <w:rFonts w:ascii="Times New Roman" w:hAnsi="Times New Roman" w:cs="Times New Roman"/>
          <w:i/>
          <w:color w:val="000000" w:themeColor="text1"/>
        </w:rPr>
        <w:t>La administración cautelará la eficiencia, eficacia y economía, evitando altos gastos administrativos a fin de que la sociedad reciba servicios de calidad a un costo justo y razonable.”</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artículo 331, letra i) del Código Orgánico de Organización Territorial, Autonomía y Descentralización indica: </w:t>
      </w:r>
      <w:r w:rsidRPr="00AC3BDD">
        <w:rPr>
          <w:rFonts w:ascii="Times New Roman" w:hAnsi="Times New Roman" w:cs="Times New Roman"/>
          <w:i/>
          <w:color w:val="000000" w:themeColor="text1"/>
        </w:rPr>
        <w:t>“Está prohibido al ejecutivo de los gobiernos autónomos descentralizados: (…) i) Adquirir compromisos en contravención de lo dispuesto por el correspondiente órgano de legislación, cuando la decisión sobre éstos les corresponda; (…)”</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Código </w:t>
      </w:r>
      <w:r w:rsidRPr="00AC3BDD">
        <w:rPr>
          <w:rFonts w:ascii="Times New Roman" w:hAnsi="Times New Roman" w:cs="Times New Roman"/>
          <w:i/>
          <w:color w:val="000000" w:themeColor="text1"/>
        </w:rPr>
        <w:t xml:space="preserve">ut supra, </w:t>
      </w:r>
      <w:r w:rsidRPr="00AC3BDD">
        <w:rPr>
          <w:rFonts w:ascii="Times New Roman" w:hAnsi="Times New Roman" w:cs="Times New Roman"/>
          <w:color w:val="000000" w:themeColor="text1"/>
        </w:rPr>
        <w:t xml:space="preserve">en el artículo 415 expone: </w:t>
      </w:r>
      <w:r w:rsidRPr="00AC3BDD">
        <w:rPr>
          <w:rFonts w:ascii="Times New Roman" w:hAnsi="Times New Roman" w:cs="Times New Roman"/>
          <w:i/>
          <w:color w:val="000000" w:themeColor="text1"/>
        </w:rPr>
        <w:t>“Son bienes de los gobiernos autónomos descentralizados aquellos sobre los cuales ejercen dominio.</w:t>
      </w: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p>
    <w:p w:rsidR="001646EC" w:rsidRPr="00AC3BDD" w:rsidRDefault="001646EC" w:rsidP="001646EC">
      <w:pPr>
        <w:spacing w:after="0" w:line="240" w:lineRule="auto"/>
        <w:ind w:left="709" w:hanging="1"/>
        <w:jc w:val="both"/>
        <w:rPr>
          <w:rFonts w:ascii="Times New Roman" w:hAnsi="Times New Roman" w:cs="Times New Roman"/>
          <w:color w:val="000000" w:themeColor="text1"/>
        </w:rPr>
      </w:pPr>
      <w:r w:rsidRPr="00AC3BDD">
        <w:rPr>
          <w:rFonts w:ascii="Times New Roman" w:hAnsi="Times New Roman" w:cs="Times New Roman"/>
          <w:i/>
          <w:color w:val="000000" w:themeColor="text1"/>
        </w:rPr>
        <w:lastRenderedPageBreak/>
        <w:t>Los bienes se dividen en bienes del dominio privado y bienes del dominio público. Estos últimos se subdividen, a su vez, en bienes de uso público y bienes afectados al servicio público.”</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i/>
          <w:color w:val="000000" w:themeColor="text1"/>
        </w:rPr>
      </w:pPr>
    </w:p>
    <w:p w:rsidR="001646EC" w:rsidRPr="00AC3BDD" w:rsidRDefault="001646EC" w:rsidP="001646EC">
      <w:pPr>
        <w:spacing w:after="0" w:line="240" w:lineRule="auto"/>
        <w:ind w:left="708" w:hanging="709"/>
        <w:jc w:val="both"/>
        <w:rPr>
          <w:rFonts w:ascii="Times New Roman" w:hAnsi="Times New Roman" w:cs="Times New Roman"/>
        </w:rPr>
      </w:pPr>
      <w:r w:rsidRPr="00AC3BDD">
        <w:rPr>
          <w:rFonts w:ascii="Times New Roman" w:hAnsi="Times New Roman" w:cs="Times New Roman"/>
        </w:rPr>
        <w:t xml:space="preserve">Que, </w:t>
      </w:r>
      <w:r w:rsidRPr="00AC3BDD">
        <w:rPr>
          <w:rFonts w:ascii="Times New Roman" w:hAnsi="Times New Roman" w:cs="Times New Roman"/>
        </w:rPr>
        <w:tab/>
        <w:t xml:space="preserve">el artículo 414 del COOTAD determina: </w:t>
      </w:r>
      <w:r w:rsidRPr="00AC3BDD">
        <w:rPr>
          <w:rFonts w:ascii="Times New Roman" w:hAnsi="Times New Roman" w:cs="Times New Roman"/>
          <w:i/>
          <w:color w:val="000000" w:themeColor="text1"/>
        </w:rPr>
        <w:t>"Constituyen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8" w:hanging="709"/>
        <w:jc w:val="both"/>
        <w:rPr>
          <w:rFonts w:ascii="Times New Roman" w:hAnsi="Times New Roman" w:cs="Times New Roman"/>
        </w:rPr>
      </w:pPr>
    </w:p>
    <w:p w:rsidR="001646EC" w:rsidRPr="00AC3BDD" w:rsidRDefault="001646EC" w:rsidP="001646EC">
      <w:pPr>
        <w:spacing w:after="0" w:line="240" w:lineRule="auto"/>
        <w:ind w:left="708" w:hanging="709"/>
        <w:jc w:val="both"/>
        <w:rPr>
          <w:rFonts w:ascii="Times New Roman" w:hAnsi="Times New Roman" w:cs="Times New Roman"/>
        </w:rPr>
      </w:pPr>
      <w:r w:rsidRPr="00AC3BDD">
        <w:rPr>
          <w:rFonts w:ascii="Times New Roman" w:hAnsi="Times New Roman" w:cs="Times New Roman"/>
        </w:rPr>
        <w:t xml:space="preserve">Que, </w:t>
      </w:r>
      <w:r w:rsidRPr="00AC3BDD">
        <w:rPr>
          <w:rFonts w:ascii="Times New Roman" w:hAnsi="Times New Roman" w:cs="Times New Roman"/>
        </w:rPr>
        <w:tab/>
        <w:t>el artículo 417 del COOTAD expone: “</w:t>
      </w:r>
      <w:r w:rsidRPr="00AC3BDD">
        <w:rPr>
          <w:rFonts w:ascii="Times New Roman" w:hAnsi="Times New Roman" w:cs="Times New Roman"/>
          <w:i/>
        </w:rPr>
        <w:t>Son bienes de uso público aquellos cuyo uso por los particulares es directo y general, en forma gratuita. Sin embargo, podrán también ser materia de utilización exclusiva y temporal, mediante el pago de una regalía. (…)”</w:t>
      </w:r>
      <w:r w:rsidRPr="00AC3BDD">
        <w:rPr>
          <w:rFonts w:ascii="Times New Roman" w:hAnsi="Times New Roman" w:cs="Times New Roman"/>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8" w:hanging="709"/>
        <w:jc w:val="both"/>
        <w:rPr>
          <w:rFonts w:ascii="Times New Roman" w:hAnsi="Times New Roman" w:cs="Times New Roman"/>
        </w:rPr>
      </w:pPr>
      <w:r w:rsidRPr="00AC3BDD">
        <w:rPr>
          <w:rFonts w:ascii="Times New Roman" w:hAnsi="Times New Roman" w:cs="Times New Roman"/>
        </w:rPr>
        <w:t xml:space="preserve">Que, </w:t>
      </w:r>
      <w:r w:rsidRPr="00AC3BDD">
        <w:rPr>
          <w:rFonts w:ascii="Times New Roman" w:hAnsi="Times New Roman" w:cs="Times New Roman"/>
        </w:rPr>
        <w:tab/>
        <w:t xml:space="preserve">el artículo 418 del COOTAD determina respecto de los bienes afectados al servicio público: </w:t>
      </w:r>
      <w:r w:rsidRPr="00AC3BDD">
        <w:rPr>
          <w:rFonts w:ascii="Times New Roman" w:hAnsi="Times New Roman" w:cs="Times New Roman"/>
          <w:i/>
        </w:rPr>
        <w:t>“Son aquellos que se han adscrito administrativamente a un servicio público de competencia del gobierno autónomo descentralizado o que se han adquirido o construido para tal efecto. Estos bienes, en cuanto tengan precio o sean susceptibles de avalúo, figurarán en el activo del balance del gobierno autónomo descentralizado o de la respectiva empresa responsable del servicio. (…)”</w:t>
      </w:r>
      <w:r w:rsidRPr="00AC3BDD">
        <w:rPr>
          <w:rFonts w:ascii="Times New Roman" w:hAnsi="Times New Roman" w:cs="Times New Roman"/>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i/>
        </w:rPr>
      </w:pPr>
      <w:r w:rsidRPr="00AC3BDD">
        <w:rPr>
          <w:rFonts w:ascii="Times New Roman" w:hAnsi="Times New Roman" w:cs="Times New Roman"/>
        </w:rPr>
        <w:t xml:space="preserve">Que, </w:t>
      </w:r>
      <w:r w:rsidRPr="00AC3BDD">
        <w:rPr>
          <w:rFonts w:ascii="Times New Roman" w:hAnsi="Times New Roman" w:cs="Times New Roman"/>
        </w:rPr>
        <w:tab/>
        <w:t xml:space="preserve">el artículo 419 del mismo Código indica: </w:t>
      </w:r>
      <w:r w:rsidRPr="00AC3BDD">
        <w:rPr>
          <w:rFonts w:ascii="Times New Roman" w:hAnsi="Times New Roman" w:cs="Times New Roman"/>
          <w:i/>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w:t>
      </w:r>
      <w:r w:rsidRPr="00AC3BDD">
        <w:rPr>
          <w:rFonts w:ascii="Times New Roman" w:hAnsi="Times New Roman" w:cs="Times New Roman"/>
        </w:rPr>
        <w:t>;</w:t>
      </w:r>
    </w:p>
    <w:p w:rsidR="001646EC" w:rsidRPr="00AC3BDD" w:rsidRDefault="001646EC" w:rsidP="001646EC">
      <w:pPr>
        <w:spacing w:after="0" w:line="240" w:lineRule="auto"/>
        <w:ind w:left="709" w:hanging="709"/>
        <w:jc w:val="both"/>
        <w:rPr>
          <w:rFonts w:ascii="Times New Roman" w:hAnsi="Times New Roman" w:cs="Times New Roman"/>
          <w:i/>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 xml:space="preserve">el artículo 425 del Código Orgánico de Organización Territorial, Autonomía y Descentralización dispone: </w:t>
      </w:r>
      <w:r w:rsidRPr="00AC3BDD">
        <w:rPr>
          <w:rFonts w:ascii="Times New Roman" w:hAnsi="Times New Roman" w:cs="Times New Roman"/>
          <w:i/>
          <w:color w:val="000000" w:themeColor="text1"/>
        </w:rPr>
        <w:t>“Es obligación de los gobiernos autónomos descentralizados velar por la conservación de los bienes de propiedad de cada gobierno y por su más provechosa aplicación a los objetos a que están destinados, ajustándose a las disposiciones de este Código.”</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8" w:hanging="709"/>
        <w:jc w:val="both"/>
        <w:rPr>
          <w:rFonts w:ascii="Times New Roman" w:hAnsi="Times New Roman" w:cs="Times New Roman"/>
        </w:rPr>
      </w:pPr>
      <w:r w:rsidRPr="00AC3BDD">
        <w:rPr>
          <w:rFonts w:ascii="Times New Roman" w:hAnsi="Times New Roman" w:cs="Times New Roman"/>
        </w:rPr>
        <w:t>Que,</w:t>
      </w:r>
      <w:r w:rsidRPr="00AC3BDD">
        <w:rPr>
          <w:rFonts w:ascii="Times New Roman" w:hAnsi="Times New Roman" w:cs="Times New Roman"/>
        </w:rPr>
        <w:tab/>
        <w:t xml:space="preserve">el Reglamento General Sustitutivo para la Administración, Utilización, Manejo y Control de los Bienes e Inventarios del Sector Público, en su artículo 48 establece: </w:t>
      </w:r>
      <w:r w:rsidRPr="00AC3BDD">
        <w:rPr>
          <w:rFonts w:ascii="Times New Roman" w:hAnsi="Times New Roman" w:cs="Times New Roman"/>
          <w:i/>
        </w:rPr>
        <w:t>“Los bienes o inventarios de las entidades u organismos comprendidos en el artículo 1 del presente Reglamento, se utilizarán únicamente para los fines institucionales. Se prohíbe el uso de dichos bienes e inventarios para fines políticos, electorales, doctrinarios o religiosos, o para actividades particulares y/o extrañas al servicio público o al objetivo misional de la entidad u organismo.”</w:t>
      </w:r>
      <w:r w:rsidRPr="00AC3BDD">
        <w:rPr>
          <w:rFonts w:ascii="Times New Roman" w:hAnsi="Times New Roman" w:cs="Times New Roman"/>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8" w:hanging="709"/>
        <w:jc w:val="both"/>
        <w:rPr>
          <w:rFonts w:ascii="Times New Roman" w:hAnsi="Times New Roman" w:cs="Times New Roman"/>
        </w:rPr>
      </w:pPr>
      <w:r w:rsidRPr="00AC3BDD">
        <w:rPr>
          <w:rFonts w:ascii="Times New Roman" w:hAnsi="Times New Roman" w:cs="Times New Roman"/>
        </w:rPr>
        <w:t>Que,</w:t>
      </w:r>
      <w:r w:rsidRPr="00AC3BDD">
        <w:rPr>
          <w:rFonts w:ascii="Times New Roman" w:hAnsi="Times New Roman" w:cs="Times New Roman"/>
        </w:rPr>
        <w:tab/>
        <w:t>el</w:t>
      </w:r>
      <w:r w:rsidRPr="00AC3BDD">
        <w:rPr>
          <w:rFonts w:ascii="Times New Roman" w:hAnsi="Times New Roman" w:cs="Times New Roman"/>
          <w:i/>
        </w:rPr>
        <w:t xml:space="preserve"> </w:t>
      </w:r>
      <w:r w:rsidRPr="00AC3BDD">
        <w:rPr>
          <w:rFonts w:ascii="Times New Roman" w:hAnsi="Times New Roman" w:cs="Times New Roman"/>
        </w:rPr>
        <w:t xml:space="preserve">artículo 78 del Reglamento General Sustitutivo para la Administración, Utilización, Manejo y Control de los Bienes e Inventarios del Sector Público expone: </w:t>
      </w:r>
      <w:r w:rsidRPr="00AC3BDD">
        <w:rPr>
          <w:rFonts w:ascii="Times New Roman" w:hAnsi="Times New Roman" w:cs="Times New Roman"/>
          <w:i/>
        </w:rPr>
        <w:t>“Entre las entidades u organismos señalados en el artículo 1 del presente Reglamento o éstas con instituciones del sector privado que realicen labor social u obras de beneficencia sin fines de lucro se podrá efectuar, principalmente, los siguientes actos en los cuales no se transfiere el dominio de los bienes: comodato, traspaso de bienes y destrucción.”</w:t>
      </w:r>
      <w:r w:rsidRPr="00AC3BDD">
        <w:rPr>
          <w:rFonts w:ascii="Times New Roman" w:hAnsi="Times New Roman" w:cs="Times New Roman"/>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r w:rsidRPr="00AC3BDD">
        <w:rPr>
          <w:rFonts w:ascii="Times New Roman" w:hAnsi="Times New Roman" w:cs="Times New Roman"/>
          <w:color w:val="000000" w:themeColor="text1"/>
        </w:rPr>
        <w:t xml:space="preserve">Que, </w:t>
      </w:r>
      <w:r w:rsidRPr="00AC3BDD">
        <w:rPr>
          <w:rFonts w:ascii="Times New Roman" w:hAnsi="Times New Roman" w:cs="Times New Roman"/>
          <w:color w:val="000000" w:themeColor="text1"/>
        </w:rPr>
        <w:tab/>
        <w:t>el artículo 6 del Código Municipal para el Distrito Metropolitano de Quito, establece:</w:t>
      </w:r>
      <w:r w:rsidRPr="00AC3BDD">
        <w:rPr>
          <w:rFonts w:ascii="Times New Roman" w:hAnsi="Times New Roman" w:cs="Times New Roman"/>
          <w:i/>
          <w:color w:val="000000" w:themeColor="text1"/>
        </w:rPr>
        <w:t xml:space="preserve"> “Las decisiones del Concejo Metropolitano que no tengan carácter general, se expedirán mediante acuerdos o resoluciones."</w:t>
      </w:r>
      <w:r w:rsidRPr="00AC3BDD">
        <w:rPr>
          <w:rFonts w:ascii="Times New Roman" w:hAnsi="Times New Roman" w:cs="Times New Roman"/>
          <w:color w:val="000000" w:themeColor="text1"/>
        </w:rPr>
        <w:t>;</w:t>
      </w:r>
    </w:p>
    <w:p w:rsidR="001646EC" w:rsidRPr="00AC3BDD" w:rsidRDefault="001646EC" w:rsidP="001646EC">
      <w:pPr>
        <w:spacing w:after="0" w:line="240" w:lineRule="auto"/>
        <w:ind w:left="709" w:hanging="709"/>
        <w:jc w:val="both"/>
        <w:rPr>
          <w:rFonts w:ascii="Times New Roman" w:hAnsi="Times New Roman" w:cs="Times New Roman"/>
          <w:color w:val="000000" w:themeColor="text1"/>
        </w:rPr>
      </w:pPr>
    </w:p>
    <w:p w:rsidR="001646EC" w:rsidRPr="00AC3BDD" w:rsidRDefault="001646EC" w:rsidP="001646EC">
      <w:pPr>
        <w:spacing w:after="0" w:line="240" w:lineRule="auto"/>
        <w:jc w:val="both"/>
        <w:rPr>
          <w:rFonts w:ascii="Times New Roman" w:hAnsi="Times New Roman" w:cs="Times New Roman"/>
          <w:b/>
          <w:color w:val="000000" w:themeColor="text1"/>
        </w:rPr>
      </w:pPr>
      <w:r w:rsidRPr="00AC3BDD">
        <w:rPr>
          <w:rFonts w:ascii="Times New Roman" w:hAnsi="Times New Roman" w:cs="Times New Roman"/>
          <w:color w:val="000000" w:themeColor="text1"/>
        </w:rPr>
        <w:t>En ejercicio de las atribuciones que le confiere el artículo 415 de la Constitución de la República; artículo 87 letras a), d) y s) del Código Orgánico de Organización Territorial Autonomía y Descentralización; y, artículo 6 del Código Municipal para el Distrito Metropolitano de Quito:</w:t>
      </w:r>
    </w:p>
    <w:p w:rsidR="001646EC" w:rsidRPr="00AC3BDD" w:rsidRDefault="001646EC" w:rsidP="001646EC">
      <w:pPr>
        <w:spacing w:after="0" w:line="240" w:lineRule="auto"/>
        <w:jc w:val="center"/>
        <w:rPr>
          <w:rFonts w:ascii="Times New Roman" w:hAnsi="Times New Roman" w:cs="Times New Roman"/>
          <w:b/>
          <w:color w:val="000000" w:themeColor="text1"/>
        </w:rPr>
      </w:pPr>
    </w:p>
    <w:p w:rsidR="001646EC" w:rsidRPr="00AC3BDD" w:rsidRDefault="001646EC" w:rsidP="001646EC">
      <w:pPr>
        <w:spacing w:after="0" w:line="240" w:lineRule="auto"/>
        <w:jc w:val="center"/>
        <w:rPr>
          <w:rFonts w:ascii="Times New Roman" w:hAnsi="Times New Roman" w:cs="Times New Roman"/>
          <w:b/>
          <w:color w:val="000000" w:themeColor="text1"/>
        </w:rPr>
      </w:pPr>
      <w:r w:rsidRPr="00AC3BDD">
        <w:rPr>
          <w:rFonts w:ascii="Times New Roman" w:hAnsi="Times New Roman" w:cs="Times New Roman"/>
          <w:b/>
          <w:color w:val="000000" w:themeColor="text1"/>
        </w:rPr>
        <w:lastRenderedPageBreak/>
        <w:t>RESUELVE:</w:t>
      </w:r>
    </w:p>
    <w:p w:rsidR="001646EC" w:rsidRPr="00AC3BDD" w:rsidRDefault="001646EC" w:rsidP="001646EC">
      <w:pPr>
        <w:spacing w:after="0" w:line="240" w:lineRule="auto"/>
        <w:jc w:val="center"/>
        <w:rPr>
          <w:rFonts w:ascii="Times New Roman" w:hAnsi="Times New Roman" w:cs="Times New Roman"/>
          <w:b/>
          <w:color w:val="000000" w:themeColor="text1"/>
        </w:rPr>
      </w:pPr>
    </w:p>
    <w:p w:rsidR="001646EC" w:rsidRPr="0081394C" w:rsidRDefault="001646EC" w:rsidP="001646EC">
      <w:pPr>
        <w:spacing w:after="0" w:line="240" w:lineRule="auto"/>
        <w:ind w:left="3"/>
        <w:jc w:val="both"/>
        <w:rPr>
          <w:rFonts w:ascii="Times New Roman" w:hAnsi="Times New Roman" w:cs="Times New Roman"/>
          <w:i/>
          <w:color w:val="000000" w:themeColor="text1"/>
        </w:rPr>
      </w:pPr>
      <w:r w:rsidRPr="00AC3BDD">
        <w:rPr>
          <w:rFonts w:ascii="Times New Roman" w:hAnsi="Times New Roman" w:cs="Times New Roman"/>
          <w:b/>
          <w:color w:val="000000" w:themeColor="text1"/>
        </w:rPr>
        <w:t xml:space="preserve">Artículo Único. - </w:t>
      </w:r>
      <w:r w:rsidRPr="0081394C">
        <w:rPr>
          <w:rFonts w:ascii="Times New Roman" w:hAnsi="Times New Roman" w:cs="Times New Roman"/>
          <w:i/>
          <w:color w:val="000000" w:themeColor="text1"/>
        </w:rPr>
        <w:t xml:space="preserve">Sin perjuicio de las facultades conferidas en el </w:t>
      </w:r>
      <w:r w:rsidRPr="00CE52D1">
        <w:rPr>
          <w:rFonts w:ascii="Times New Roman" w:hAnsi="Times New Roman" w:cs="Times New Roman"/>
          <w:i/>
          <w:color w:val="000000" w:themeColor="text1"/>
        </w:rPr>
        <w:t>Libro IV.6</w:t>
      </w:r>
      <w:r>
        <w:rPr>
          <w:rFonts w:ascii="Times New Roman" w:hAnsi="Times New Roman" w:cs="Times New Roman"/>
          <w:i/>
          <w:color w:val="000000" w:themeColor="text1"/>
        </w:rPr>
        <w:t xml:space="preserve"> </w:t>
      </w:r>
      <w:r w:rsidRPr="00CE52D1">
        <w:rPr>
          <w:rFonts w:ascii="Times New Roman" w:hAnsi="Times New Roman" w:cs="Times New Roman"/>
          <w:i/>
          <w:color w:val="000000" w:themeColor="text1"/>
        </w:rPr>
        <w:t>DE LA PROPIEDAD Y ESPACIO PÚBLICO</w:t>
      </w:r>
      <w:r>
        <w:rPr>
          <w:rFonts w:ascii="Times New Roman" w:hAnsi="Times New Roman" w:cs="Times New Roman"/>
          <w:i/>
          <w:color w:val="000000" w:themeColor="text1"/>
        </w:rPr>
        <w:t xml:space="preserve">, </w:t>
      </w:r>
      <w:r w:rsidRPr="00CE52D1">
        <w:rPr>
          <w:rFonts w:ascii="Times New Roman" w:hAnsi="Times New Roman" w:cs="Times New Roman"/>
          <w:i/>
          <w:color w:val="000000" w:themeColor="text1"/>
        </w:rPr>
        <w:t>TÍTULO I</w:t>
      </w:r>
      <w:r>
        <w:rPr>
          <w:rFonts w:ascii="Times New Roman" w:hAnsi="Times New Roman" w:cs="Times New Roman"/>
          <w:i/>
          <w:color w:val="000000" w:themeColor="text1"/>
        </w:rPr>
        <w:t xml:space="preserve"> </w:t>
      </w:r>
      <w:r w:rsidRPr="00CE52D1">
        <w:rPr>
          <w:rFonts w:ascii="Times New Roman" w:hAnsi="Times New Roman" w:cs="Times New Roman"/>
          <w:i/>
          <w:color w:val="000000" w:themeColor="text1"/>
        </w:rPr>
        <w:t>DE LOS BIENES MUNICIPALES</w:t>
      </w:r>
      <w:r>
        <w:rPr>
          <w:rFonts w:ascii="Times New Roman" w:hAnsi="Times New Roman" w:cs="Times New Roman"/>
          <w:i/>
          <w:color w:val="000000" w:themeColor="text1"/>
        </w:rPr>
        <w:t xml:space="preserve">, Capítulo II  De la entrega del Comodato, del </w:t>
      </w:r>
      <w:r w:rsidRPr="0081394C">
        <w:rPr>
          <w:rFonts w:ascii="Times New Roman" w:hAnsi="Times New Roman" w:cs="Times New Roman"/>
          <w:i/>
          <w:color w:val="000000" w:themeColor="text1"/>
        </w:rPr>
        <w:t>Código Municipal para el Distrito Metropolitano de Quito, a</w:t>
      </w:r>
      <w:r w:rsidRPr="0081394C">
        <w:rPr>
          <w:rFonts w:ascii="Times New Roman" w:hAnsi="Times New Roman" w:cs="Times New Roman"/>
          <w:i/>
        </w:rPr>
        <w:t>utorizar al Alcalde Metropolitano o su delegado, la celebración de Convenios de Administración y Uso con las Empresas Públicas M</w:t>
      </w:r>
      <w:r>
        <w:rPr>
          <w:rFonts w:ascii="Times New Roman" w:hAnsi="Times New Roman" w:cs="Times New Roman"/>
          <w:i/>
        </w:rPr>
        <w:t>etropolitanas</w:t>
      </w:r>
      <w:r w:rsidRPr="0081394C">
        <w:rPr>
          <w:rFonts w:ascii="Times New Roman" w:hAnsi="Times New Roman" w:cs="Times New Roman"/>
          <w:i/>
        </w:rPr>
        <w:t xml:space="preserve">, empresas mixtas u otras entidades prestadoras de servicios públicos; así como corporaciones y fundaciones en las que tenga participación el Municipio del Distrito Metropolitano de Quito, </w:t>
      </w:r>
      <w:r w:rsidRPr="0081394C">
        <w:rPr>
          <w:rFonts w:ascii="Times New Roman" w:hAnsi="Times New Roman" w:cs="Times New Roman"/>
          <w:i/>
          <w:color w:val="000000" w:themeColor="text1"/>
        </w:rPr>
        <w:t xml:space="preserve">respecto de los bienes inmuebles municipales, conforme los términos que se establezcan en dicho acuerdo. </w:t>
      </w:r>
    </w:p>
    <w:p w:rsidR="001646EC" w:rsidRPr="0081394C" w:rsidRDefault="001646EC" w:rsidP="001646EC">
      <w:pPr>
        <w:spacing w:after="0" w:line="240" w:lineRule="auto"/>
        <w:ind w:left="708"/>
        <w:jc w:val="both"/>
        <w:rPr>
          <w:rFonts w:ascii="Times New Roman" w:hAnsi="Times New Roman" w:cs="Times New Roman"/>
          <w:i/>
          <w:color w:val="000000" w:themeColor="text1"/>
        </w:rPr>
      </w:pPr>
    </w:p>
    <w:p w:rsidR="001646EC" w:rsidRDefault="001646EC" w:rsidP="001646EC">
      <w:pPr>
        <w:spacing w:after="0" w:line="240" w:lineRule="auto"/>
        <w:ind w:left="3"/>
        <w:jc w:val="both"/>
        <w:rPr>
          <w:rFonts w:ascii="Times New Roman" w:hAnsi="Times New Roman" w:cs="Times New Roman"/>
          <w:i/>
          <w:color w:val="000000" w:themeColor="text1"/>
        </w:rPr>
      </w:pPr>
      <w:r w:rsidRPr="0081394C">
        <w:rPr>
          <w:rFonts w:ascii="Times New Roman" w:hAnsi="Times New Roman" w:cs="Times New Roman"/>
          <w:i/>
          <w:color w:val="000000" w:themeColor="text1"/>
        </w:rPr>
        <w:t xml:space="preserve">Previo a la firma de estos instrumentos, se deberá contar con los informes de justificación de las áreas técnicas correspondientes, que recomienden su suscripción”.  </w:t>
      </w:r>
    </w:p>
    <w:p w:rsidR="001646EC" w:rsidRPr="00AC3BDD" w:rsidRDefault="001646EC" w:rsidP="001646EC">
      <w:pPr>
        <w:spacing w:after="0" w:line="240" w:lineRule="auto"/>
        <w:ind w:left="3"/>
        <w:jc w:val="both"/>
        <w:rPr>
          <w:rFonts w:ascii="Times New Roman" w:hAnsi="Times New Roman" w:cs="Times New Roman"/>
          <w:color w:val="000000" w:themeColor="text1"/>
        </w:rPr>
      </w:pPr>
      <w:r w:rsidRPr="00AC3BDD">
        <w:rPr>
          <w:rFonts w:ascii="Times New Roman" w:hAnsi="Times New Roman" w:cs="Times New Roman"/>
          <w:color w:val="000000" w:themeColor="text1"/>
        </w:rPr>
        <w:t xml:space="preserve">  </w:t>
      </w:r>
    </w:p>
    <w:p w:rsidR="001646EC" w:rsidRPr="00AC3BDD" w:rsidRDefault="001646EC" w:rsidP="001646EC">
      <w:pPr>
        <w:spacing w:after="0" w:line="240" w:lineRule="auto"/>
        <w:jc w:val="both"/>
        <w:rPr>
          <w:rFonts w:ascii="Times New Roman" w:hAnsi="Times New Roman" w:cs="Times New Roman"/>
          <w:color w:val="000000" w:themeColor="text1"/>
        </w:rPr>
      </w:pPr>
    </w:p>
    <w:p w:rsidR="001646EC" w:rsidRPr="00AC3BDD" w:rsidRDefault="001646EC" w:rsidP="001646EC">
      <w:pPr>
        <w:autoSpaceDE w:val="0"/>
        <w:autoSpaceDN w:val="0"/>
        <w:adjustRightInd w:val="0"/>
        <w:spacing w:line="240" w:lineRule="auto"/>
        <w:jc w:val="center"/>
        <w:rPr>
          <w:rFonts w:ascii="Times New Roman" w:hAnsi="Times New Roman" w:cs="Times New Roman"/>
          <w:b/>
          <w:bCs/>
          <w:color w:val="000000" w:themeColor="text1"/>
        </w:rPr>
      </w:pPr>
      <w:r w:rsidRPr="00AC3BDD">
        <w:rPr>
          <w:rFonts w:ascii="Times New Roman" w:hAnsi="Times New Roman" w:cs="Times New Roman"/>
          <w:b/>
          <w:bCs/>
          <w:color w:val="000000" w:themeColor="text1"/>
        </w:rPr>
        <w:t>DISPOSICIONES GENERALES</w:t>
      </w:r>
    </w:p>
    <w:p w:rsidR="001646EC" w:rsidRPr="00AC3BDD" w:rsidRDefault="001646EC" w:rsidP="001646EC">
      <w:pPr>
        <w:pStyle w:val="Sinespaciado"/>
        <w:jc w:val="both"/>
        <w:rPr>
          <w:rFonts w:ascii="Times New Roman" w:hAnsi="Times New Roman"/>
          <w:bCs/>
          <w:color w:val="000000" w:themeColor="text1"/>
        </w:rPr>
      </w:pPr>
      <w:r w:rsidRPr="00AC3BDD">
        <w:rPr>
          <w:rFonts w:ascii="Times New Roman" w:hAnsi="Times New Roman"/>
          <w:b/>
          <w:bCs/>
          <w:color w:val="000000" w:themeColor="text1"/>
        </w:rPr>
        <w:t xml:space="preserve">Primera. – </w:t>
      </w:r>
      <w:r w:rsidRPr="00AC3BDD">
        <w:rPr>
          <w:rFonts w:ascii="Times New Roman" w:hAnsi="Times New Roman"/>
          <w:bCs/>
          <w:color w:val="000000" w:themeColor="text1"/>
        </w:rPr>
        <w:t xml:space="preserve">Se dispone a la Dirección Metropolitana de Gestión de Bienes Inmuebles, Administraciones Zonales y otras entidades municipales, en el ámbito de sus competencias, coordinar y ejecutar las acciones pertinentes con el propósito de regularizar el uso y goce de los bienes inmuebles de propiedad del </w:t>
      </w:r>
      <w:r w:rsidRPr="00AC3BDD">
        <w:rPr>
          <w:rFonts w:ascii="Times New Roman" w:hAnsi="Times New Roman"/>
          <w:color w:val="000000" w:themeColor="text1"/>
        </w:rPr>
        <w:t>Gobierno Autónomo Descentralizado del Distrito Metropolitano de Quito, conforme el alcance de la presente resolución.</w:t>
      </w:r>
    </w:p>
    <w:p w:rsidR="001646EC" w:rsidRPr="00AC3BDD" w:rsidRDefault="001646EC" w:rsidP="001646EC">
      <w:pPr>
        <w:pStyle w:val="Sinespaciado"/>
        <w:jc w:val="both"/>
        <w:rPr>
          <w:rFonts w:ascii="Times New Roman" w:hAnsi="Times New Roman"/>
          <w:color w:val="000000" w:themeColor="text1"/>
        </w:rPr>
      </w:pPr>
    </w:p>
    <w:p w:rsidR="001646EC" w:rsidRPr="00AC3BDD" w:rsidRDefault="001646EC" w:rsidP="001646EC">
      <w:pPr>
        <w:pStyle w:val="Sinespaciado"/>
        <w:jc w:val="both"/>
        <w:rPr>
          <w:rFonts w:ascii="Times New Roman" w:hAnsi="Times New Roman"/>
          <w:color w:val="000000" w:themeColor="text1"/>
        </w:rPr>
      </w:pPr>
      <w:r w:rsidRPr="00AC3BDD">
        <w:rPr>
          <w:rFonts w:ascii="Times New Roman" w:hAnsi="Times New Roman"/>
          <w:b/>
          <w:color w:val="000000" w:themeColor="text1"/>
        </w:rPr>
        <w:t xml:space="preserve">Segunda. - </w:t>
      </w:r>
      <w:r w:rsidRPr="00AC3BDD">
        <w:rPr>
          <w:rFonts w:ascii="Times New Roman" w:hAnsi="Times New Roman"/>
          <w:color w:val="000000" w:themeColor="text1"/>
        </w:rPr>
        <w:t>El Alcalde Metropolitano o sus delegados informará anualmente al Concejo Metropolitano sobre las acciones ejecutadas en ejercicio de la presente resolución.</w:t>
      </w:r>
    </w:p>
    <w:p w:rsidR="001646EC" w:rsidRPr="00AC3BDD" w:rsidRDefault="001646EC" w:rsidP="001646EC">
      <w:pPr>
        <w:pStyle w:val="Sinespaciado"/>
        <w:ind w:left="567" w:hanging="567"/>
        <w:jc w:val="both"/>
        <w:rPr>
          <w:rFonts w:ascii="Times New Roman" w:hAnsi="Times New Roman"/>
          <w:color w:val="000000" w:themeColor="text1"/>
        </w:rPr>
      </w:pPr>
    </w:p>
    <w:p w:rsidR="001646EC" w:rsidRPr="00AC3BDD" w:rsidRDefault="001646EC" w:rsidP="001646EC">
      <w:pPr>
        <w:pStyle w:val="Sinespaciado"/>
        <w:jc w:val="both"/>
        <w:rPr>
          <w:rFonts w:ascii="Times New Roman" w:hAnsi="Times New Roman"/>
          <w:color w:val="000000" w:themeColor="text1"/>
        </w:rPr>
      </w:pPr>
      <w:r w:rsidRPr="00AC3BDD">
        <w:rPr>
          <w:rFonts w:ascii="Times New Roman" w:hAnsi="Times New Roman"/>
          <w:b/>
          <w:bCs/>
          <w:color w:val="000000" w:themeColor="text1"/>
        </w:rPr>
        <w:t xml:space="preserve">Tercera. - </w:t>
      </w:r>
      <w:r w:rsidRPr="00AC3BDD">
        <w:rPr>
          <w:rFonts w:ascii="Times New Roman" w:hAnsi="Times New Roman"/>
          <w:color w:val="000000" w:themeColor="text1"/>
        </w:rPr>
        <w:t xml:space="preserve">Encárguese a la Secretaría General del Concejo Metropolitano, la publicación de esta resolución en los medios de difusión institucional, de conformidad con lo que dispone el artículo 70 del Código Orgánico Administrativo.  </w:t>
      </w:r>
    </w:p>
    <w:p w:rsidR="001646EC" w:rsidRPr="00AC3BDD" w:rsidRDefault="001646EC" w:rsidP="001646EC">
      <w:pPr>
        <w:pStyle w:val="Sinespaciado"/>
        <w:jc w:val="both"/>
        <w:rPr>
          <w:rFonts w:ascii="Times New Roman" w:hAnsi="Times New Roman"/>
          <w:color w:val="000000" w:themeColor="text1"/>
        </w:rPr>
      </w:pPr>
    </w:p>
    <w:p w:rsidR="001646EC" w:rsidRPr="00AC3BDD" w:rsidRDefault="001646EC" w:rsidP="001646EC">
      <w:pPr>
        <w:spacing w:after="0" w:line="240" w:lineRule="auto"/>
        <w:jc w:val="both"/>
        <w:rPr>
          <w:rFonts w:ascii="Times New Roman" w:hAnsi="Times New Roman" w:cs="Times New Roman"/>
          <w:b/>
          <w:color w:val="000000" w:themeColor="text1"/>
        </w:rPr>
      </w:pPr>
      <w:r w:rsidRPr="00AC3BDD">
        <w:rPr>
          <w:rFonts w:ascii="Times New Roman" w:hAnsi="Times New Roman" w:cs="Times New Roman"/>
          <w:b/>
          <w:color w:val="000000" w:themeColor="text1"/>
        </w:rPr>
        <w:t>Disposición Final:</w:t>
      </w:r>
    </w:p>
    <w:p w:rsidR="001646EC" w:rsidRPr="00AC3BDD" w:rsidRDefault="001646EC" w:rsidP="001646EC">
      <w:pPr>
        <w:spacing w:after="0" w:line="240" w:lineRule="auto"/>
        <w:jc w:val="both"/>
        <w:rPr>
          <w:rFonts w:ascii="Times New Roman" w:hAnsi="Times New Roman" w:cs="Times New Roman"/>
          <w:b/>
          <w:color w:val="000000" w:themeColor="text1"/>
        </w:rPr>
      </w:pPr>
    </w:p>
    <w:p w:rsidR="001646EC" w:rsidRPr="00AC3BDD" w:rsidRDefault="001646EC" w:rsidP="001646EC">
      <w:pPr>
        <w:spacing w:after="0" w:line="240" w:lineRule="auto"/>
        <w:jc w:val="both"/>
        <w:rPr>
          <w:rFonts w:ascii="Times New Roman" w:hAnsi="Times New Roman" w:cs="Times New Roman"/>
          <w:color w:val="000000" w:themeColor="text1"/>
        </w:rPr>
      </w:pPr>
      <w:r w:rsidRPr="00AC3BDD">
        <w:rPr>
          <w:rFonts w:ascii="Times New Roman" w:hAnsi="Times New Roman" w:cs="Times New Roman"/>
          <w:color w:val="000000" w:themeColor="text1"/>
        </w:rPr>
        <w:t>La presente Resolución entrará en vigencia a partir de la fecha de su suscripción, sin perjuicio de su publicación en el portal institucional.</w:t>
      </w:r>
    </w:p>
    <w:p w:rsidR="001646EC" w:rsidRPr="00AC3BDD" w:rsidRDefault="001646EC" w:rsidP="001646EC">
      <w:pPr>
        <w:spacing w:after="0" w:line="240" w:lineRule="auto"/>
        <w:rPr>
          <w:rFonts w:ascii="Times New Roman" w:hAnsi="Times New Roman" w:cs="Times New Roman"/>
          <w:color w:val="000000" w:themeColor="text1"/>
        </w:rPr>
      </w:pPr>
    </w:p>
    <w:p w:rsidR="001646EC" w:rsidRPr="00AC3BDD" w:rsidRDefault="001646EC" w:rsidP="001646EC">
      <w:pPr>
        <w:spacing w:after="0" w:line="240" w:lineRule="auto"/>
        <w:rPr>
          <w:rFonts w:ascii="Times New Roman" w:hAnsi="Times New Roman" w:cs="Times New Roman"/>
          <w:color w:val="000000" w:themeColor="text1"/>
        </w:rPr>
      </w:pPr>
    </w:p>
    <w:p w:rsidR="001646EC" w:rsidRPr="00AC3BDD" w:rsidRDefault="001646EC" w:rsidP="001646EC">
      <w:pPr>
        <w:autoSpaceDE w:val="0"/>
        <w:autoSpaceDN w:val="0"/>
        <w:adjustRightInd w:val="0"/>
        <w:spacing w:line="240" w:lineRule="auto"/>
        <w:jc w:val="both"/>
        <w:rPr>
          <w:rFonts w:ascii="Times New Roman" w:hAnsi="Times New Roman" w:cs="Times New Roman"/>
          <w:color w:val="000000" w:themeColor="text1"/>
        </w:rPr>
      </w:pPr>
      <w:r w:rsidRPr="00AC3BDD">
        <w:rPr>
          <w:rFonts w:ascii="Times New Roman" w:hAnsi="Times New Roman" w:cs="Times New Roman"/>
          <w:color w:val="000000" w:themeColor="text1"/>
        </w:rPr>
        <w:t>Dado en el Distrito Metropolitano de Quito, a los _______ días del mes de noviembre de 2022.</w:t>
      </w:r>
    </w:p>
    <w:p w:rsidR="001646EC" w:rsidRPr="00AC3BDD" w:rsidRDefault="001646EC" w:rsidP="001646EC">
      <w:pPr>
        <w:spacing w:after="0" w:line="240" w:lineRule="auto"/>
        <w:rPr>
          <w:rFonts w:ascii="Times New Roman" w:hAnsi="Times New Roman" w:cs="Times New Roman"/>
          <w:color w:val="000000" w:themeColor="text1"/>
        </w:rPr>
      </w:pPr>
    </w:p>
    <w:p w:rsidR="001646EC" w:rsidRPr="00AC3BDD" w:rsidRDefault="001646EC" w:rsidP="001646EC">
      <w:pPr>
        <w:spacing w:after="0" w:line="240" w:lineRule="auto"/>
        <w:rPr>
          <w:rFonts w:ascii="Times New Roman" w:hAnsi="Times New Roman" w:cs="Times New Roman"/>
          <w:color w:val="000000" w:themeColor="text1"/>
        </w:rPr>
      </w:pPr>
    </w:p>
    <w:p w:rsidR="001646EC" w:rsidRPr="00BF6174" w:rsidRDefault="001646EC" w:rsidP="001646EC">
      <w:pPr>
        <w:rPr>
          <w:rFonts w:ascii="Times New Roman" w:hAnsi="Times New Roman" w:cs="Times New Roman"/>
          <w:color w:val="000000" w:themeColor="text1"/>
        </w:rPr>
      </w:pPr>
    </w:p>
    <w:p w:rsidR="009112E4" w:rsidRDefault="009112E4"/>
    <w:sectPr w:rsidR="009112E4" w:rsidSect="00B62540">
      <w:footerReference w:type="default" r:id="rId4"/>
      <w:pgSz w:w="11906" w:h="16838"/>
      <w:pgMar w:top="1350" w:right="1416" w:bottom="12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647078"/>
      <w:docPartObj>
        <w:docPartGallery w:val="Page Numbers (Bottom of Page)"/>
        <w:docPartUnique/>
      </w:docPartObj>
    </w:sdtPr>
    <w:sdtEndPr/>
    <w:sdtContent>
      <w:p w:rsidR="00237303" w:rsidRDefault="001646EC">
        <w:pPr>
          <w:pStyle w:val="Piedepgina"/>
          <w:jc w:val="right"/>
        </w:pPr>
        <w:r>
          <w:fldChar w:fldCharType="begin"/>
        </w:r>
        <w:r>
          <w:instrText>PAGE   \* MERGEFORMAT</w:instrText>
        </w:r>
        <w:r>
          <w:fldChar w:fldCharType="separate"/>
        </w:r>
        <w:r w:rsidRPr="006B6F1A">
          <w:rPr>
            <w:noProof/>
            <w:lang w:val="es-ES"/>
          </w:rPr>
          <w:t>4</w:t>
        </w:r>
        <w:r>
          <w:fldChar w:fldCharType="end"/>
        </w:r>
      </w:p>
    </w:sdtContent>
  </w:sdt>
  <w:p w:rsidR="00237303" w:rsidRDefault="001646EC">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EC"/>
    <w:rsid w:val="000B2AB5"/>
    <w:rsid w:val="001646EC"/>
    <w:rsid w:val="00330CE2"/>
    <w:rsid w:val="003508A9"/>
    <w:rsid w:val="004931F5"/>
    <w:rsid w:val="004F5035"/>
    <w:rsid w:val="00537D5A"/>
    <w:rsid w:val="00554A2F"/>
    <w:rsid w:val="00666618"/>
    <w:rsid w:val="006947FB"/>
    <w:rsid w:val="006D2430"/>
    <w:rsid w:val="007310F1"/>
    <w:rsid w:val="007F78F1"/>
    <w:rsid w:val="009112E4"/>
    <w:rsid w:val="00A75579"/>
    <w:rsid w:val="00AD27DD"/>
    <w:rsid w:val="00CD4BE0"/>
    <w:rsid w:val="00D1228A"/>
    <w:rsid w:val="00D7541F"/>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6CD48DE"/>
  <w15:chartTrackingRefBased/>
  <w15:docId w15:val="{6DE3339D-C6C7-D94E-B12B-9827924A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46EC"/>
    <w:pPr>
      <w:spacing w:after="160" w:line="259"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646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6EC"/>
    <w:rPr>
      <w:sz w:val="22"/>
      <w:szCs w:val="22"/>
      <w:lang w:val="es-EC"/>
    </w:rPr>
  </w:style>
  <w:style w:type="paragraph" w:customStyle="1" w:styleId="Default">
    <w:name w:val="Default"/>
    <w:rsid w:val="001646EC"/>
    <w:pPr>
      <w:autoSpaceDE w:val="0"/>
      <w:autoSpaceDN w:val="0"/>
      <w:adjustRightInd w:val="0"/>
    </w:pPr>
    <w:rPr>
      <w:rFonts w:ascii="Times New Roman" w:hAnsi="Times New Roman" w:cs="Times New Roman"/>
      <w:color w:val="000000"/>
      <w:lang w:val="en-US"/>
    </w:rPr>
  </w:style>
  <w:style w:type="paragraph" w:styleId="Sinespaciado">
    <w:name w:val="No Spacing"/>
    <w:uiPriority w:val="1"/>
    <w:qFormat/>
    <w:rsid w:val="001646EC"/>
    <w:rPr>
      <w:rFonts w:ascii="Calibri" w:eastAsia="Times New Roman" w:hAnsi="Calibri" w:cs="Times New Roman"/>
      <w:sz w:val="22"/>
      <w:szCs w:val="22"/>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2505</Words>
  <Characters>13781</Characters>
  <Application>Microsoft Office Word</Application>
  <DocSecurity>0</DocSecurity>
  <Lines>114</Lines>
  <Paragraphs>32</Paragraphs>
  <ScaleCrop>false</ScaleCrop>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KARINA PATRICIA TELLO TORAL</cp:lastModifiedBy>
  <cp:revision>1</cp:revision>
  <dcterms:created xsi:type="dcterms:W3CDTF">2022-11-18T21:46:00Z</dcterms:created>
  <dcterms:modified xsi:type="dcterms:W3CDTF">2022-11-18T21:49:00Z</dcterms:modified>
</cp:coreProperties>
</file>