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CB" w:rsidRPr="00993181" w:rsidRDefault="008339CB" w:rsidP="008339CB">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EL CONCEJO METROPOLITANO DE QUITO</w:t>
      </w:r>
    </w:p>
    <w:p w:rsidR="008339CB" w:rsidRPr="00993181" w:rsidRDefault="008339CB" w:rsidP="008339CB">
      <w:pPr>
        <w:autoSpaceDE w:val="0"/>
        <w:autoSpaceDN w:val="0"/>
        <w:adjustRightInd w:val="0"/>
        <w:spacing w:line="276" w:lineRule="auto"/>
        <w:jc w:val="center"/>
        <w:rPr>
          <w:rFonts w:ascii="Palatino Linotype" w:eastAsiaTheme="minorHAnsi" w:hAnsi="Palatino Linotype"/>
          <w:b/>
          <w:sz w:val="22"/>
          <w:szCs w:val="22"/>
          <w:lang w:eastAsia="en-US"/>
        </w:rPr>
      </w:pPr>
    </w:p>
    <w:p w:rsidR="008339CB" w:rsidRPr="00993181" w:rsidRDefault="008339CB" w:rsidP="008339CB">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CONSIDERANDO:</w:t>
      </w:r>
    </w:p>
    <w:p w:rsidR="008339CB" w:rsidRPr="00993181" w:rsidRDefault="008339CB" w:rsidP="008339CB">
      <w:pPr>
        <w:autoSpaceDE w:val="0"/>
        <w:autoSpaceDN w:val="0"/>
        <w:adjustRightInd w:val="0"/>
        <w:ind w:left="705" w:hanging="705"/>
        <w:jc w:val="both"/>
        <w:rPr>
          <w:rFonts w:ascii="Palatino Linotype" w:eastAsiaTheme="minorHAnsi" w:hAnsi="Palatino Linotype"/>
          <w:i/>
          <w:iCs/>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 el artículo 240 de la Constitución de República del Ecuador, en adelante Constitución, establece: “</w:t>
      </w:r>
      <w:r w:rsidRPr="00993181">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la Constitución de la República del Ecuador en su artículo 266, determina: </w:t>
      </w:r>
      <w:r w:rsidRPr="00993181">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93181">
        <w:rPr>
          <w:rFonts w:ascii="Palatino Linotype" w:eastAsiaTheme="minorHAnsi" w:hAnsi="Palatino Linotype"/>
          <w:sz w:val="22"/>
          <w:szCs w:val="22"/>
          <w:lang w:eastAsia="en-US"/>
        </w:rPr>
        <w:t>;</w:t>
      </w: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8339CB" w:rsidRPr="00993181" w:rsidRDefault="008339CB" w:rsidP="008339CB">
      <w:pPr>
        <w:autoSpaceDE w:val="0"/>
        <w:autoSpaceDN w:val="0"/>
        <w:adjustRightInd w:val="0"/>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993181">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conforme establece el artículo 87, literal v) del COOTAD, al Concejo Metropolitano le corresponde: </w:t>
      </w:r>
      <w:r w:rsidRPr="00993181">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993181">
        <w:rPr>
          <w:rFonts w:ascii="Palatino Linotype" w:eastAsiaTheme="minorHAnsi" w:hAnsi="Palatino Linotype"/>
          <w:sz w:val="22"/>
          <w:szCs w:val="22"/>
          <w:lang w:eastAsia="en-US"/>
        </w:rPr>
        <w:t xml:space="preserve"> </w:t>
      </w: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8339CB" w:rsidRPr="00993181" w:rsidRDefault="008339CB" w:rsidP="008339CB">
      <w:pPr>
        <w:autoSpaceDE w:val="0"/>
        <w:autoSpaceDN w:val="0"/>
        <w:adjustRightInd w:val="0"/>
        <w:ind w:left="709" w:hanging="709"/>
        <w:jc w:val="both"/>
        <w:rPr>
          <w:rFonts w:ascii="Palatino Linotype" w:eastAsiaTheme="minorHAnsi" w:hAnsi="Palatino Linotype"/>
          <w:i/>
          <w:iCs/>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artículo 323 del COOTAD establece: “</w:t>
      </w:r>
      <w:r w:rsidRPr="00993181">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993181">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424 del COOTAD señala: </w:t>
      </w:r>
      <w:r w:rsidRPr="00993181">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472 del COOTAD señala que: </w:t>
      </w:r>
      <w:r w:rsidRPr="00993181">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993181">
        <w:rPr>
          <w:rFonts w:ascii="Palatino Linotype" w:eastAsiaTheme="minorHAnsi" w:hAnsi="Palatino Linotype"/>
          <w:sz w:val="22"/>
          <w:szCs w:val="22"/>
          <w:lang w:eastAsia="en-US"/>
        </w:rPr>
        <w:t>;</w:t>
      </w: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2410 del el Código Civil Ecuatoriano determina que: </w:t>
      </w:r>
      <w:r w:rsidRPr="00993181">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8339CB" w:rsidRPr="00993181" w:rsidRDefault="008339CB" w:rsidP="008339CB">
      <w:pPr>
        <w:autoSpaceDE w:val="0"/>
        <w:autoSpaceDN w:val="0"/>
        <w:adjustRightInd w:val="0"/>
        <w:jc w:val="both"/>
        <w:rPr>
          <w:rFonts w:ascii="Palatino Linotype" w:hAnsi="Palatino Linotype"/>
          <w:sz w:val="22"/>
          <w:szCs w:val="22"/>
        </w:rPr>
      </w:pPr>
    </w:p>
    <w:p w:rsidR="008339CB" w:rsidRPr="00993181" w:rsidRDefault="008339CB" w:rsidP="008339CB">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lastRenderedPageBreak/>
        <w:t>Que,</w:t>
      </w:r>
      <w:r w:rsidRPr="00993181">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993181">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93181">
        <w:rPr>
          <w:rFonts w:ascii="Palatino Linotype" w:eastAsiaTheme="minorHAnsi" w:hAnsi="Palatino Linotype"/>
          <w:sz w:val="22"/>
          <w:szCs w:val="22"/>
          <w:lang w:eastAsia="en-US"/>
        </w:rPr>
        <w:t>;</w:t>
      </w: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8339CB" w:rsidRPr="00993181" w:rsidRDefault="008339CB" w:rsidP="008339CB">
      <w:pPr>
        <w:autoSpaceDE w:val="0"/>
        <w:autoSpaceDN w:val="0"/>
        <w:adjustRightInd w:val="0"/>
        <w:spacing w:line="276" w:lineRule="auto"/>
        <w:ind w:left="709" w:hanging="709"/>
        <w:jc w:val="both"/>
        <w:rPr>
          <w:rFonts w:ascii="Palatino Linotype" w:hAnsi="Palatino Linotype"/>
          <w:sz w:val="22"/>
          <w:szCs w:val="22"/>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993181">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993181">
        <w:rPr>
          <w:rFonts w:ascii="Palatino Linotype" w:hAnsi="Palatino Linotype"/>
          <w:i/>
          <w:sz w:val="22"/>
          <w:szCs w:val="22"/>
        </w:rPr>
        <w:t>”</w:t>
      </w:r>
      <w:r w:rsidRPr="00993181">
        <w:rPr>
          <w:rFonts w:ascii="Palatino Linotype" w:hAnsi="Palatino Linotype"/>
          <w:sz w:val="22"/>
          <w:szCs w:val="22"/>
        </w:rPr>
        <w:t xml:space="preserve">; </w:t>
      </w:r>
    </w:p>
    <w:p w:rsidR="008339CB" w:rsidRPr="00993181" w:rsidRDefault="008339CB" w:rsidP="008339CB">
      <w:pPr>
        <w:autoSpaceDE w:val="0"/>
        <w:autoSpaceDN w:val="0"/>
        <w:adjustRightInd w:val="0"/>
        <w:spacing w:line="276" w:lineRule="auto"/>
        <w:ind w:left="709" w:hanging="709"/>
        <w:jc w:val="both"/>
        <w:rPr>
          <w:rFonts w:ascii="Palatino Linotype" w:hAnsi="Palatino Linotype"/>
          <w:sz w:val="22"/>
          <w:szCs w:val="22"/>
        </w:rPr>
      </w:pPr>
    </w:p>
    <w:p w:rsidR="008339CB" w:rsidRPr="00993181" w:rsidRDefault="008339CB" w:rsidP="008339CB">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en su artículo 2171, establece: </w:t>
      </w:r>
      <w:r w:rsidRPr="00993181">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8339CB" w:rsidRDefault="008339CB" w:rsidP="008339CB">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BD7F4E" w:rsidRPr="00993181" w:rsidRDefault="00BD7F4E" w:rsidP="00BD7F4E">
      <w:pPr>
        <w:autoSpaceDE w:val="0"/>
        <w:autoSpaceDN w:val="0"/>
        <w:adjustRightInd w:val="0"/>
        <w:ind w:left="708" w:hanging="708"/>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mediante oficio Nro.</w:t>
      </w:r>
      <w:r w:rsidRPr="00993181">
        <w:rPr>
          <w:rFonts w:ascii="Palatino Linotype" w:hAnsi="Palatino Linotype"/>
          <w:sz w:val="22"/>
          <w:szCs w:val="22"/>
        </w:rPr>
        <w:t xml:space="preserve"> 2950-2010 de 31 de octubre de 2011</w:t>
      </w:r>
      <w:r w:rsidRPr="00993181">
        <w:rPr>
          <w:rFonts w:ascii="Palatino Linotype" w:eastAsiaTheme="minorHAnsi" w:hAnsi="Palatino Linotype"/>
          <w:sz w:val="22"/>
          <w:szCs w:val="22"/>
          <w:lang w:eastAsia="en-US"/>
        </w:rPr>
        <w:t xml:space="preserve"> la Procuraduría Metropolitana emitió un </w:t>
      </w:r>
      <w:r w:rsidRPr="00993181">
        <w:rPr>
          <w:rFonts w:ascii="Palatino Linotype" w:hAnsi="Palatino Linotype"/>
          <w:sz w:val="22"/>
          <w:szCs w:val="22"/>
        </w:rPr>
        <w:t xml:space="preserve">pronunciamiento en forma general, respecto al marco legal y operativo para todos los casos de </w:t>
      </w:r>
      <w:r w:rsidRPr="00993181">
        <w:rPr>
          <w:rFonts w:ascii="Palatino Linotype" w:eastAsiaTheme="minorHAnsi" w:hAnsi="Palatino Linotype"/>
          <w:sz w:val="22"/>
          <w:szCs w:val="22"/>
          <w:lang w:eastAsia="en-US"/>
        </w:rPr>
        <w:t>prescripción extraordinaria adquisitiva de dominio;</w:t>
      </w:r>
    </w:p>
    <w:p w:rsidR="00BD7F4E" w:rsidRPr="00993181" w:rsidRDefault="00BD7F4E" w:rsidP="008339CB">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8339CB" w:rsidRPr="00803B5D" w:rsidRDefault="008339CB" w:rsidP="008339CB">
      <w:pPr>
        <w:autoSpaceDE w:val="0"/>
        <w:autoSpaceDN w:val="0"/>
        <w:adjustRightInd w:val="0"/>
        <w:ind w:left="708" w:hanging="708"/>
        <w:jc w:val="both"/>
        <w:rPr>
          <w:rFonts w:ascii="Palatino Linotype" w:hAnsi="Palatino Linotype"/>
          <w:sz w:val="22"/>
          <w:szCs w:val="22"/>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r>
      <w:r>
        <w:rPr>
          <w:rFonts w:ascii="Palatino Linotype" w:hAnsi="Palatino Linotype"/>
          <w:sz w:val="22"/>
          <w:szCs w:val="22"/>
        </w:rPr>
        <w:t>m</w:t>
      </w:r>
      <w:r w:rsidRPr="00803B5D">
        <w:rPr>
          <w:rFonts w:ascii="Palatino Linotype" w:hAnsi="Palatino Linotype"/>
          <w:sz w:val="22"/>
          <w:szCs w:val="22"/>
        </w:rPr>
        <w:t>ediante sentencia dictada el 6 de abril del 2018, la Unidad Judicial Civil con Sede en la Parroquia Iñaquito, del Distrito Metropolitano de Quito, declaró que la Prescripción Extraordinaria Adquisitiva de Dominio ha operado a favor de la señora LUZ MARÍA PONCE, respecto del inmueble que consiste en un lote de terreno No. 28, de aproximadamente 56 m2 de superficie, ubicado en el área Dos Prima, del pasaje 2 del Conjunto Habitacional Cooperativa Esfuerzo y Lucha de Los Humildes, sector Ferroviaria Baja, parroquia La Ferroviaria, antes Eloy Alfaro.</w:t>
      </w:r>
    </w:p>
    <w:p w:rsidR="008339CB" w:rsidRPr="00993181" w:rsidRDefault="008339CB" w:rsidP="008339CB">
      <w:pPr>
        <w:autoSpaceDE w:val="0"/>
        <w:autoSpaceDN w:val="0"/>
        <w:adjustRightInd w:val="0"/>
        <w:ind w:left="708" w:hanging="708"/>
        <w:jc w:val="both"/>
        <w:rPr>
          <w:rFonts w:ascii="Palatino Linotype" w:hAnsi="Palatino Linotype"/>
          <w:sz w:val="22"/>
          <w:szCs w:val="22"/>
        </w:rPr>
      </w:pPr>
      <w:r w:rsidRPr="00993181">
        <w:rPr>
          <w:rFonts w:ascii="Palatino Linotype" w:hAnsi="Palatino Linotype"/>
          <w:sz w:val="22"/>
          <w:szCs w:val="22"/>
        </w:rPr>
        <w:t xml:space="preserve">. </w:t>
      </w:r>
    </w:p>
    <w:p w:rsidR="008339CB" w:rsidRPr="00803B5D" w:rsidRDefault="008339CB" w:rsidP="008339CB">
      <w:pPr>
        <w:pStyle w:val="Default"/>
        <w:ind w:left="708" w:hanging="708"/>
        <w:jc w:val="both"/>
        <w:rPr>
          <w:sz w:val="22"/>
          <w:szCs w:val="22"/>
        </w:rPr>
      </w:pPr>
      <w:r w:rsidRPr="00993181">
        <w:rPr>
          <w:b/>
          <w:sz w:val="22"/>
          <w:szCs w:val="22"/>
        </w:rPr>
        <w:lastRenderedPageBreak/>
        <w:t>Que</w:t>
      </w:r>
      <w:r w:rsidRPr="00993181">
        <w:rPr>
          <w:sz w:val="22"/>
          <w:szCs w:val="22"/>
        </w:rPr>
        <w:t xml:space="preserve">, </w:t>
      </w:r>
      <w:r>
        <w:rPr>
          <w:sz w:val="22"/>
          <w:szCs w:val="22"/>
        </w:rPr>
        <w:t>m</w:t>
      </w:r>
      <w:r w:rsidRPr="00803B5D">
        <w:rPr>
          <w:sz w:val="22"/>
          <w:szCs w:val="22"/>
        </w:rPr>
        <w:t>ediante memorando Nro. AZEA-UGU-2019-019, de 22 de enero del 2019, el Arq. Dino Cruz, Responsable de la Unidad de Gestión Urbana de la Administración Zonal Eloy Alfaro, señala:</w:t>
      </w:r>
    </w:p>
    <w:p w:rsidR="008339CB" w:rsidRPr="00803B5D" w:rsidRDefault="008339CB" w:rsidP="008339CB">
      <w:pPr>
        <w:pStyle w:val="Default"/>
        <w:jc w:val="both"/>
        <w:rPr>
          <w:sz w:val="22"/>
          <w:szCs w:val="22"/>
        </w:rPr>
      </w:pPr>
    </w:p>
    <w:p w:rsidR="008339CB" w:rsidRPr="00803B5D" w:rsidRDefault="008339CB" w:rsidP="008339CB">
      <w:pPr>
        <w:autoSpaceDE w:val="0"/>
        <w:autoSpaceDN w:val="0"/>
        <w:adjustRightInd w:val="0"/>
        <w:ind w:left="708"/>
        <w:jc w:val="both"/>
        <w:rPr>
          <w:rFonts w:ascii="Palatino Linotype" w:eastAsiaTheme="minorHAnsi" w:hAnsi="Palatino Linotype"/>
          <w:i/>
          <w:sz w:val="22"/>
          <w:szCs w:val="22"/>
          <w:lang w:val="es-ES" w:eastAsia="en-US"/>
        </w:rPr>
      </w:pPr>
      <w:r w:rsidRPr="00803B5D">
        <w:rPr>
          <w:rFonts w:ascii="Palatino Linotype" w:eastAsiaTheme="minorHAnsi" w:hAnsi="Palatino Linotype"/>
          <w:i/>
          <w:sz w:val="22"/>
          <w:szCs w:val="22"/>
          <w:lang w:val="es-ES" w:eastAsia="en-US"/>
        </w:rPr>
        <w:t xml:space="preserve">“(…) </w:t>
      </w:r>
      <w:r w:rsidRPr="00803B5D">
        <w:rPr>
          <w:rFonts w:ascii="Palatino Linotype" w:eastAsiaTheme="minorHAnsi" w:hAnsi="Palatino Linotype" w:cs="Arial"/>
          <w:i/>
          <w:sz w:val="22"/>
          <w:szCs w:val="22"/>
          <w:lang w:val="es-ES" w:eastAsia="en-US"/>
        </w:rPr>
        <w:t xml:space="preserve">Con lo expuesto se desprende que el predio en mención, NO cumple con las </w:t>
      </w:r>
      <w:r w:rsidRPr="00803B5D">
        <w:rPr>
          <w:rFonts w:ascii="Palatino Linotype" w:eastAsiaTheme="minorHAnsi" w:hAnsi="Palatino Linotype" w:cs="Arial"/>
          <w:b/>
          <w:i/>
          <w:sz w:val="22"/>
          <w:szCs w:val="22"/>
          <w:lang w:val="es-ES" w:eastAsia="en-US"/>
        </w:rPr>
        <w:t>ÁREAS MINIMAS ESTABLECIDAS EN LA ORDENANZA</w:t>
      </w:r>
      <w:r w:rsidRPr="00803B5D">
        <w:rPr>
          <w:rFonts w:ascii="Palatino Linotype" w:eastAsiaTheme="minorHAnsi" w:hAnsi="Palatino Linotype" w:cs="Arial"/>
          <w:i/>
          <w:sz w:val="22"/>
          <w:szCs w:val="22"/>
          <w:lang w:val="es-ES" w:eastAsia="en-US"/>
        </w:rPr>
        <w:t>, por tanto será el concejo metropolitano quien dictamine el trámite correspondiente a seguir, además se adjunta copia de la consulta hecha a la Procuraduría Metropolitana en el año 2011, donde se describe los artículos aplicativos para dichas competencias</w:t>
      </w:r>
      <w:r w:rsidRPr="00803B5D">
        <w:rPr>
          <w:rFonts w:ascii="Palatino Linotype" w:eastAsiaTheme="minorHAnsi" w:hAnsi="Palatino Linotype"/>
          <w:i/>
          <w:sz w:val="22"/>
          <w:szCs w:val="22"/>
          <w:lang w:val="es-ES" w:eastAsia="en-US"/>
        </w:rPr>
        <w:t>”.</w:t>
      </w:r>
    </w:p>
    <w:p w:rsidR="008339CB" w:rsidRPr="00993181" w:rsidRDefault="008339CB" w:rsidP="008339CB">
      <w:pPr>
        <w:pStyle w:val="Default"/>
        <w:ind w:left="708" w:hanging="708"/>
        <w:jc w:val="both"/>
        <w:rPr>
          <w:i/>
          <w:sz w:val="22"/>
          <w:szCs w:val="22"/>
        </w:rPr>
      </w:pPr>
    </w:p>
    <w:p w:rsidR="008339CB" w:rsidRPr="00803B5D" w:rsidRDefault="008339CB" w:rsidP="008339CB">
      <w:pPr>
        <w:pStyle w:val="Default"/>
        <w:ind w:left="708" w:hanging="708"/>
        <w:jc w:val="both"/>
        <w:rPr>
          <w:sz w:val="22"/>
          <w:szCs w:val="22"/>
        </w:rPr>
      </w:pPr>
      <w:r w:rsidRPr="00993181">
        <w:rPr>
          <w:b/>
          <w:sz w:val="22"/>
          <w:szCs w:val="22"/>
        </w:rPr>
        <w:t xml:space="preserve">Que, </w:t>
      </w:r>
      <w:r>
        <w:rPr>
          <w:sz w:val="22"/>
          <w:szCs w:val="22"/>
        </w:rPr>
        <w:t>me</w:t>
      </w:r>
      <w:r w:rsidRPr="00803B5D">
        <w:rPr>
          <w:sz w:val="22"/>
          <w:szCs w:val="22"/>
        </w:rPr>
        <w:t>diante memorando Nro. GADDMQ-STHV-DMC-UGT-AZEA-2021-0099-M de 21 de septiembre de 2021</w:t>
      </w:r>
      <w:r>
        <w:rPr>
          <w:sz w:val="22"/>
          <w:szCs w:val="22"/>
        </w:rPr>
        <w:t>,</w:t>
      </w:r>
      <w:r w:rsidRPr="00803B5D">
        <w:rPr>
          <w:sz w:val="22"/>
          <w:szCs w:val="22"/>
        </w:rPr>
        <w:t xml:space="preserve"> la Arq. Anita Escobar, Responsable de la Unidad de Catastro de la Administración Zonal Eloy Alfaro, señala:</w:t>
      </w:r>
    </w:p>
    <w:p w:rsidR="008339CB" w:rsidRPr="00803B5D" w:rsidRDefault="008339CB" w:rsidP="008339CB">
      <w:pPr>
        <w:pStyle w:val="Default"/>
        <w:jc w:val="both"/>
        <w:rPr>
          <w:sz w:val="22"/>
          <w:szCs w:val="22"/>
        </w:rPr>
      </w:pPr>
    </w:p>
    <w:p w:rsidR="008339CB" w:rsidRPr="00803B5D" w:rsidRDefault="008339CB" w:rsidP="008339CB">
      <w:pPr>
        <w:pStyle w:val="Default"/>
        <w:ind w:left="708"/>
        <w:jc w:val="both"/>
        <w:rPr>
          <w:sz w:val="22"/>
          <w:szCs w:val="22"/>
        </w:rPr>
      </w:pPr>
      <w:r w:rsidRPr="00803B5D">
        <w:rPr>
          <w:i/>
          <w:sz w:val="22"/>
          <w:szCs w:val="22"/>
        </w:rPr>
        <w:t>“(…)  revisado el sistema de registro catastral SIREC-Q a la presente fecha, el inmueble identificado con Predio 801282, Clave Catastral 3100219007, ubicado en la parroquia Eloy Alfaro y catastrado a nombre de COOP DE VIV ESFUERZO Y LUCHA DE LOS HUMI. CI: 0000000001 constando como global, registra los siguientes datos técnicos:</w:t>
      </w:r>
    </w:p>
    <w:p w:rsidR="008339CB" w:rsidRPr="00803B5D" w:rsidRDefault="008339CB" w:rsidP="008339CB">
      <w:pPr>
        <w:autoSpaceDE w:val="0"/>
        <w:autoSpaceDN w:val="0"/>
        <w:adjustRightInd w:val="0"/>
        <w:ind w:left="708"/>
        <w:jc w:val="both"/>
        <w:rPr>
          <w:rFonts w:ascii="Palatino Linotype" w:hAnsi="Palatino Linotype"/>
          <w:b/>
          <w:i/>
          <w:sz w:val="22"/>
          <w:szCs w:val="22"/>
        </w:rPr>
      </w:pPr>
      <w:r w:rsidRPr="00803B5D">
        <w:rPr>
          <w:rFonts w:ascii="Palatino Linotype" w:hAnsi="Palatino Linotype"/>
          <w:noProof/>
          <w:lang w:eastAsia="es-EC"/>
        </w:rPr>
        <w:drawing>
          <wp:inline distT="0" distB="0" distL="0" distR="0" wp14:anchorId="1FDFE264" wp14:editId="6AFCD7E3">
            <wp:extent cx="5612130" cy="1365250"/>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12130" cy="1365250"/>
                    </a:xfrm>
                    <a:prstGeom prst="rect">
                      <a:avLst/>
                    </a:prstGeom>
                  </pic:spPr>
                </pic:pic>
              </a:graphicData>
            </a:graphic>
          </wp:inline>
        </w:drawing>
      </w:r>
    </w:p>
    <w:p w:rsidR="008339CB" w:rsidRDefault="008339CB" w:rsidP="008339CB">
      <w:pPr>
        <w:pStyle w:val="Default"/>
        <w:jc w:val="both"/>
        <w:rPr>
          <w:sz w:val="22"/>
          <w:szCs w:val="22"/>
        </w:rPr>
      </w:pPr>
    </w:p>
    <w:p w:rsidR="008339CB" w:rsidRPr="00803B5D" w:rsidRDefault="008339CB" w:rsidP="008339CB">
      <w:pPr>
        <w:pStyle w:val="Default"/>
        <w:ind w:left="708" w:hanging="708"/>
        <w:jc w:val="both"/>
        <w:rPr>
          <w:sz w:val="22"/>
          <w:szCs w:val="22"/>
        </w:rPr>
      </w:pPr>
      <w:r w:rsidRPr="005A184C">
        <w:rPr>
          <w:b/>
          <w:sz w:val="22"/>
          <w:szCs w:val="22"/>
        </w:rPr>
        <w:t xml:space="preserve">Que, </w:t>
      </w:r>
      <w:r>
        <w:rPr>
          <w:sz w:val="22"/>
          <w:szCs w:val="22"/>
        </w:rPr>
        <w:t>m</w:t>
      </w:r>
      <w:r w:rsidRPr="00803B5D">
        <w:rPr>
          <w:sz w:val="22"/>
          <w:szCs w:val="22"/>
        </w:rPr>
        <w:t>ediante memorando Nro. GADDMQ-AZEA-DGT-UGU-2021-0255</w:t>
      </w:r>
      <w:r>
        <w:rPr>
          <w:sz w:val="22"/>
          <w:szCs w:val="22"/>
        </w:rPr>
        <w:t xml:space="preserve">-M de 09 de noviembre de 2021, </w:t>
      </w:r>
      <w:r w:rsidRPr="00803B5D">
        <w:rPr>
          <w:sz w:val="22"/>
          <w:szCs w:val="22"/>
        </w:rPr>
        <w:t>el Arq. Marcelo Ati, Responsable de la Unidad de Gestión Urbana de la Administración Zonal Eloy Alfaro, señala:</w:t>
      </w:r>
    </w:p>
    <w:p w:rsidR="008339CB" w:rsidRPr="00803B5D" w:rsidRDefault="008339CB" w:rsidP="008339CB">
      <w:pPr>
        <w:tabs>
          <w:tab w:val="left" w:pos="284"/>
        </w:tabs>
        <w:jc w:val="both"/>
        <w:rPr>
          <w:rFonts w:ascii="Palatino Linotype" w:hAnsi="Palatino Linotype"/>
          <w:i/>
          <w:sz w:val="22"/>
          <w:szCs w:val="22"/>
        </w:rPr>
      </w:pPr>
    </w:p>
    <w:p w:rsidR="008339CB" w:rsidRPr="00803B5D" w:rsidRDefault="008339CB" w:rsidP="008339CB">
      <w:pPr>
        <w:tabs>
          <w:tab w:val="left" w:pos="284"/>
        </w:tabs>
        <w:ind w:left="708"/>
        <w:jc w:val="both"/>
        <w:rPr>
          <w:rFonts w:ascii="Palatino Linotype" w:hAnsi="Palatino Linotype"/>
          <w:i/>
          <w:sz w:val="22"/>
          <w:szCs w:val="22"/>
        </w:rPr>
      </w:pPr>
      <w:r w:rsidRPr="00803B5D">
        <w:rPr>
          <w:rFonts w:ascii="Palatino Linotype" w:hAnsi="Palatino Linotype"/>
          <w:i/>
          <w:sz w:val="22"/>
          <w:szCs w:val="22"/>
        </w:rPr>
        <w:t>“(…) una vez que la Unidad Desconcentrada de Catastros, mediante memorando Nro. GADDMQ-AZEA-DGHT-UC-2021-0015-M, (ver informe adjunto).nos envía los valores, del avalúo del terreno y valor del AIVA, lo cual nos permite determinar el valor a cancelar por parte de la Sra. LUZ MARÍA PONCE, mismo que se agregará a los informes enviados anteriormente, indicando el valor que corresponde al 15% por contribución del área útil adjudicada, el cual se detalla a continuación.</w:t>
      </w:r>
    </w:p>
    <w:p w:rsidR="008339CB" w:rsidRPr="00803B5D" w:rsidRDefault="008339CB" w:rsidP="008339CB">
      <w:pPr>
        <w:tabs>
          <w:tab w:val="left" w:pos="284"/>
        </w:tabs>
        <w:ind w:left="708"/>
        <w:jc w:val="both"/>
        <w:rPr>
          <w:rFonts w:ascii="Palatino Linotype" w:hAnsi="Palatino Linotype"/>
          <w:i/>
          <w:sz w:val="22"/>
          <w:szCs w:val="22"/>
        </w:rPr>
      </w:pPr>
    </w:p>
    <w:p w:rsidR="008339CB" w:rsidRPr="00803B5D" w:rsidRDefault="008339CB" w:rsidP="008339CB">
      <w:pPr>
        <w:tabs>
          <w:tab w:val="left" w:pos="284"/>
        </w:tabs>
        <w:ind w:left="708"/>
        <w:jc w:val="both"/>
        <w:rPr>
          <w:rFonts w:ascii="Palatino Linotype" w:hAnsi="Palatino Linotype"/>
          <w:i/>
          <w:sz w:val="22"/>
          <w:szCs w:val="22"/>
        </w:rPr>
      </w:pPr>
      <w:r w:rsidRPr="00803B5D">
        <w:rPr>
          <w:rFonts w:ascii="Palatino Linotype" w:hAnsi="Palatino Linotype"/>
          <w:i/>
          <w:sz w:val="22"/>
          <w:szCs w:val="22"/>
        </w:rPr>
        <w:t>Área de terreno: 7.840,00 m2</w:t>
      </w:r>
    </w:p>
    <w:p w:rsidR="008339CB" w:rsidRPr="00803B5D" w:rsidRDefault="008339CB" w:rsidP="008339CB">
      <w:pPr>
        <w:tabs>
          <w:tab w:val="left" w:pos="284"/>
        </w:tabs>
        <w:ind w:left="708"/>
        <w:jc w:val="both"/>
        <w:rPr>
          <w:rFonts w:ascii="Palatino Linotype" w:hAnsi="Palatino Linotype"/>
          <w:i/>
          <w:sz w:val="22"/>
          <w:szCs w:val="22"/>
        </w:rPr>
      </w:pPr>
      <w:r w:rsidRPr="00803B5D">
        <w:rPr>
          <w:rFonts w:ascii="Palatino Linotype" w:hAnsi="Palatino Linotype"/>
          <w:i/>
          <w:sz w:val="22"/>
          <w:szCs w:val="22"/>
        </w:rPr>
        <w:t>Avalúo del terreno: $ 478.582,78</w:t>
      </w:r>
    </w:p>
    <w:p w:rsidR="008339CB" w:rsidRPr="00803B5D" w:rsidRDefault="008339CB" w:rsidP="008339CB">
      <w:pPr>
        <w:tabs>
          <w:tab w:val="left" w:pos="284"/>
        </w:tabs>
        <w:ind w:left="708"/>
        <w:jc w:val="both"/>
        <w:rPr>
          <w:rFonts w:ascii="Palatino Linotype" w:hAnsi="Palatino Linotype"/>
          <w:i/>
          <w:sz w:val="22"/>
          <w:szCs w:val="22"/>
        </w:rPr>
      </w:pPr>
      <w:r w:rsidRPr="00803B5D">
        <w:rPr>
          <w:rFonts w:ascii="Palatino Linotype" w:hAnsi="Palatino Linotype"/>
          <w:i/>
          <w:sz w:val="22"/>
          <w:szCs w:val="22"/>
        </w:rPr>
        <w:t>Valor del m2 : $ 61.04 c/m2</w:t>
      </w:r>
    </w:p>
    <w:p w:rsidR="008339CB" w:rsidRPr="00803B5D" w:rsidRDefault="008339CB" w:rsidP="008339CB">
      <w:pPr>
        <w:tabs>
          <w:tab w:val="left" w:pos="284"/>
        </w:tabs>
        <w:ind w:left="708"/>
        <w:jc w:val="both"/>
        <w:rPr>
          <w:rFonts w:ascii="Palatino Linotype" w:hAnsi="Palatino Linotype"/>
          <w:i/>
          <w:sz w:val="22"/>
          <w:szCs w:val="22"/>
        </w:rPr>
      </w:pPr>
      <w:r w:rsidRPr="00803B5D">
        <w:rPr>
          <w:rFonts w:ascii="Palatino Linotype" w:hAnsi="Palatino Linotype"/>
          <w:i/>
          <w:sz w:val="22"/>
          <w:szCs w:val="22"/>
        </w:rPr>
        <w:t>Valor del AIVA : $ 85,00</w:t>
      </w:r>
    </w:p>
    <w:p w:rsidR="008339CB" w:rsidRPr="00803B5D" w:rsidRDefault="008339CB" w:rsidP="008339CB">
      <w:pPr>
        <w:tabs>
          <w:tab w:val="left" w:pos="284"/>
        </w:tabs>
        <w:ind w:left="708"/>
        <w:jc w:val="both"/>
        <w:rPr>
          <w:rFonts w:ascii="Palatino Linotype" w:hAnsi="Palatino Linotype"/>
          <w:i/>
          <w:sz w:val="22"/>
          <w:szCs w:val="22"/>
        </w:rPr>
      </w:pPr>
      <w:r w:rsidRPr="00803B5D">
        <w:rPr>
          <w:rFonts w:ascii="Palatino Linotype" w:hAnsi="Palatino Linotype"/>
          <w:i/>
          <w:sz w:val="22"/>
          <w:szCs w:val="22"/>
        </w:rPr>
        <w:lastRenderedPageBreak/>
        <w:t>Área Útil Adjudicada: 56 m2</w:t>
      </w:r>
    </w:p>
    <w:p w:rsidR="008339CB" w:rsidRPr="00803B5D" w:rsidRDefault="008339CB" w:rsidP="008339CB">
      <w:pPr>
        <w:tabs>
          <w:tab w:val="left" w:pos="284"/>
        </w:tabs>
        <w:ind w:left="708"/>
        <w:jc w:val="both"/>
        <w:rPr>
          <w:rFonts w:ascii="Palatino Linotype" w:hAnsi="Palatino Linotype"/>
          <w:i/>
          <w:sz w:val="22"/>
          <w:szCs w:val="22"/>
        </w:rPr>
      </w:pPr>
      <w:r w:rsidRPr="00803B5D">
        <w:rPr>
          <w:rFonts w:ascii="Palatino Linotype" w:hAnsi="Palatino Linotype"/>
          <w:i/>
          <w:sz w:val="22"/>
          <w:szCs w:val="22"/>
        </w:rPr>
        <w:t>15% del Área adjudicada : 8.40 m2</w:t>
      </w:r>
    </w:p>
    <w:p w:rsidR="008339CB" w:rsidRPr="00803B5D" w:rsidRDefault="008339CB" w:rsidP="008339CB">
      <w:pPr>
        <w:tabs>
          <w:tab w:val="left" w:pos="284"/>
        </w:tabs>
        <w:ind w:left="708"/>
        <w:jc w:val="both"/>
        <w:rPr>
          <w:rFonts w:ascii="Palatino Linotype" w:hAnsi="Palatino Linotype"/>
          <w:b/>
          <w:i/>
          <w:sz w:val="22"/>
          <w:szCs w:val="22"/>
        </w:rPr>
      </w:pPr>
    </w:p>
    <w:p w:rsidR="008339CB" w:rsidRPr="00803B5D" w:rsidRDefault="008339CB" w:rsidP="008339CB">
      <w:pPr>
        <w:tabs>
          <w:tab w:val="left" w:pos="284"/>
        </w:tabs>
        <w:ind w:left="708"/>
        <w:jc w:val="both"/>
        <w:rPr>
          <w:rFonts w:ascii="Palatino Linotype" w:hAnsi="Palatino Linotype"/>
          <w:b/>
          <w:i/>
          <w:sz w:val="22"/>
          <w:szCs w:val="22"/>
        </w:rPr>
      </w:pPr>
      <w:r w:rsidRPr="00803B5D">
        <w:rPr>
          <w:rFonts w:ascii="Palatino Linotype" w:hAnsi="Palatino Linotype"/>
          <w:b/>
          <w:i/>
          <w:sz w:val="22"/>
          <w:szCs w:val="22"/>
        </w:rPr>
        <w:t xml:space="preserve">Valor a cancelar 8.40 X 61.04 = $ 512.74 dólares”. </w:t>
      </w:r>
    </w:p>
    <w:p w:rsidR="008339CB" w:rsidRPr="005A184C" w:rsidRDefault="008339CB" w:rsidP="008339CB">
      <w:pPr>
        <w:pStyle w:val="Default"/>
        <w:jc w:val="both"/>
        <w:rPr>
          <w:b/>
          <w:sz w:val="22"/>
          <w:szCs w:val="22"/>
        </w:rPr>
      </w:pPr>
    </w:p>
    <w:p w:rsidR="008339CB" w:rsidRPr="00993181" w:rsidRDefault="008339CB" w:rsidP="008339CB">
      <w:pPr>
        <w:pStyle w:val="Default"/>
        <w:ind w:left="708" w:hanging="708"/>
        <w:jc w:val="both"/>
        <w:rPr>
          <w:sz w:val="22"/>
          <w:szCs w:val="22"/>
        </w:rPr>
      </w:pPr>
      <w:r w:rsidRPr="00993181">
        <w:rPr>
          <w:b/>
          <w:sz w:val="22"/>
          <w:szCs w:val="22"/>
        </w:rPr>
        <w:t>Que,</w:t>
      </w:r>
      <w:r w:rsidRPr="00993181">
        <w:rPr>
          <w:sz w:val="22"/>
          <w:szCs w:val="22"/>
        </w:rPr>
        <w:t xml:space="preserve"> mediante oficio GADDMQ-PM-2021-0396-O de 29 de enero de 2021, el Dr. Edison Yépez Vinueza, Subprocurador Metropolitano, señala: </w:t>
      </w:r>
    </w:p>
    <w:p w:rsidR="008339CB" w:rsidRPr="00993181" w:rsidRDefault="008339CB" w:rsidP="008339CB">
      <w:pPr>
        <w:tabs>
          <w:tab w:val="left" w:pos="426"/>
        </w:tabs>
        <w:ind w:left="1416" w:right="566"/>
        <w:jc w:val="both"/>
        <w:rPr>
          <w:rFonts w:ascii="Palatino Linotype" w:hAnsi="Palatino Linotype"/>
          <w:i/>
          <w:sz w:val="22"/>
          <w:szCs w:val="22"/>
        </w:rPr>
      </w:pPr>
    </w:p>
    <w:p w:rsidR="008339CB" w:rsidRPr="00993181" w:rsidRDefault="008339CB" w:rsidP="008339CB">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8339CB" w:rsidRPr="00993181" w:rsidRDefault="008339CB" w:rsidP="008339CB">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8339CB" w:rsidRPr="00993181" w:rsidRDefault="008339CB" w:rsidP="008339CB">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8339CB" w:rsidRPr="00993181" w:rsidRDefault="008339CB" w:rsidP="008339CB">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8339CB" w:rsidRPr="00993181" w:rsidRDefault="008339CB" w:rsidP="008339CB">
      <w:pPr>
        <w:tabs>
          <w:tab w:val="left" w:pos="284"/>
        </w:tabs>
        <w:jc w:val="both"/>
        <w:rPr>
          <w:rFonts w:ascii="Palatino Linotype" w:hAnsi="Palatino Linotype"/>
          <w:i/>
          <w:sz w:val="22"/>
          <w:szCs w:val="22"/>
        </w:rPr>
      </w:pPr>
    </w:p>
    <w:p w:rsidR="008339CB" w:rsidRPr="00803B5D" w:rsidRDefault="008339CB" w:rsidP="008339CB">
      <w:pPr>
        <w:pStyle w:val="Default"/>
        <w:ind w:left="708" w:hanging="708"/>
        <w:jc w:val="both"/>
        <w:rPr>
          <w:sz w:val="22"/>
          <w:szCs w:val="22"/>
        </w:rPr>
      </w:pPr>
      <w:r w:rsidRPr="004A0BE9">
        <w:rPr>
          <w:b/>
          <w:sz w:val="22"/>
          <w:szCs w:val="22"/>
        </w:rPr>
        <w:t>Que,</w:t>
      </w:r>
      <w:r w:rsidRPr="00993181">
        <w:rPr>
          <w:sz w:val="22"/>
          <w:szCs w:val="22"/>
        </w:rPr>
        <w:t xml:space="preserve"> </w:t>
      </w:r>
      <w:r>
        <w:rPr>
          <w:sz w:val="22"/>
          <w:szCs w:val="22"/>
        </w:rPr>
        <w:t>m</w:t>
      </w:r>
      <w:r w:rsidRPr="00803B5D">
        <w:rPr>
          <w:sz w:val="22"/>
          <w:szCs w:val="22"/>
        </w:rPr>
        <w:t>ediante informe legal Nro. 330-DJ-2021 de 16 de noviembre de 2021, la Dra. Lorena Gaibor, Directora Jurídica de la Administración Zonal Eloy Alfaro, señala:</w:t>
      </w:r>
    </w:p>
    <w:p w:rsidR="008339CB" w:rsidRPr="00803B5D" w:rsidRDefault="008339CB" w:rsidP="008339CB">
      <w:pPr>
        <w:pStyle w:val="Default"/>
        <w:jc w:val="both"/>
        <w:rPr>
          <w:sz w:val="22"/>
          <w:szCs w:val="22"/>
        </w:rPr>
      </w:pPr>
    </w:p>
    <w:p w:rsidR="008339CB" w:rsidRPr="00803B5D" w:rsidRDefault="008339CB" w:rsidP="008339CB">
      <w:pPr>
        <w:autoSpaceDE w:val="0"/>
        <w:autoSpaceDN w:val="0"/>
        <w:adjustRightInd w:val="0"/>
        <w:ind w:left="708"/>
        <w:jc w:val="both"/>
        <w:rPr>
          <w:rFonts w:ascii="Palatino Linotype" w:hAnsi="Palatino Linotype"/>
          <w:b/>
          <w:i/>
          <w:sz w:val="22"/>
          <w:szCs w:val="22"/>
        </w:rPr>
      </w:pPr>
      <w:r w:rsidRPr="00803B5D">
        <w:rPr>
          <w:rFonts w:ascii="Palatino Linotype" w:hAnsi="Palatino Linotype"/>
          <w:i/>
          <w:sz w:val="22"/>
          <w:szCs w:val="22"/>
        </w:rPr>
        <w:t xml:space="preserve">“(…) </w:t>
      </w:r>
      <w:r w:rsidRPr="00803B5D">
        <w:rPr>
          <w:rFonts w:ascii="Palatino Linotype" w:eastAsiaTheme="minorHAnsi" w:hAnsi="Palatino Linotype"/>
          <w:i/>
          <w:sz w:val="22"/>
          <w:szCs w:val="22"/>
          <w:lang w:val="es-ES" w:eastAsia="en-US"/>
        </w:rPr>
        <w:t xml:space="preserve">se emite </w:t>
      </w:r>
      <w:r w:rsidRPr="00803B5D">
        <w:rPr>
          <w:rFonts w:ascii="Palatino Linotype" w:eastAsiaTheme="minorHAnsi" w:hAnsi="Palatino Linotype"/>
          <w:b/>
          <w:bCs/>
          <w:i/>
          <w:sz w:val="22"/>
          <w:szCs w:val="22"/>
          <w:lang w:val="es-ES" w:eastAsia="en-US"/>
        </w:rPr>
        <w:t xml:space="preserve">INFORME LEGAL FAVORABLE </w:t>
      </w:r>
      <w:r w:rsidRPr="00803B5D">
        <w:rPr>
          <w:rFonts w:ascii="Palatino Linotype" w:eastAsiaTheme="minorHAnsi" w:hAnsi="Palatino Linotype"/>
          <w:i/>
          <w:sz w:val="22"/>
          <w:szCs w:val="22"/>
          <w:lang w:val="es-ES" w:eastAsia="en-US"/>
        </w:rPr>
        <w:t>para que el Concejo Metropolitano en acatamiento de la sentencia que es de cumplimiento obligatorio, conforme lo dispone el numeral 4 del artículo 86 de la Constitución, autorice la Partición Judicial del lote de terreno con predio Nro. 801282, ubicado en la parroquia La Ferroviaria (antes Eloy Alfaro) del Cantón Quito, Provincia de Pichincha, cambiando las condiciones de este inmueble en particular, estableciendo una excepción a las condiciones generales</w:t>
      </w:r>
      <w:r w:rsidRPr="00803B5D">
        <w:rPr>
          <w:rFonts w:ascii="Palatino Linotype" w:hAnsi="Palatino Linotype"/>
          <w:i/>
          <w:sz w:val="22"/>
          <w:szCs w:val="22"/>
        </w:rPr>
        <w:t>”.</w:t>
      </w:r>
    </w:p>
    <w:p w:rsidR="008339CB" w:rsidRPr="004A0BE9" w:rsidRDefault="008339CB" w:rsidP="008339CB">
      <w:pPr>
        <w:pStyle w:val="Default"/>
        <w:jc w:val="both"/>
        <w:rPr>
          <w:b/>
          <w:sz w:val="22"/>
          <w:szCs w:val="22"/>
        </w:rPr>
      </w:pPr>
    </w:p>
    <w:p w:rsidR="008339CB" w:rsidRDefault="008339CB" w:rsidP="008339CB">
      <w:pPr>
        <w:pStyle w:val="Default"/>
        <w:ind w:left="708" w:hanging="708"/>
        <w:jc w:val="both"/>
        <w:rPr>
          <w:sz w:val="22"/>
          <w:szCs w:val="22"/>
        </w:rPr>
      </w:pPr>
      <w:r w:rsidRPr="004A0BE9">
        <w:rPr>
          <w:b/>
          <w:sz w:val="22"/>
          <w:szCs w:val="22"/>
        </w:rPr>
        <w:t xml:space="preserve">Que, </w:t>
      </w:r>
      <w:r w:rsidRPr="00993181">
        <w:rPr>
          <w:sz w:val="22"/>
          <w:szCs w:val="22"/>
        </w:rPr>
        <w:tab/>
        <w:t xml:space="preserve">la Comisión de Uso de Suelo en sesión ordinaria Nro. 124, de 13 de diciembre de 2021,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w:t>
      </w:r>
      <w:r w:rsidRPr="00993181">
        <w:rPr>
          <w:sz w:val="22"/>
          <w:szCs w:val="22"/>
        </w:rPr>
        <w:lastRenderedPageBreak/>
        <w:t xml:space="preserve">las condiciones de ese inmueble en particular y generando una excepción a las condiciones generales. </w:t>
      </w:r>
    </w:p>
    <w:p w:rsidR="00BD7F4E" w:rsidRDefault="00BD7F4E" w:rsidP="008339CB">
      <w:pPr>
        <w:pStyle w:val="Default"/>
        <w:ind w:left="708" w:hanging="708"/>
        <w:jc w:val="both"/>
        <w:rPr>
          <w:sz w:val="22"/>
          <w:szCs w:val="22"/>
        </w:rPr>
      </w:pPr>
    </w:p>
    <w:p w:rsidR="006F621F" w:rsidRPr="00040738" w:rsidRDefault="006F621F" w:rsidP="006F621F">
      <w:pPr>
        <w:ind w:left="708" w:hanging="708"/>
        <w:jc w:val="both"/>
        <w:rPr>
          <w:rFonts w:ascii="Palatino Linotype" w:hAnsi="Palatino Linotype"/>
          <w:sz w:val="22"/>
          <w:szCs w:val="22"/>
        </w:rPr>
      </w:pPr>
      <w:r>
        <w:rPr>
          <w:sz w:val="22"/>
          <w:szCs w:val="22"/>
        </w:rPr>
        <w:t xml:space="preserve">Que, </w:t>
      </w:r>
      <w:r>
        <w:rPr>
          <w:rFonts w:ascii="Palatino Linotype" w:hAnsi="Palatino Linotype"/>
          <w:sz w:val="22"/>
          <w:szCs w:val="22"/>
        </w:rPr>
        <w:t>e</w:t>
      </w:r>
      <w:r w:rsidRPr="00040738">
        <w:rPr>
          <w:rFonts w:ascii="Palatino Linotype" w:hAnsi="Palatino Linotype"/>
          <w:sz w:val="22"/>
          <w:szCs w:val="22"/>
        </w:rPr>
        <w:t>l Concejo Metropolitano de Quito, mediante resolución Nro. C 087-2022, de 29 de agosto de 2022, resolvió devolver a la Comisión de Uso de Suelo el Informe No. IC-CUS-2021-098, con el objeto de actualizar los informes técnicos correspondientes para el cálculo del valor monetario por concepto de contribución del 15% del área útil adjudicada mediante sentencia, de acuerdo con la normativa vigente.</w:t>
      </w:r>
    </w:p>
    <w:p w:rsidR="00BD7F4E" w:rsidRPr="00993181" w:rsidRDefault="00BD7F4E" w:rsidP="008339CB">
      <w:pPr>
        <w:pStyle w:val="Default"/>
        <w:ind w:left="708" w:hanging="708"/>
        <w:jc w:val="both"/>
        <w:rPr>
          <w:sz w:val="22"/>
          <w:szCs w:val="22"/>
        </w:rPr>
      </w:pPr>
    </w:p>
    <w:p w:rsidR="008339CB" w:rsidRPr="00993181" w:rsidRDefault="008339CB" w:rsidP="008339CB">
      <w:pPr>
        <w:autoSpaceDE w:val="0"/>
        <w:autoSpaceDN w:val="0"/>
        <w:adjustRightInd w:val="0"/>
        <w:ind w:left="709" w:hanging="709"/>
        <w:jc w:val="both"/>
        <w:rPr>
          <w:rFonts w:ascii="Palatino Linotype" w:eastAsiaTheme="minorHAnsi" w:hAnsi="Palatino Linotype"/>
          <w:sz w:val="22"/>
          <w:szCs w:val="22"/>
          <w:lang w:eastAsia="en-US"/>
        </w:rPr>
      </w:pPr>
    </w:p>
    <w:p w:rsidR="008339CB" w:rsidRDefault="008339CB" w:rsidP="008339CB">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Concejo Metropolitano de Quito, en sesión pública ordinaria realizada el … de … de 2022, analizó el informe Nro. IC-CUS-202</w:t>
      </w:r>
      <w:r>
        <w:rPr>
          <w:rFonts w:ascii="Palatino Linotype" w:eastAsiaTheme="minorHAnsi" w:hAnsi="Palatino Linotype"/>
          <w:sz w:val="22"/>
          <w:szCs w:val="22"/>
          <w:lang w:eastAsia="en-US"/>
        </w:rPr>
        <w:t>1-098</w:t>
      </w:r>
      <w:r w:rsidRPr="00993181">
        <w:rPr>
          <w:rFonts w:ascii="Palatino Linotype" w:eastAsiaTheme="minorHAnsi" w:hAnsi="Palatino Linotype"/>
          <w:sz w:val="22"/>
          <w:szCs w:val="22"/>
          <w:lang w:eastAsia="en-US"/>
        </w:rPr>
        <w:t xml:space="preserve">, emitido por la Comisión de Uso de Suelo; </w:t>
      </w:r>
    </w:p>
    <w:p w:rsidR="00205408" w:rsidRDefault="00205408" w:rsidP="008339CB">
      <w:pPr>
        <w:autoSpaceDE w:val="0"/>
        <w:autoSpaceDN w:val="0"/>
        <w:adjustRightInd w:val="0"/>
        <w:ind w:left="709" w:hanging="709"/>
        <w:jc w:val="both"/>
        <w:rPr>
          <w:rFonts w:ascii="Palatino Linotype" w:eastAsiaTheme="minorHAnsi" w:hAnsi="Palatino Linotype"/>
          <w:sz w:val="22"/>
          <w:szCs w:val="22"/>
          <w:lang w:eastAsia="en-US"/>
        </w:rPr>
      </w:pPr>
    </w:p>
    <w:p w:rsidR="00205408" w:rsidRPr="00040738" w:rsidRDefault="00205408" w:rsidP="00205408">
      <w:pPr>
        <w:ind w:left="708" w:hanging="708"/>
        <w:jc w:val="both"/>
        <w:rPr>
          <w:rFonts w:ascii="Palatino Linotype" w:hAnsi="Palatino Linotype"/>
          <w:sz w:val="22"/>
          <w:szCs w:val="22"/>
        </w:rPr>
      </w:pPr>
      <w:r>
        <w:rPr>
          <w:rFonts w:ascii="Palatino Linotype" w:hAnsi="Palatino Linotype"/>
          <w:sz w:val="22"/>
          <w:szCs w:val="22"/>
        </w:rPr>
        <w:t>Que, e</w:t>
      </w:r>
      <w:r w:rsidRPr="00040738">
        <w:rPr>
          <w:rFonts w:ascii="Palatino Linotype" w:hAnsi="Palatino Linotype"/>
          <w:sz w:val="22"/>
          <w:szCs w:val="22"/>
        </w:rPr>
        <w:t>n relación a la demanda de acción de protección No 17204-2022-03035, planteada por los señores Luz María Ponce, Remberta Rosario Campoverde Bustamante, María Dolores Vega Correa; y, Polivio Germánico Coque Jijón, quienes manifiestan que no han podido inscribir sus inmuebles que los tienen en el Conjunto Habitacional Cooperativa Esfuerzo y Lucha de los Humildes, Parroquia Ferroviaria, Cantón Quito, Provincia de Pichincha, pese a que cada uno de los nombrados cuenta con la sentencia dictada por los diferentes jueces de la Función Judicial, que les ha declarado como propietarios de los lotes, la Dra. Ana María Hidalgo Santamaría Jueza de la Unidad Judicial de la Familia, Mujer, Niñez y Adolescencia con sede en la parroquia de Iñaquito, del Distrito Metropolitano de Quito, pone en conocimiento su sentencia que en la parte pertinente manifiesta:</w:t>
      </w:r>
    </w:p>
    <w:p w:rsidR="00205408" w:rsidRPr="00040738" w:rsidRDefault="00205408" w:rsidP="00205408">
      <w:pPr>
        <w:jc w:val="both"/>
        <w:rPr>
          <w:rFonts w:ascii="Palatino Linotype" w:hAnsi="Palatino Linotype"/>
          <w:sz w:val="22"/>
          <w:szCs w:val="22"/>
        </w:rPr>
      </w:pPr>
    </w:p>
    <w:p w:rsidR="00205408" w:rsidRDefault="00205408" w:rsidP="00205408">
      <w:pPr>
        <w:ind w:left="708"/>
        <w:jc w:val="both"/>
        <w:rPr>
          <w:rFonts w:ascii="Palatino Linotype" w:hAnsi="Palatino Linotype"/>
          <w:b/>
          <w:i/>
          <w:sz w:val="22"/>
          <w:szCs w:val="22"/>
        </w:rPr>
      </w:pPr>
      <w:r w:rsidRPr="00040738">
        <w:rPr>
          <w:rFonts w:ascii="Palatino Linotype" w:hAnsi="Palatino Linotype"/>
          <w:b/>
          <w:i/>
          <w:sz w:val="22"/>
          <w:szCs w:val="22"/>
        </w:rPr>
        <w:t>“ADMINISTRANDO JUSTICIA EN NOMBRE DEL PUEBLO SOBERANO DEL ECUADOR Y POR AUTORIDAD DE LA CONSTITUCION Y LAS LEYES DE LA REPUBLICA”</w:t>
      </w:r>
      <w:r w:rsidRPr="00040738">
        <w:rPr>
          <w:rFonts w:ascii="Palatino Linotype" w:hAnsi="Palatino Linotype"/>
          <w:i/>
          <w:sz w:val="22"/>
          <w:szCs w:val="22"/>
        </w:rPr>
        <w:t xml:space="preserve"> declarar: </w:t>
      </w:r>
      <w:r w:rsidRPr="00040738">
        <w:rPr>
          <w:rFonts w:ascii="Palatino Linotype" w:hAnsi="Palatino Linotype"/>
          <w:b/>
          <w:i/>
          <w:sz w:val="22"/>
          <w:szCs w:val="22"/>
        </w:rPr>
        <w:t>(i)</w:t>
      </w:r>
      <w:r w:rsidRPr="00040738">
        <w:rPr>
          <w:rFonts w:ascii="Palatino Linotype" w:hAnsi="Palatino Linotype"/>
          <w:i/>
          <w:sz w:val="22"/>
          <w:szCs w:val="22"/>
        </w:rPr>
        <w:t xml:space="preserve"> la vulneración del derecho de atención prioritaria de Luz María Ponce y Remberta Rosario Campoverde Bustamante; </w:t>
      </w:r>
      <w:r w:rsidRPr="00040738">
        <w:rPr>
          <w:rFonts w:ascii="Palatino Linotype" w:hAnsi="Palatino Linotype"/>
          <w:b/>
          <w:i/>
          <w:sz w:val="22"/>
          <w:szCs w:val="22"/>
        </w:rPr>
        <w:t>(ii)</w:t>
      </w:r>
      <w:r w:rsidRPr="00040738">
        <w:rPr>
          <w:rFonts w:ascii="Palatino Linotype" w:hAnsi="Palatino Linotype"/>
          <w:i/>
          <w:sz w:val="22"/>
          <w:szCs w:val="22"/>
        </w:rPr>
        <w:t xml:space="preserve"> la vulneración del derecho a acceder a un servicio público de calidad, eficiente con buen trato y recibir información adecuada y eficaz; y, el derecho a la propiedad, por la OMISIÓN de la autoridad municipal, consecuentemente se ACEPTA la acción de protección propuesta LUZ MARÍA PONCE, REMBERTA ROSARIO CAMPOVERDE BUSTAMANTE, MARÍA DOLORES VEGA CORREA; y, POLIVIO GERMÁNICO COQUE JIJÓN, en contra de DEL GOBIERNO AUTÓNOMO DESCENTRALIZADO DEL DISTRITO METROPOLITANO DE QUITO. Como medidas de reparación integral se dispone: </w:t>
      </w:r>
      <w:r w:rsidRPr="00040738">
        <w:rPr>
          <w:rFonts w:ascii="Palatino Linotype" w:hAnsi="Palatino Linotype"/>
          <w:b/>
          <w:i/>
          <w:sz w:val="22"/>
          <w:szCs w:val="22"/>
        </w:rPr>
        <w:t>(iii)</w:t>
      </w:r>
      <w:r w:rsidRPr="00040738">
        <w:rPr>
          <w:rFonts w:ascii="Palatino Linotype" w:hAnsi="Palatino Linotype"/>
          <w:i/>
          <w:sz w:val="22"/>
          <w:szCs w:val="22"/>
        </w:rPr>
        <w:t xml:space="preserve"> </w:t>
      </w:r>
      <w:r w:rsidRPr="00040738">
        <w:rPr>
          <w:rFonts w:ascii="Palatino Linotype" w:hAnsi="Palatino Linotype"/>
          <w:b/>
          <w:i/>
          <w:sz w:val="22"/>
          <w:szCs w:val="22"/>
          <w:u w:val="single"/>
        </w:rPr>
        <w:t xml:space="preserve">El CONCEJO METROPOLITANO DE QUITO, deberán en el término de VEINTE y CINCO DÍAS, contados a partir de la emisión de la presente sentencia pronunciarse respecto de los trámites de catastro de los accionantes; los términos se repartirán de la siguiente forma: SEIS DÍAS la Administración Zonal Eloy Alfaro (responsable la </w:t>
      </w:r>
      <w:r w:rsidRPr="00040738">
        <w:rPr>
          <w:rFonts w:ascii="Palatino Linotype" w:hAnsi="Palatino Linotype"/>
          <w:b/>
          <w:i/>
          <w:sz w:val="22"/>
          <w:szCs w:val="22"/>
          <w:u w:val="single"/>
        </w:rPr>
        <w:lastRenderedPageBreak/>
        <w:t>Administradora), dentro de dicho término dicha administración deberá ACTUALIZAR los informes técnicos; y, elaborar cualquier otro tipo de informe o requisito necesario para continuar con el trámite así también dentro de dicho término deberá remitir el expediente a la Procuraduría Metropolitana; posteriormente la Procuraduría Metropolitana (responsable Procurador Metropolitano) deberá revisar la documentación en el término de CINCO días, elaborar el respectivo informe actualizado y remitir a la Comisión de Uso Suelo; para que ésta Comisión emita el informe actualizado en el término de CINCO DÍAS al Concejo Metropolitano (responsable los miembros de la Comisión de Uso de Suelo); por último el Concejo Metropolitano tendrá el término de NUEVE DÍAS para conocer los informes y pronunciarse. Los trámites de Luz María Ponce y Remberta Rosario Campoverde Bustamante son prioritarios</w:t>
      </w:r>
      <w:r w:rsidRPr="00040738">
        <w:rPr>
          <w:rFonts w:ascii="Palatino Linotype" w:hAnsi="Palatino Linotype"/>
          <w:b/>
          <w:i/>
          <w:sz w:val="22"/>
          <w:szCs w:val="22"/>
        </w:rPr>
        <w:t>. (iv)</w:t>
      </w:r>
      <w:r w:rsidRPr="00040738">
        <w:rPr>
          <w:rFonts w:ascii="Palatino Linotype" w:hAnsi="Palatino Linotype"/>
          <w:i/>
          <w:sz w:val="22"/>
          <w:szCs w:val="22"/>
        </w:rPr>
        <w:t xml:space="preserve"> TODOS los funcionarios municipales deberán COORDINAR su</w:t>
      </w:r>
      <w:r w:rsidR="007A0C2D">
        <w:rPr>
          <w:rFonts w:ascii="Palatino Linotype" w:hAnsi="Palatino Linotype"/>
          <w:i/>
          <w:sz w:val="22"/>
          <w:szCs w:val="22"/>
        </w:rPr>
        <w:t>s</w:t>
      </w:r>
      <w:r w:rsidRPr="00040738">
        <w:rPr>
          <w:rFonts w:ascii="Palatino Linotype" w:hAnsi="Palatino Linotype"/>
          <w:i/>
          <w:sz w:val="22"/>
          <w:szCs w:val="22"/>
        </w:rPr>
        <w:t xml:space="preserve"> acciones a fin de cumplir dentro de los términos señalados el catastro de los bienes de los accionantes, en éste sentido se entiende que los términos otorgados por éste despacho son los MÁXIMOS, y no podrá la administración municipal alegar falta de un requisito, pues se entiende que los funcionarios son quienes más conocen de la normativa que deba aplicarse. </w:t>
      </w:r>
      <w:r w:rsidRPr="00040738">
        <w:rPr>
          <w:rFonts w:ascii="Palatino Linotype" w:hAnsi="Palatino Linotype"/>
          <w:b/>
          <w:i/>
          <w:sz w:val="22"/>
          <w:szCs w:val="22"/>
          <w:u w:val="single"/>
        </w:rPr>
        <w:t xml:space="preserve">(v) Para efectos del cumplimiento de éstas disposiciones se ordena: OFICIAR a la Administración Zonal Eloy Alfaro, a la Procuraduría Metropolitana, a la Comisión de Uso de Suelo; a la Secretaría del Concejo Metropolitano, el funcionario encargado de ésta última deberá hacer conocer en sesión del Concejo Metropolitano el contenido de ésta sentencia en especial la parte resolutiva. OFICIAR a la Defensoría del Pueblo de conformidad con lo señalado en el Art. 21 de la Ley Orgánica de Garantías Jurisdiccionales y Control Constitucional; entidad a quien se le delega el seguimiento del cumplimento de la sentencia aquí emanada. </w:t>
      </w:r>
      <w:r w:rsidRPr="00040738">
        <w:rPr>
          <w:rFonts w:ascii="Palatino Linotype" w:hAnsi="Palatino Linotype"/>
          <w:b/>
          <w:i/>
          <w:sz w:val="22"/>
          <w:szCs w:val="22"/>
        </w:rPr>
        <w:t>(vi)</w:t>
      </w:r>
      <w:r w:rsidRPr="00040738">
        <w:rPr>
          <w:rFonts w:ascii="Palatino Linotype" w:hAnsi="Palatino Linotype"/>
          <w:i/>
          <w:sz w:val="22"/>
          <w:szCs w:val="22"/>
        </w:rPr>
        <w:t xml:space="preserve"> Como medida de reparación inmaterial a los derechos conculcados se dispone que el Municipio Metropolitano de Quito en el término de diez días contados a partir de la emisión de la sentencia de forma escrita y a través de la Radio Municipal durante tres días consecutivos ofrezca disculpas públicas a los accionantes, estableciendo que por la omisión y negligencia de los funcionarios se violentaron los derechos de los accionantes. Las disculpas deberán realizarse en días y horas laborables; y, copias de sus grabaciones deberán remitirse a éste despacho. </w:t>
      </w:r>
      <w:r w:rsidRPr="00040738">
        <w:rPr>
          <w:rFonts w:ascii="Palatino Linotype" w:hAnsi="Palatino Linotype"/>
          <w:b/>
          <w:i/>
          <w:sz w:val="22"/>
          <w:szCs w:val="22"/>
        </w:rPr>
        <w:t>(vii)</w:t>
      </w:r>
      <w:r w:rsidRPr="00040738">
        <w:rPr>
          <w:rFonts w:ascii="Palatino Linotype" w:hAnsi="Palatino Linotype"/>
          <w:i/>
          <w:sz w:val="22"/>
          <w:szCs w:val="22"/>
        </w:rPr>
        <w:t xml:space="preserve"> La Procuraduría Metropolitana del Distrito Metropolitana de Quito deberá elaborar un documento en el que se identifiquen los requisitos necesarios para las solicitudes de catastro de bienes adquiridos por prescripción adquisitiva de dominio que afecten las condiciones generales de los inmuebles de la zona, como el denominado lote mínimo; en éste sentido deberán indicar ante quien deben presentar la petición, que documentación debe adjuntar y que trámite deben seguir; dicho documento deberá ser remitido a todas las administraciones zonales del Municipio de Quito, y deberán exhibirse en las administraciones zonales, ser visibles y publicarse en la página web del Municipio de Quito a fin de que los usuarios tengan la suficiente información. La Procuraduría Metropolitana tendrá el término de 15 días para elaborar esa documentación. La constancia del envío y de la exhibición deberá ser remitidos a éste despacho en el término </w:t>
      </w:r>
      <w:r w:rsidRPr="00040738">
        <w:rPr>
          <w:rFonts w:ascii="Palatino Linotype" w:hAnsi="Palatino Linotype"/>
          <w:i/>
          <w:sz w:val="22"/>
          <w:szCs w:val="22"/>
        </w:rPr>
        <w:lastRenderedPageBreak/>
        <w:t xml:space="preserve">de veinte días a partir de la presente sentencia. </w:t>
      </w:r>
      <w:r w:rsidRPr="00040738">
        <w:rPr>
          <w:rFonts w:ascii="Palatino Linotype" w:hAnsi="Palatino Linotype"/>
          <w:b/>
          <w:i/>
          <w:sz w:val="22"/>
          <w:szCs w:val="22"/>
        </w:rPr>
        <w:t>(viii)</w:t>
      </w:r>
      <w:r w:rsidRPr="00040738">
        <w:rPr>
          <w:rFonts w:ascii="Palatino Linotype" w:hAnsi="Palatino Linotype"/>
          <w:i/>
          <w:sz w:val="22"/>
          <w:szCs w:val="22"/>
        </w:rPr>
        <w:t xml:space="preserve"> Sin costas ni honorarios que regular. </w:t>
      </w:r>
      <w:r w:rsidRPr="00040738">
        <w:rPr>
          <w:rFonts w:ascii="Palatino Linotype" w:hAnsi="Palatino Linotype"/>
          <w:b/>
          <w:i/>
          <w:sz w:val="22"/>
          <w:szCs w:val="22"/>
        </w:rPr>
        <w:t>(ix)</w:t>
      </w:r>
      <w:r w:rsidRPr="00040738">
        <w:rPr>
          <w:rFonts w:ascii="Palatino Linotype" w:hAnsi="Palatino Linotype"/>
          <w:i/>
          <w:sz w:val="22"/>
          <w:szCs w:val="22"/>
        </w:rPr>
        <w:t xml:space="preserve"> Ejecutoriada la sentencia remítase a la Corte Constitucional, de conformidad a lo previsto en el art. 25 de la Ley Orgánica de Garantías Jurisdiccionales y Control Constitucional. </w:t>
      </w:r>
      <w:r w:rsidRPr="00040738">
        <w:rPr>
          <w:rFonts w:ascii="Palatino Linotype" w:hAnsi="Palatino Linotype"/>
          <w:b/>
          <w:i/>
          <w:sz w:val="22"/>
          <w:szCs w:val="22"/>
        </w:rPr>
        <w:t>NOTIFÍQUESE Y CÚMPLASE.- (El resaltado me corresponde)”.</w:t>
      </w:r>
    </w:p>
    <w:p w:rsidR="007A0C2D" w:rsidRDefault="007A0C2D" w:rsidP="0015218A">
      <w:pPr>
        <w:jc w:val="both"/>
        <w:rPr>
          <w:rFonts w:ascii="Palatino Linotype" w:hAnsi="Palatino Linotype"/>
          <w:sz w:val="22"/>
          <w:szCs w:val="22"/>
        </w:rPr>
      </w:pPr>
    </w:p>
    <w:p w:rsidR="00A943F0" w:rsidRPr="00040738" w:rsidRDefault="007A0C2D" w:rsidP="00603459">
      <w:pPr>
        <w:pStyle w:val="Default"/>
        <w:ind w:left="708" w:hanging="708"/>
        <w:jc w:val="both"/>
        <w:rPr>
          <w:sz w:val="22"/>
          <w:szCs w:val="22"/>
        </w:rPr>
      </w:pPr>
      <w:r w:rsidRPr="007A0C2D">
        <w:rPr>
          <w:sz w:val="22"/>
          <w:szCs w:val="22"/>
        </w:rPr>
        <w:t xml:space="preserve">Que, </w:t>
      </w:r>
      <w:r w:rsidR="00A943F0">
        <w:rPr>
          <w:sz w:val="22"/>
          <w:szCs w:val="22"/>
        </w:rPr>
        <w:t>m</w:t>
      </w:r>
      <w:r w:rsidR="00A943F0" w:rsidRPr="00040738">
        <w:rPr>
          <w:sz w:val="22"/>
          <w:szCs w:val="22"/>
        </w:rPr>
        <w:t>ediante memorando Nro. GADDMQ-AZEA-DGT-UGU-2022-0265-M, de 28 de octubre de 2022, el Arq. Julio Rodrigo González Recalde, Responsable de la Unidad de Gestión Urbana de la Administración Zonal Eloy Alfaro, Subrogante, señala:</w:t>
      </w:r>
    </w:p>
    <w:p w:rsidR="00A943F0" w:rsidRPr="00040738" w:rsidRDefault="00A943F0" w:rsidP="00A943F0">
      <w:pPr>
        <w:pStyle w:val="Default"/>
        <w:jc w:val="both"/>
        <w:rPr>
          <w:sz w:val="22"/>
          <w:szCs w:val="22"/>
        </w:rPr>
      </w:pPr>
    </w:p>
    <w:p w:rsidR="00A943F0" w:rsidRPr="00040738" w:rsidRDefault="00A943F0" w:rsidP="00A943F0">
      <w:pPr>
        <w:pStyle w:val="Default"/>
        <w:ind w:left="708"/>
        <w:jc w:val="both"/>
        <w:rPr>
          <w:i/>
          <w:sz w:val="22"/>
          <w:szCs w:val="22"/>
        </w:rPr>
      </w:pPr>
      <w:r w:rsidRPr="00040738">
        <w:rPr>
          <w:i/>
          <w:sz w:val="22"/>
          <w:szCs w:val="22"/>
        </w:rPr>
        <w:t xml:space="preserve">“(…) Al respecto esta unidad procede a actualizar el informe correspondiente al valor monetario por concepto de contribución del 15% del área útil adjudicada, considerando para el efecto la Ordenanza Metropolitana Nro. 027-2021 sancionada el 14 de diciembre de 2021, ANEXO 3: TABLA DEL VALOR DEL SUELO URBANO, BIENIO 2022-2023, VALOR 2022, del siguiente memorando que se detalla a continuación. </w:t>
      </w:r>
    </w:p>
    <w:p w:rsidR="00A943F0" w:rsidRPr="00040738" w:rsidRDefault="00A943F0" w:rsidP="00A943F0">
      <w:pPr>
        <w:pStyle w:val="Default"/>
        <w:ind w:left="708"/>
        <w:jc w:val="both"/>
        <w:rPr>
          <w:i/>
          <w:sz w:val="22"/>
          <w:szCs w:val="22"/>
        </w:rPr>
      </w:pPr>
    </w:p>
    <w:p w:rsidR="00A943F0" w:rsidRPr="00040738" w:rsidRDefault="00A943F0" w:rsidP="00A943F0">
      <w:pPr>
        <w:pStyle w:val="Default"/>
        <w:ind w:left="708"/>
        <w:jc w:val="both"/>
        <w:rPr>
          <w:i/>
          <w:sz w:val="22"/>
          <w:szCs w:val="22"/>
        </w:rPr>
      </w:pPr>
      <w:r w:rsidRPr="00040738">
        <w:rPr>
          <w:i/>
          <w:sz w:val="22"/>
          <w:szCs w:val="22"/>
        </w:rPr>
        <w:t xml:space="preserve">- Memorando No. GADDMQ-AZEA-DGT-UGU-2021-0255-M de 09 de noviembre de 2021, correspondiente a la petición de la señora Luz María Ponce. </w:t>
      </w:r>
    </w:p>
    <w:p w:rsidR="00A943F0" w:rsidRPr="00040738" w:rsidRDefault="00A943F0" w:rsidP="00A943F0">
      <w:pPr>
        <w:pStyle w:val="Default"/>
        <w:ind w:left="708"/>
        <w:jc w:val="both"/>
        <w:rPr>
          <w:i/>
          <w:sz w:val="22"/>
          <w:szCs w:val="22"/>
        </w:rPr>
      </w:pPr>
    </w:p>
    <w:p w:rsidR="00A943F0" w:rsidRPr="00040738" w:rsidRDefault="00A943F0" w:rsidP="00A943F0">
      <w:pPr>
        <w:pStyle w:val="Default"/>
        <w:ind w:left="708"/>
        <w:jc w:val="both"/>
        <w:rPr>
          <w:i/>
          <w:sz w:val="22"/>
          <w:szCs w:val="22"/>
        </w:rPr>
      </w:pPr>
      <w:r w:rsidRPr="00040738">
        <w:rPr>
          <w:b/>
          <w:i/>
          <w:sz w:val="22"/>
          <w:szCs w:val="22"/>
        </w:rPr>
        <w:t>Datos Generales:</w:t>
      </w:r>
      <w:r w:rsidRPr="00040738">
        <w:rPr>
          <w:i/>
          <w:sz w:val="22"/>
          <w:szCs w:val="22"/>
        </w:rPr>
        <w:t xml:space="preserve"> </w:t>
      </w:r>
    </w:p>
    <w:p w:rsidR="00A943F0" w:rsidRPr="00040738" w:rsidRDefault="00A943F0" w:rsidP="00A943F0">
      <w:pPr>
        <w:pStyle w:val="Default"/>
        <w:ind w:left="708"/>
        <w:jc w:val="both"/>
        <w:rPr>
          <w:i/>
          <w:sz w:val="22"/>
          <w:szCs w:val="22"/>
        </w:rPr>
      </w:pPr>
      <w:r w:rsidRPr="00040738">
        <w:rPr>
          <w:i/>
          <w:sz w:val="22"/>
          <w:szCs w:val="22"/>
        </w:rPr>
        <w:t xml:space="preserve">Sector: Ferroviaria Media </w:t>
      </w:r>
    </w:p>
    <w:p w:rsidR="00A943F0" w:rsidRPr="00040738" w:rsidRDefault="00A943F0" w:rsidP="00A943F0">
      <w:pPr>
        <w:pStyle w:val="Default"/>
        <w:ind w:left="708"/>
        <w:jc w:val="both"/>
        <w:rPr>
          <w:i/>
          <w:sz w:val="22"/>
          <w:szCs w:val="22"/>
        </w:rPr>
      </w:pPr>
      <w:r w:rsidRPr="00040738">
        <w:rPr>
          <w:i/>
          <w:sz w:val="22"/>
          <w:szCs w:val="22"/>
        </w:rPr>
        <w:t xml:space="preserve">Área de Terreno Prescrito: 56.00m2 </w:t>
      </w:r>
    </w:p>
    <w:p w:rsidR="00A943F0" w:rsidRPr="00040738" w:rsidRDefault="00A943F0" w:rsidP="00A943F0">
      <w:pPr>
        <w:pStyle w:val="Default"/>
        <w:ind w:left="708"/>
        <w:jc w:val="both"/>
        <w:rPr>
          <w:i/>
          <w:sz w:val="22"/>
          <w:szCs w:val="22"/>
        </w:rPr>
      </w:pPr>
      <w:r w:rsidRPr="00040738">
        <w:rPr>
          <w:i/>
          <w:sz w:val="22"/>
          <w:szCs w:val="22"/>
        </w:rPr>
        <w:t xml:space="preserve">Valor 2022: 85.00 USD 15% del </w:t>
      </w:r>
    </w:p>
    <w:p w:rsidR="00A943F0" w:rsidRPr="00040738" w:rsidRDefault="00A943F0" w:rsidP="00A943F0">
      <w:pPr>
        <w:pStyle w:val="Default"/>
        <w:ind w:left="708"/>
        <w:jc w:val="both"/>
        <w:rPr>
          <w:i/>
          <w:sz w:val="22"/>
          <w:szCs w:val="22"/>
        </w:rPr>
      </w:pPr>
      <w:r w:rsidRPr="00040738">
        <w:rPr>
          <w:i/>
          <w:sz w:val="22"/>
          <w:szCs w:val="22"/>
        </w:rPr>
        <w:t xml:space="preserve">Área Prescrita: 8.40m2 </w:t>
      </w:r>
    </w:p>
    <w:p w:rsidR="00A943F0" w:rsidRPr="00040738" w:rsidRDefault="00A943F0" w:rsidP="00A943F0">
      <w:pPr>
        <w:pStyle w:val="Default"/>
        <w:ind w:left="708"/>
        <w:jc w:val="both"/>
        <w:rPr>
          <w:b/>
          <w:sz w:val="22"/>
          <w:szCs w:val="22"/>
        </w:rPr>
      </w:pPr>
      <w:r w:rsidRPr="00040738">
        <w:rPr>
          <w:b/>
          <w:i/>
          <w:sz w:val="22"/>
          <w:szCs w:val="22"/>
        </w:rPr>
        <w:t xml:space="preserve">Valor a Cancelar: 8.40m2 x 85.00USD: 714.00 USD”. </w:t>
      </w:r>
      <w:r w:rsidRPr="00040738">
        <w:rPr>
          <w:b/>
          <w:sz w:val="22"/>
          <w:szCs w:val="22"/>
        </w:rPr>
        <w:t xml:space="preserve"> </w:t>
      </w:r>
    </w:p>
    <w:p w:rsidR="00205408" w:rsidRDefault="00205408" w:rsidP="00205408">
      <w:pPr>
        <w:jc w:val="both"/>
        <w:rPr>
          <w:rFonts w:ascii="Palatino Linotype" w:hAnsi="Palatino Linotype"/>
          <w:color w:val="000000"/>
          <w:sz w:val="22"/>
          <w:szCs w:val="22"/>
        </w:rPr>
      </w:pPr>
    </w:p>
    <w:p w:rsidR="00457040" w:rsidRPr="00040738" w:rsidRDefault="00A61A87" w:rsidP="00457040">
      <w:pPr>
        <w:pStyle w:val="Default"/>
        <w:ind w:left="708" w:hanging="708"/>
        <w:jc w:val="both"/>
        <w:rPr>
          <w:sz w:val="22"/>
          <w:szCs w:val="22"/>
        </w:rPr>
      </w:pPr>
      <w:r>
        <w:rPr>
          <w:sz w:val="22"/>
          <w:szCs w:val="22"/>
        </w:rPr>
        <w:t>Q</w:t>
      </w:r>
      <w:r w:rsidR="00457040">
        <w:rPr>
          <w:sz w:val="22"/>
          <w:szCs w:val="22"/>
        </w:rPr>
        <w:t>ue,</w:t>
      </w:r>
      <w:r w:rsidR="00457040" w:rsidRPr="00040738">
        <w:rPr>
          <w:sz w:val="22"/>
          <w:szCs w:val="22"/>
        </w:rPr>
        <w:t xml:space="preserve"> </w:t>
      </w:r>
      <w:r w:rsidR="00457040">
        <w:rPr>
          <w:sz w:val="22"/>
          <w:szCs w:val="22"/>
        </w:rPr>
        <w:t>m</w:t>
      </w:r>
      <w:r w:rsidR="00457040" w:rsidRPr="00040738">
        <w:rPr>
          <w:sz w:val="22"/>
          <w:szCs w:val="22"/>
        </w:rPr>
        <w:t>ediante informe legal Nro. 377-DJ-2022, de 31 de octubre de 2022, el Ab. Gabriel Mier Mora, Director de Asesoría Jurídica de la Administración Zonal Eloy Alfaro, señala:</w:t>
      </w:r>
    </w:p>
    <w:p w:rsidR="00457040" w:rsidRPr="00040738" w:rsidRDefault="00457040" w:rsidP="00457040">
      <w:pPr>
        <w:pStyle w:val="Default"/>
        <w:jc w:val="both"/>
        <w:rPr>
          <w:sz w:val="22"/>
          <w:szCs w:val="22"/>
        </w:rPr>
      </w:pPr>
    </w:p>
    <w:p w:rsidR="00457040" w:rsidRPr="00040738" w:rsidRDefault="00457040" w:rsidP="00457040">
      <w:pPr>
        <w:autoSpaceDE w:val="0"/>
        <w:autoSpaceDN w:val="0"/>
        <w:adjustRightInd w:val="0"/>
        <w:ind w:left="708"/>
        <w:jc w:val="both"/>
        <w:rPr>
          <w:rFonts w:ascii="Palatino Linotype" w:hAnsi="Palatino Linotype"/>
          <w:i/>
          <w:sz w:val="22"/>
          <w:szCs w:val="22"/>
        </w:rPr>
      </w:pPr>
      <w:r w:rsidRPr="00040738">
        <w:rPr>
          <w:rFonts w:ascii="Palatino Linotype" w:hAnsi="Palatino Linotype"/>
          <w:i/>
          <w:sz w:val="22"/>
          <w:szCs w:val="22"/>
        </w:rPr>
        <w:t xml:space="preserve">“(…) con sustento en el memorando No. GADDMQ-AZEA-DGT-UGU-2022-0265-M, suscrito por el Arq. Julio Rodrigo González Recalde, Responsable de la Unidad de Gestión Urbana (S), quien concluye que </w:t>
      </w:r>
      <w:r w:rsidRPr="00040738">
        <w:rPr>
          <w:rFonts w:ascii="Palatino Linotype" w:hAnsi="Palatino Linotype"/>
          <w:b/>
          <w:i/>
          <w:sz w:val="22"/>
          <w:szCs w:val="22"/>
        </w:rPr>
        <w:t>“el valor a cancelar 8.40 X 85.00 = $714,00 dólares”,</w:t>
      </w:r>
      <w:r w:rsidRPr="00040738">
        <w:rPr>
          <w:rFonts w:ascii="Palatino Linotype" w:hAnsi="Palatino Linotype"/>
          <w:i/>
          <w:sz w:val="22"/>
          <w:szCs w:val="22"/>
        </w:rPr>
        <w:t xml:space="preserve"> para dar estricto cumplimiento a las Sentencias dictadas el 06 de abril del 2018, por la Unidad Judicial Civil con Sede en la Parroquia Iñaquito, así como la emitida el 24 de octubre del 2022, por la Jueza de Garantías Jurisdiccionales, dentro del proceso No. 17204-2022-03035, esta Dirección de Asesoría Jurídica, emite </w:t>
      </w:r>
      <w:r w:rsidRPr="00040738">
        <w:rPr>
          <w:rFonts w:ascii="Palatino Linotype" w:hAnsi="Palatino Linotype"/>
          <w:b/>
          <w:i/>
          <w:sz w:val="22"/>
          <w:szCs w:val="22"/>
        </w:rPr>
        <w:t>INFORME LEGAL FAVORABLE</w:t>
      </w:r>
      <w:r w:rsidRPr="00040738">
        <w:rPr>
          <w:rFonts w:ascii="Palatino Linotype" w:hAnsi="Palatino Linotype"/>
          <w:i/>
          <w:sz w:val="22"/>
          <w:szCs w:val="22"/>
        </w:rPr>
        <w:t xml:space="preserve"> para que el Concejo Metropolitano, en acatamiento de las sentencias que son de cumplimiento obligatorio, conforme lo dispone el numeral 4 del artículo 86 de la Constitución, autorice la Partición Judicial del lote de terreno con predio No. 801282, ubicado en la parroquia La Ferroviaria, (antes Eloy Alfaro), Cantón Quito, cambiando las condiciones de este inmueble en particular, estableciendo una excepción a las condiciones generales”.</w:t>
      </w:r>
    </w:p>
    <w:p w:rsidR="00D150C1" w:rsidRDefault="00D150C1" w:rsidP="00205408">
      <w:pPr>
        <w:jc w:val="both"/>
        <w:rPr>
          <w:rFonts w:ascii="Palatino Linotype" w:hAnsi="Palatino Linotype"/>
          <w:color w:val="000000"/>
          <w:sz w:val="22"/>
          <w:szCs w:val="22"/>
        </w:rPr>
      </w:pPr>
    </w:p>
    <w:p w:rsidR="00205408" w:rsidRPr="00040738" w:rsidRDefault="00205408" w:rsidP="00402621">
      <w:pPr>
        <w:ind w:left="708" w:hanging="708"/>
        <w:jc w:val="both"/>
        <w:rPr>
          <w:rFonts w:ascii="Palatino Linotype" w:hAnsi="Palatino Linotype"/>
          <w:sz w:val="22"/>
          <w:szCs w:val="22"/>
        </w:rPr>
      </w:pPr>
      <w:r>
        <w:rPr>
          <w:rFonts w:ascii="Palatino Linotype" w:hAnsi="Palatino Linotype"/>
          <w:color w:val="000000"/>
          <w:sz w:val="22"/>
          <w:szCs w:val="22"/>
        </w:rPr>
        <w:lastRenderedPageBreak/>
        <w:t xml:space="preserve">Que, </w:t>
      </w:r>
      <w:r>
        <w:rPr>
          <w:rFonts w:ascii="Palatino Linotype" w:eastAsiaTheme="minorHAnsi" w:hAnsi="Palatino Linotype"/>
          <w:sz w:val="22"/>
          <w:szCs w:val="22"/>
          <w:lang w:eastAsia="en-US"/>
        </w:rPr>
        <w:t>l</w:t>
      </w:r>
      <w:r w:rsidRPr="00040738">
        <w:rPr>
          <w:rFonts w:ascii="Palatino Linotype" w:eastAsiaTheme="minorHAnsi" w:hAnsi="Palatino Linotype"/>
          <w:sz w:val="22"/>
          <w:szCs w:val="22"/>
          <w:lang w:eastAsia="en-US"/>
        </w:rPr>
        <w:t xml:space="preserve">a Comisión de Uso de Suelo en sesión extraordinaria Nro. 173 de 10 de noviembre de 2022, analizó el expediente relacionado con la </w:t>
      </w:r>
      <w:r w:rsidRPr="00040738">
        <w:rPr>
          <w:rFonts w:ascii="Palatino Linotype" w:hAnsi="Palatino Linotype"/>
          <w:sz w:val="22"/>
          <w:szCs w:val="22"/>
        </w:rPr>
        <w:t>prescripción extraordinaria adquisitiva de dominio del predio Nro. 801282, a favor de la señora Luz Marí</w:t>
      </w:r>
      <w:r w:rsidR="00E03F8B">
        <w:rPr>
          <w:rFonts w:ascii="Palatino Linotype" w:hAnsi="Palatino Linotype"/>
          <w:sz w:val="22"/>
          <w:szCs w:val="22"/>
        </w:rPr>
        <w:t xml:space="preserve">a Ponce. </w:t>
      </w:r>
    </w:p>
    <w:p w:rsidR="008339CB" w:rsidRDefault="008339CB" w:rsidP="008339CB">
      <w:pPr>
        <w:autoSpaceDE w:val="0"/>
        <w:autoSpaceDN w:val="0"/>
        <w:adjustRightInd w:val="0"/>
        <w:spacing w:line="276" w:lineRule="auto"/>
        <w:jc w:val="both"/>
        <w:rPr>
          <w:rFonts w:ascii="Palatino Linotype" w:eastAsiaTheme="minorHAnsi" w:hAnsi="Palatino Linotype"/>
          <w:sz w:val="22"/>
          <w:szCs w:val="22"/>
          <w:lang w:eastAsia="en-US"/>
        </w:rPr>
      </w:pPr>
    </w:p>
    <w:p w:rsidR="00B43C79" w:rsidRPr="00993181" w:rsidRDefault="00B43C79" w:rsidP="00B43C79">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Concejo Metropolitano de Quito, en sesión pública ordinaria realizada el … de … de 2022, analizó el informe Nro. IC-CUS-202</w:t>
      </w:r>
      <w:r>
        <w:rPr>
          <w:rFonts w:ascii="Palatino Linotype" w:eastAsiaTheme="minorHAnsi" w:hAnsi="Palatino Linotype"/>
          <w:sz w:val="22"/>
          <w:szCs w:val="22"/>
          <w:lang w:eastAsia="en-US"/>
        </w:rPr>
        <w:t>2</w:t>
      </w:r>
      <w:r>
        <w:rPr>
          <w:rFonts w:ascii="Palatino Linotype" w:eastAsiaTheme="minorHAnsi" w:hAnsi="Palatino Linotype"/>
          <w:sz w:val="22"/>
          <w:szCs w:val="22"/>
          <w:lang w:eastAsia="en-US"/>
        </w:rPr>
        <w:t>-099</w:t>
      </w:r>
      <w:bookmarkStart w:id="0" w:name="_GoBack"/>
      <w:bookmarkEnd w:id="0"/>
      <w:r w:rsidRPr="00993181">
        <w:rPr>
          <w:rFonts w:ascii="Palatino Linotype" w:eastAsiaTheme="minorHAnsi" w:hAnsi="Palatino Linotype"/>
          <w:sz w:val="22"/>
          <w:szCs w:val="22"/>
          <w:lang w:eastAsia="en-US"/>
        </w:rPr>
        <w:t xml:space="preserve">, emitido por la Comisión de Uso de Suelo; </w:t>
      </w:r>
    </w:p>
    <w:p w:rsidR="00B43C79" w:rsidRDefault="00B43C79" w:rsidP="008339CB">
      <w:pPr>
        <w:autoSpaceDE w:val="0"/>
        <w:autoSpaceDN w:val="0"/>
        <w:adjustRightInd w:val="0"/>
        <w:spacing w:line="276" w:lineRule="auto"/>
        <w:jc w:val="both"/>
        <w:rPr>
          <w:rFonts w:ascii="Palatino Linotype" w:eastAsiaTheme="minorHAnsi" w:hAnsi="Palatino Linotype"/>
          <w:sz w:val="22"/>
          <w:szCs w:val="22"/>
          <w:lang w:eastAsia="en-US"/>
        </w:rPr>
      </w:pPr>
    </w:p>
    <w:p w:rsidR="008339CB" w:rsidRPr="00993181" w:rsidRDefault="008339CB" w:rsidP="008339CB">
      <w:pPr>
        <w:autoSpaceDE w:val="0"/>
        <w:autoSpaceDN w:val="0"/>
        <w:adjustRightInd w:val="0"/>
        <w:spacing w:line="276" w:lineRule="auto"/>
        <w:jc w:val="both"/>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8339CB" w:rsidRPr="00993181" w:rsidRDefault="008339CB" w:rsidP="008339CB">
      <w:pPr>
        <w:autoSpaceDE w:val="0"/>
        <w:autoSpaceDN w:val="0"/>
        <w:adjustRightInd w:val="0"/>
        <w:spacing w:line="276" w:lineRule="auto"/>
        <w:jc w:val="both"/>
        <w:rPr>
          <w:rFonts w:ascii="Palatino Linotype" w:eastAsiaTheme="minorHAnsi" w:hAnsi="Palatino Linotype"/>
          <w:b/>
          <w:bCs/>
          <w:sz w:val="22"/>
          <w:szCs w:val="22"/>
          <w:lang w:eastAsia="en-US"/>
        </w:rPr>
      </w:pPr>
    </w:p>
    <w:p w:rsidR="008339CB" w:rsidRPr="00993181" w:rsidRDefault="008339CB" w:rsidP="008339CB">
      <w:pPr>
        <w:autoSpaceDE w:val="0"/>
        <w:autoSpaceDN w:val="0"/>
        <w:adjustRightInd w:val="0"/>
        <w:spacing w:line="276" w:lineRule="auto"/>
        <w:jc w:val="center"/>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RESUELVE:</w:t>
      </w:r>
    </w:p>
    <w:p w:rsidR="008339CB" w:rsidRPr="00993181" w:rsidRDefault="008339CB" w:rsidP="008339CB">
      <w:pPr>
        <w:autoSpaceDE w:val="0"/>
        <w:autoSpaceDN w:val="0"/>
        <w:adjustRightInd w:val="0"/>
        <w:spacing w:line="276" w:lineRule="auto"/>
        <w:jc w:val="center"/>
        <w:rPr>
          <w:rFonts w:ascii="Palatino Linotype" w:hAnsi="Palatino Linotype"/>
          <w:sz w:val="22"/>
          <w:szCs w:val="22"/>
        </w:rPr>
      </w:pPr>
    </w:p>
    <w:p w:rsidR="00B14162" w:rsidRPr="00040738" w:rsidRDefault="008339CB" w:rsidP="00B14162">
      <w:pPr>
        <w:autoSpaceDE w:val="0"/>
        <w:autoSpaceDN w:val="0"/>
        <w:adjustRightInd w:val="0"/>
        <w:spacing w:line="276" w:lineRule="auto"/>
        <w:jc w:val="both"/>
        <w:rPr>
          <w:rFonts w:ascii="Palatino Linotype" w:hAnsi="Palatino Linotype" w:cs="Arial"/>
          <w:sz w:val="22"/>
          <w:szCs w:val="22"/>
        </w:rPr>
      </w:pPr>
      <w:r w:rsidRPr="00993181">
        <w:rPr>
          <w:rFonts w:ascii="Palatino Linotype" w:eastAsiaTheme="minorHAnsi" w:hAnsi="Palatino Linotype"/>
          <w:b/>
          <w:sz w:val="22"/>
          <w:szCs w:val="22"/>
          <w:lang w:eastAsia="en-US"/>
        </w:rPr>
        <w:t>Artículo 1.-</w:t>
      </w:r>
      <w:r w:rsidRPr="00993181">
        <w:rPr>
          <w:rFonts w:ascii="Palatino Linotype" w:eastAsiaTheme="minorHAnsi" w:hAnsi="Palatino Linotype"/>
          <w:sz w:val="22"/>
          <w:szCs w:val="22"/>
          <w:lang w:eastAsia="en-US"/>
        </w:rPr>
        <w:t xml:space="preserve"> </w:t>
      </w:r>
      <w:r w:rsidR="00440108" w:rsidRPr="00440108">
        <w:rPr>
          <w:rFonts w:ascii="Palatino Linotype" w:eastAsiaTheme="minorHAnsi" w:hAnsi="Palatino Linotype"/>
          <w:sz w:val="22"/>
          <w:szCs w:val="22"/>
          <w:lang w:eastAsia="en-US"/>
        </w:rPr>
        <w:t xml:space="preserve">Autorizar la subdivisión del predio  </w:t>
      </w:r>
      <w:r w:rsidR="00B14162">
        <w:rPr>
          <w:rFonts w:ascii="Palatino Linotype" w:eastAsiaTheme="minorHAnsi" w:hAnsi="Palatino Linotype"/>
          <w:sz w:val="22"/>
          <w:szCs w:val="22"/>
          <w:lang w:eastAsia="en-US"/>
        </w:rPr>
        <w:t>801282</w:t>
      </w:r>
      <w:r w:rsidR="00440108" w:rsidRPr="00440108">
        <w:rPr>
          <w:rFonts w:ascii="Palatino Linotype" w:eastAsiaTheme="minorHAnsi" w:hAnsi="Palatino Linotype"/>
          <w:sz w:val="22"/>
          <w:szCs w:val="22"/>
          <w:lang w:eastAsia="en-US"/>
        </w:rPr>
        <w:t xml:space="preserve">, cambiando las condiciones de ese inmueble en particular y generando una excepción a las condiciones generales, </w:t>
      </w:r>
      <w:r w:rsidR="00B14162" w:rsidRPr="00040738">
        <w:rPr>
          <w:rFonts w:ascii="Palatino Linotype" w:hAnsi="Palatino Linotype" w:cs="Arial"/>
          <w:sz w:val="22"/>
          <w:szCs w:val="22"/>
        </w:rPr>
        <w:t xml:space="preserve">de conformidad con la sentencia emitida dentro del proceso judicial No. </w:t>
      </w:r>
      <w:r w:rsidR="00B14162" w:rsidRPr="00040738">
        <w:rPr>
          <w:rFonts w:ascii="Palatino Linotype" w:hAnsi="Palatino Linotype"/>
          <w:sz w:val="22"/>
          <w:szCs w:val="22"/>
        </w:rPr>
        <w:t>17204-2022-03035</w:t>
      </w:r>
      <w:r w:rsidR="00B14162" w:rsidRPr="00040738">
        <w:rPr>
          <w:rFonts w:ascii="Palatino Linotype" w:hAnsi="Palatino Linotype" w:cs="Arial"/>
          <w:sz w:val="22"/>
          <w:szCs w:val="22"/>
        </w:rPr>
        <w:t>, mediante la cual la Jueza de la Unidad Judicial Civil con sede en la parroquia de Iñaquito del Distrito Metropolitano de Quito, acepta la demanda y declara la Prescripción Extraordinaria Adquisitiva de Dominio que ha operado en favor de la señora Luz María Ponce, por una superficie de 56.00 metros cuadrados.</w:t>
      </w:r>
    </w:p>
    <w:p w:rsidR="00B14162" w:rsidRPr="00440108" w:rsidRDefault="00B14162" w:rsidP="00440108">
      <w:pPr>
        <w:autoSpaceDE w:val="0"/>
        <w:autoSpaceDN w:val="0"/>
        <w:adjustRightInd w:val="0"/>
        <w:spacing w:line="276" w:lineRule="auto"/>
        <w:jc w:val="both"/>
        <w:rPr>
          <w:rFonts w:ascii="Palatino Linotype" w:eastAsiaTheme="minorHAnsi" w:hAnsi="Palatino Linotype"/>
          <w:sz w:val="22"/>
          <w:szCs w:val="22"/>
          <w:lang w:eastAsia="en-US"/>
        </w:rPr>
      </w:pPr>
    </w:p>
    <w:p w:rsidR="008339CB" w:rsidRDefault="00440108" w:rsidP="00440108">
      <w:pPr>
        <w:autoSpaceDE w:val="0"/>
        <w:autoSpaceDN w:val="0"/>
        <w:adjustRightInd w:val="0"/>
        <w:spacing w:line="276" w:lineRule="auto"/>
        <w:jc w:val="both"/>
        <w:rPr>
          <w:rFonts w:ascii="Palatino Linotype" w:eastAsiaTheme="minorHAnsi" w:hAnsi="Palatino Linotype"/>
          <w:sz w:val="22"/>
          <w:szCs w:val="22"/>
          <w:lang w:eastAsia="en-US"/>
        </w:rPr>
      </w:pPr>
      <w:r w:rsidRPr="00440108">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33369C">
        <w:rPr>
          <w:rFonts w:ascii="Palatino Linotype" w:eastAsiaTheme="minorHAnsi" w:hAnsi="Palatino Linotype"/>
          <w:sz w:val="22"/>
          <w:szCs w:val="22"/>
          <w:lang w:eastAsia="en-US"/>
        </w:rPr>
        <w:t xml:space="preserve">la señora </w:t>
      </w:r>
      <w:r w:rsidR="0033369C" w:rsidRPr="00040738">
        <w:rPr>
          <w:rFonts w:ascii="Palatino Linotype" w:hAnsi="Palatino Linotype" w:cs="Arial"/>
          <w:sz w:val="22"/>
          <w:szCs w:val="22"/>
        </w:rPr>
        <w:t>Luz María Ponce</w:t>
      </w:r>
      <w:r w:rsidRPr="00440108">
        <w:rPr>
          <w:rFonts w:ascii="Palatino Linotype" w:eastAsiaTheme="minorHAnsi" w:hAnsi="Palatino Linotype"/>
          <w:sz w:val="22"/>
          <w:szCs w:val="22"/>
          <w:lang w:eastAsia="en-US"/>
        </w:rPr>
        <w:t>, deberá compensar en valor monetario, la contribución del 15% del área útil adjudicada, de acuerdo con el cálculo que realice la Administración Zonal competente.</w:t>
      </w:r>
    </w:p>
    <w:p w:rsidR="00377A10" w:rsidRPr="00440108" w:rsidRDefault="00377A10" w:rsidP="00440108">
      <w:pPr>
        <w:autoSpaceDE w:val="0"/>
        <w:autoSpaceDN w:val="0"/>
        <w:adjustRightInd w:val="0"/>
        <w:spacing w:line="276" w:lineRule="auto"/>
        <w:jc w:val="both"/>
        <w:rPr>
          <w:rFonts w:ascii="Palatino Linotype" w:eastAsiaTheme="minorHAnsi" w:hAnsi="Palatino Linotype"/>
          <w:sz w:val="22"/>
          <w:szCs w:val="22"/>
          <w:lang w:eastAsia="en-US"/>
        </w:rPr>
      </w:pPr>
    </w:p>
    <w:p w:rsidR="00FA379F" w:rsidRDefault="001B7AEB" w:rsidP="008339CB">
      <w:pPr>
        <w:autoSpaceDE w:val="0"/>
        <w:autoSpaceDN w:val="0"/>
        <w:adjustRightInd w:val="0"/>
        <w:spacing w:line="276" w:lineRule="auto"/>
        <w:jc w:val="both"/>
        <w:rPr>
          <w:rFonts w:ascii="Palatino Linotype" w:eastAsiaTheme="minorHAnsi" w:hAnsi="Palatino Linotype"/>
          <w:b/>
          <w:sz w:val="22"/>
          <w:szCs w:val="22"/>
          <w:lang w:eastAsia="en-US"/>
        </w:rPr>
      </w:pPr>
      <w:r>
        <w:rPr>
          <w:rFonts w:ascii="Palatino Linotype" w:eastAsiaTheme="minorHAnsi" w:hAnsi="Palatino Linotype"/>
          <w:b/>
          <w:sz w:val="22"/>
          <w:szCs w:val="22"/>
          <w:lang w:eastAsia="en-US"/>
        </w:rPr>
        <w:t>Disposiciones generales:</w:t>
      </w:r>
    </w:p>
    <w:p w:rsidR="00FA379F" w:rsidRDefault="00FA379F" w:rsidP="008339CB">
      <w:pPr>
        <w:autoSpaceDE w:val="0"/>
        <w:autoSpaceDN w:val="0"/>
        <w:adjustRightInd w:val="0"/>
        <w:spacing w:line="276" w:lineRule="auto"/>
        <w:jc w:val="both"/>
        <w:rPr>
          <w:rFonts w:ascii="Palatino Linotype" w:eastAsiaTheme="minorHAnsi" w:hAnsi="Palatino Linotype"/>
          <w:b/>
          <w:sz w:val="22"/>
          <w:szCs w:val="22"/>
          <w:lang w:eastAsia="en-US"/>
        </w:rPr>
      </w:pPr>
    </w:p>
    <w:p w:rsidR="008339CB" w:rsidRPr="00993181" w:rsidRDefault="001B7AEB" w:rsidP="008339CB">
      <w:pPr>
        <w:autoSpaceDE w:val="0"/>
        <w:autoSpaceDN w:val="0"/>
        <w:adjustRightInd w:val="0"/>
        <w:spacing w:line="276" w:lineRule="auto"/>
        <w:jc w:val="both"/>
        <w:rPr>
          <w:rFonts w:ascii="Palatino Linotype" w:eastAsiaTheme="minorHAnsi" w:hAnsi="Palatino Linotype"/>
          <w:sz w:val="22"/>
          <w:szCs w:val="22"/>
          <w:lang w:eastAsia="en-US"/>
        </w:rPr>
      </w:pPr>
      <w:r>
        <w:rPr>
          <w:rFonts w:ascii="Palatino Linotype" w:eastAsiaTheme="minorHAnsi" w:hAnsi="Palatino Linotype"/>
          <w:b/>
          <w:sz w:val="22"/>
          <w:szCs w:val="22"/>
          <w:lang w:eastAsia="en-US"/>
        </w:rPr>
        <w:t>Primera</w:t>
      </w:r>
      <w:r w:rsidR="008339CB" w:rsidRPr="00993181">
        <w:rPr>
          <w:rFonts w:ascii="Palatino Linotype" w:eastAsiaTheme="minorHAnsi" w:hAnsi="Palatino Linotype"/>
          <w:b/>
          <w:sz w:val="22"/>
          <w:szCs w:val="22"/>
          <w:lang w:eastAsia="en-US"/>
        </w:rPr>
        <w:t xml:space="preserve">.- </w:t>
      </w:r>
      <w:r w:rsidR="008339CB" w:rsidRPr="00993181">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8339CB" w:rsidRDefault="008339CB" w:rsidP="008339CB">
      <w:pPr>
        <w:autoSpaceDE w:val="0"/>
        <w:autoSpaceDN w:val="0"/>
        <w:adjustRightInd w:val="0"/>
        <w:spacing w:line="276" w:lineRule="auto"/>
        <w:rPr>
          <w:rFonts w:ascii="Palatino Linotype" w:eastAsiaTheme="minorHAnsi" w:hAnsi="Palatino Linotype"/>
          <w:sz w:val="22"/>
          <w:szCs w:val="22"/>
          <w:lang w:eastAsia="en-US"/>
        </w:rPr>
      </w:pPr>
    </w:p>
    <w:p w:rsidR="001B7AEB" w:rsidRDefault="001B7AEB" w:rsidP="008339CB">
      <w:pPr>
        <w:autoSpaceDE w:val="0"/>
        <w:autoSpaceDN w:val="0"/>
        <w:adjustRightInd w:val="0"/>
        <w:spacing w:line="276" w:lineRule="auto"/>
        <w:rPr>
          <w:rFonts w:ascii="Palatino Linotype" w:eastAsiaTheme="minorHAnsi" w:hAnsi="Palatino Linotype"/>
          <w:sz w:val="22"/>
          <w:szCs w:val="22"/>
          <w:lang w:eastAsia="en-US"/>
        </w:rPr>
      </w:pPr>
      <w:r w:rsidRPr="001B7AEB">
        <w:rPr>
          <w:rFonts w:ascii="Palatino Linotype" w:eastAsiaTheme="minorHAnsi" w:hAnsi="Palatino Linotype"/>
          <w:b/>
          <w:sz w:val="22"/>
          <w:szCs w:val="22"/>
          <w:lang w:eastAsia="en-US"/>
        </w:rPr>
        <w:t>Segunda</w:t>
      </w:r>
      <w:r>
        <w:rPr>
          <w:rFonts w:ascii="Palatino Linotype" w:eastAsiaTheme="minorHAnsi" w:hAnsi="Palatino Linotype"/>
          <w:b/>
          <w:sz w:val="22"/>
          <w:szCs w:val="22"/>
          <w:lang w:eastAsia="en-US"/>
        </w:rPr>
        <w:t>.-</w:t>
      </w:r>
      <w:r w:rsidRPr="001B7AEB">
        <w:rPr>
          <w:rFonts w:ascii="Palatino Linotype" w:eastAsiaTheme="minorHAnsi" w:hAnsi="Palatino Linotype"/>
          <w:sz w:val="22"/>
          <w:szCs w:val="22"/>
          <w:lang w:eastAsia="en-US"/>
        </w:rPr>
        <w:t xml:space="preserve"> La presente resolución se aprueba en base a los informes que son de exclusiva responsabilidad de los funcionari</w:t>
      </w:r>
      <w:r>
        <w:rPr>
          <w:rFonts w:ascii="Palatino Linotype" w:eastAsiaTheme="minorHAnsi" w:hAnsi="Palatino Linotype"/>
          <w:sz w:val="22"/>
          <w:szCs w:val="22"/>
          <w:lang w:eastAsia="en-US"/>
        </w:rPr>
        <w:t>os que lo suscriben y realizan.</w:t>
      </w:r>
    </w:p>
    <w:p w:rsidR="001B7AEB" w:rsidRPr="001B7AEB" w:rsidRDefault="001B7AEB" w:rsidP="008339CB">
      <w:pPr>
        <w:autoSpaceDE w:val="0"/>
        <w:autoSpaceDN w:val="0"/>
        <w:adjustRightInd w:val="0"/>
        <w:spacing w:line="276" w:lineRule="auto"/>
        <w:rPr>
          <w:rFonts w:ascii="Palatino Linotype" w:eastAsiaTheme="minorHAnsi" w:hAnsi="Palatino Linotype"/>
          <w:sz w:val="22"/>
          <w:szCs w:val="22"/>
          <w:lang w:eastAsia="en-US"/>
        </w:rPr>
      </w:pPr>
    </w:p>
    <w:p w:rsidR="008339CB" w:rsidRPr="00993181" w:rsidRDefault="008339CB" w:rsidP="008339CB">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lastRenderedPageBreak/>
        <w:t>Disposición Final.-</w:t>
      </w:r>
      <w:r w:rsidRPr="00993181">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650887" w:rsidRPr="00AB4F42" w:rsidRDefault="00650887"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AB4F42" w:rsidRDefault="000113AC" w:rsidP="000113AC">
      <w:pPr>
        <w:spacing w:line="276" w:lineRule="auto"/>
        <w:ind w:left="-5"/>
        <w:jc w:val="both"/>
        <w:rPr>
          <w:rFonts w:ascii="Palatino Linotype" w:hAnsi="Palatino Linotype"/>
          <w:sz w:val="22"/>
          <w:szCs w:val="22"/>
        </w:rPr>
      </w:pPr>
      <w:r w:rsidRPr="00AB4F42">
        <w:rPr>
          <w:rFonts w:ascii="Palatino Linotype" w:hAnsi="Palatino Linotype"/>
          <w:sz w:val="22"/>
          <w:szCs w:val="22"/>
        </w:rPr>
        <w:t xml:space="preserve">Dada en la sesión del Concejo Metropolitano de Quito, el ……….. </w:t>
      </w:r>
    </w:p>
    <w:p w:rsidR="000113AC" w:rsidRPr="00AB4F42" w:rsidRDefault="000113AC" w:rsidP="000113AC">
      <w:pPr>
        <w:spacing w:line="276" w:lineRule="auto"/>
        <w:ind w:left="-5"/>
        <w:jc w:val="both"/>
        <w:rPr>
          <w:rFonts w:ascii="Palatino Linotype" w:hAnsi="Palatino Linotype"/>
          <w:sz w:val="22"/>
          <w:szCs w:val="22"/>
        </w:rPr>
      </w:pPr>
    </w:p>
    <w:p w:rsidR="000113AC" w:rsidRPr="00AB4F42" w:rsidRDefault="000113AC" w:rsidP="000113AC">
      <w:pPr>
        <w:spacing w:line="276" w:lineRule="auto"/>
        <w:ind w:left="-5" w:right="-143"/>
        <w:jc w:val="both"/>
        <w:rPr>
          <w:rFonts w:ascii="Palatino Linotype" w:hAnsi="Palatino Linotype"/>
          <w:sz w:val="22"/>
          <w:szCs w:val="22"/>
        </w:rPr>
      </w:pPr>
      <w:r w:rsidRPr="00AB4F42">
        <w:rPr>
          <w:rFonts w:ascii="Palatino Linotype" w:hAnsi="Palatino Linotype"/>
          <w:b/>
          <w:sz w:val="22"/>
          <w:szCs w:val="22"/>
        </w:rPr>
        <w:t xml:space="preserve">Alcaldía del Distrito Metropolitano. - </w:t>
      </w:r>
      <w:r w:rsidRPr="00AB4F42">
        <w:rPr>
          <w:rFonts w:ascii="Palatino Linotype" w:hAnsi="Palatino Linotype"/>
          <w:sz w:val="22"/>
          <w:szCs w:val="22"/>
        </w:rPr>
        <w:t>Distrito Metropolitano de Quito, ………..</w:t>
      </w:r>
    </w:p>
    <w:p w:rsidR="000113AC" w:rsidRPr="00AB4F42" w:rsidRDefault="000113AC" w:rsidP="000113AC">
      <w:pPr>
        <w:spacing w:line="276" w:lineRule="auto"/>
        <w:jc w:val="both"/>
        <w:rPr>
          <w:rFonts w:ascii="Palatino Linotype" w:hAnsi="Palatino Linotype"/>
          <w:sz w:val="22"/>
          <w:szCs w:val="22"/>
        </w:rPr>
      </w:pPr>
    </w:p>
    <w:p w:rsidR="000113AC" w:rsidRPr="00AB4F42" w:rsidRDefault="000113AC" w:rsidP="000113AC">
      <w:pPr>
        <w:spacing w:line="276" w:lineRule="auto"/>
        <w:jc w:val="center"/>
        <w:rPr>
          <w:rFonts w:ascii="Palatino Linotype" w:hAnsi="Palatino Linotype"/>
          <w:sz w:val="22"/>
          <w:szCs w:val="22"/>
        </w:rPr>
      </w:pPr>
      <w:r w:rsidRPr="00AB4F42">
        <w:rPr>
          <w:rFonts w:ascii="Palatino Linotype" w:hAnsi="Palatino Linotype"/>
          <w:b/>
          <w:sz w:val="22"/>
          <w:szCs w:val="22"/>
        </w:rPr>
        <w:t>EJECÚTESE:</w:t>
      </w:r>
    </w:p>
    <w:p w:rsidR="000113AC" w:rsidRPr="00AB4F42" w:rsidRDefault="000113AC" w:rsidP="000113AC">
      <w:pPr>
        <w:spacing w:line="276" w:lineRule="auto"/>
        <w:ind w:left="51"/>
        <w:jc w:val="center"/>
        <w:rPr>
          <w:rFonts w:ascii="Palatino Linotype" w:hAnsi="Palatino Linotype"/>
          <w:sz w:val="22"/>
          <w:szCs w:val="22"/>
        </w:rPr>
      </w:pPr>
    </w:p>
    <w:p w:rsidR="000113AC" w:rsidRPr="00AB4F42" w:rsidRDefault="000113AC" w:rsidP="000113AC">
      <w:pPr>
        <w:spacing w:line="276" w:lineRule="auto"/>
        <w:ind w:left="51"/>
        <w:jc w:val="center"/>
        <w:rPr>
          <w:rFonts w:ascii="Palatino Linotype" w:hAnsi="Palatino Linotype"/>
          <w:sz w:val="22"/>
          <w:szCs w:val="22"/>
        </w:rPr>
      </w:pPr>
    </w:p>
    <w:p w:rsidR="000113AC" w:rsidRPr="00AB4F42" w:rsidRDefault="000113AC" w:rsidP="000113AC">
      <w:pPr>
        <w:spacing w:line="276" w:lineRule="auto"/>
        <w:ind w:left="51"/>
        <w:jc w:val="center"/>
        <w:rPr>
          <w:rFonts w:ascii="Palatino Linotype" w:hAnsi="Palatino Linotype"/>
          <w:sz w:val="22"/>
          <w:szCs w:val="22"/>
        </w:rPr>
      </w:pPr>
    </w:p>
    <w:p w:rsidR="000113AC" w:rsidRPr="00AB4F42" w:rsidRDefault="000113AC" w:rsidP="000113AC">
      <w:pPr>
        <w:spacing w:line="276" w:lineRule="auto"/>
        <w:ind w:left="51"/>
        <w:jc w:val="center"/>
        <w:rPr>
          <w:rFonts w:ascii="Palatino Linotype" w:hAnsi="Palatino Linotype"/>
          <w:sz w:val="22"/>
          <w:szCs w:val="22"/>
        </w:rPr>
      </w:pPr>
      <w:r w:rsidRPr="00AB4F42">
        <w:rPr>
          <w:rFonts w:ascii="Palatino Linotype" w:hAnsi="Palatino Linotype"/>
          <w:sz w:val="22"/>
          <w:szCs w:val="22"/>
        </w:rPr>
        <w:t>Dr. Santiago Guarderas Izquierdo</w:t>
      </w:r>
    </w:p>
    <w:p w:rsidR="000113AC" w:rsidRPr="00AB4F42"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AB4F42">
        <w:rPr>
          <w:rFonts w:ascii="Palatino Linotype" w:eastAsia="Palatino Linotype" w:hAnsi="Palatino Linotype" w:cs="Palatino Linotype"/>
          <w:b/>
          <w:color w:val="000000"/>
          <w:sz w:val="22"/>
          <w:szCs w:val="22"/>
          <w:lang w:eastAsia="es-EC"/>
        </w:rPr>
        <w:t>ALCALDE DEL DISTRITO METROPOLITANO DE QUITO</w:t>
      </w:r>
    </w:p>
    <w:p w:rsidR="000113AC" w:rsidRPr="00AB4F42" w:rsidRDefault="000113AC" w:rsidP="000113AC">
      <w:pPr>
        <w:spacing w:line="276" w:lineRule="auto"/>
        <w:jc w:val="center"/>
        <w:rPr>
          <w:rFonts w:ascii="Palatino Linotype" w:hAnsi="Palatino Linotype"/>
          <w:sz w:val="22"/>
          <w:szCs w:val="22"/>
        </w:rPr>
      </w:pPr>
    </w:p>
    <w:p w:rsidR="000113AC" w:rsidRPr="00AB4F42" w:rsidRDefault="000113AC" w:rsidP="000113AC">
      <w:pPr>
        <w:spacing w:line="276" w:lineRule="auto"/>
        <w:ind w:left="-5"/>
        <w:jc w:val="both"/>
        <w:rPr>
          <w:rFonts w:ascii="Palatino Linotype" w:hAnsi="Palatino Linotype"/>
          <w:sz w:val="22"/>
          <w:szCs w:val="22"/>
        </w:rPr>
      </w:pPr>
      <w:r w:rsidRPr="00AB4F42">
        <w:rPr>
          <w:rFonts w:ascii="Palatino Linotype" w:hAnsi="Palatino Linotype"/>
          <w:b/>
          <w:sz w:val="22"/>
          <w:szCs w:val="22"/>
        </w:rPr>
        <w:t>CERTIFICO,</w:t>
      </w:r>
      <w:r w:rsidRPr="00AB4F42">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AB4F42" w:rsidRDefault="000113AC" w:rsidP="000113AC">
      <w:pPr>
        <w:spacing w:line="276" w:lineRule="auto"/>
        <w:jc w:val="both"/>
        <w:rPr>
          <w:rFonts w:ascii="Palatino Linotype" w:hAnsi="Palatino Linotype"/>
          <w:sz w:val="22"/>
          <w:szCs w:val="22"/>
        </w:rPr>
      </w:pPr>
      <w:r w:rsidRPr="00AB4F42">
        <w:rPr>
          <w:rFonts w:ascii="Palatino Linotype" w:hAnsi="Palatino Linotype"/>
          <w:b/>
          <w:sz w:val="22"/>
          <w:szCs w:val="22"/>
        </w:rPr>
        <w:t xml:space="preserve"> </w:t>
      </w:r>
    </w:p>
    <w:p w:rsidR="000113AC" w:rsidRPr="00AB4F42" w:rsidRDefault="000113AC" w:rsidP="000113AC">
      <w:pPr>
        <w:spacing w:line="276" w:lineRule="auto"/>
        <w:ind w:left="-5"/>
        <w:jc w:val="both"/>
        <w:rPr>
          <w:rFonts w:ascii="Palatino Linotype" w:hAnsi="Palatino Linotype"/>
          <w:sz w:val="22"/>
          <w:szCs w:val="22"/>
          <w:highlight w:val="yellow"/>
        </w:rPr>
      </w:pPr>
      <w:r w:rsidRPr="00AB4F42">
        <w:rPr>
          <w:rFonts w:ascii="Palatino Linotype" w:hAnsi="Palatino Linotype"/>
          <w:b/>
          <w:sz w:val="22"/>
          <w:szCs w:val="22"/>
        </w:rPr>
        <w:t xml:space="preserve">Lo certifico. - </w:t>
      </w:r>
      <w:r w:rsidR="00754E1F" w:rsidRPr="00AB4F42">
        <w:rPr>
          <w:rFonts w:ascii="Palatino Linotype" w:hAnsi="Palatino Linotype"/>
          <w:sz w:val="22"/>
          <w:szCs w:val="22"/>
        </w:rPr>
        <w:t>Distrito Metropolitano de Quito</w:t>
      </w:r>
      <w:r w:rsidRPr="00AB4F42">
        <w:rPr>
          <w:rFonts w:ascii="Palatino Linotype" w:hAnsi="Palatino Linotype"/>
          <w:sz w:val="22"/>
          <w:szCs w:val="22"/>
        </w:rPr>
        <w:t xml:space="preserve">. </w:t>
      </w:r>
    </w:p>
    <w:p w:rsidR="000113AC" w:rsidRPr="00AB4F42" w:rsidRDefault="000113AC" w:rsidP="000113AC">
      <w:pPr>
        <w:spacing w:line="276" w:lineRule="auto"/>
        <w:jc w:val="both"/>
        <w:rPr>
          <w:rFonts w:ascii="Palatino Linotype" w:hAnsi="Palatino Linotype"/>
          <w:sz w:val="22"/>
          <w:szCs w:val="22"/>
          <w:highlight w:val="yellow"/>
        </w:rPr>
      </w:pPr>
      <w:r w:rsidRPr="00AB4F42">
        <w:rPr>
          <w:rFonts w:ascii="Palatino Linotype" w:hAnsi="Palatino Linotype"/>
          <w:sz w:val="22"/>
          <w:szCs w:val="22"/>
          <w:highlight w:val="yellow"/>
        </w:rPr>
        <w:t xml:space="preserve"> </w:t>
      </w:r>
    </w:p>
    <w:p w:rsidR="000113AC" w:rsidRPr="00AB4F42" w:rsidRDefault="000113AC" w:rsidP="000113AC">
      <w:pPr>
        <w:spacing w:line="276" w:lineRule="auto"/>
        <w:jc w:val="both"/>
        <w:rPr>
          <w:rFonts w:ascii="Palatino Linotype" w:hAnsi="Palatino Linotype"/>
          <w:sz w:val="22"/>
          <w:szCs w:val="22"/>
          <w:highlight w:val="yellow"/>
        </w:rPr>
      </w:pPr>
    </w:p>
    <w:p w:rsidR="000113AC" w:rsidRPr="00AB4F42" w:rsidRDefault="000113AC" w:rsidP="000113AC">
      <w:pPr>
        <w:spacing w:line="276" w:lineRule="auto"/>
        <w:jc w:val="both"/>
        <w:rPr>
          <w:rFonts w:ascii="Palatino Linotype" w:hAnsi="Palatino Linotype"/>
          <w:sz w:val="22"/>
          <w:szCs w:val="22"/>
          <w:highlight w:val="yellow"/>
        </w:rPr>
      </w:pPr>
      <w:r w:rsidRPr="00AB4F42">
        <w:rPr>
          <w:rFonts w:ascii="Palatino Linotype" w:hAnsi="Palatino Linotype"/>
          <w:sz w:val="22"/>
          <w:szCs w:val="22"/>
          <w:highlight w:val="yellow"/>
        </w:rPr>
        <w:t xml:space="preserve"> </w:t>
      </w:r>
    </w:p>
    <w:p w:rsidR="000113AC" w:rsidRPr="00AB4F42" w:rsidRDefault="000113AC" w:rsidP="000113AC">
      <w:pPr>
        <w:spacing w:line="276" w:lineRule="auto"/>
        <w:jc w:val="both"/>
        <w:rPr>
          <w:rFonts w:ascii="Palatino Linotype" w:hAnsi="Palatino Linotype"/>
          <w:sz w:val="22"/>
          <w:szCs w:val="22"/>
          <w:highlight w:val="yellow"/>
        </w:rPr>
      </w:pPr>
      <w:r w:rsidRPr="00AB4F42">
        <w:rPr>
          <w:rFonts w:ascii="Palatino Linotype" w:hAnsi="Palatino Linotype"/>
          <w:sz w:val="22"/>
          <w:szCs w:val="22"/>
          <w:highlight w:val="yellow"/>
        </w:rPr>
        <w:t xml:space="preserve"> </w:t>
      </w:r>
    </w:p>
    <w:p w:rsidR="000113AC" w:rsidRPr="00AB4F42" w:rsidRDefault="000113AC" w:rsidP="000113AC">
      <w:pPr>
        <w:spacing w:line="276" w:lineRule="auto"/>
        <w:jc w:val="center"/>
        <w:rPr>
          <w:rFonts w:ascii="Palatino Linotype" w:hAnsi="Palatino Linotype"/>
          <w:sz w:val="22"/>
          <w:szCs w:val="22"/>
        </w:rPr>
      </w:pPr>
      <w:r w:rsidRPr="00AB4F42">
        <w:rPr>
          <w:rFonts w:ascii="Palatino Linotype" w:hAnsi="Palatino Linotype"/>
          <w:sz w:val="22"/>
          <w:szCs w:val="22"/>
        </w:rPr>
        <w:t>Abg. Pablo Santillán Paredes</w:t>
      </w:r>
    </w:p>
    <w:p w:rsidR="000113AC" w:rsidRPr="00AB4F42" w:rsidRDefault="000113AC" w:rsidP="000113AC">
      <w:pPr>
        <w:spacing w:line="276" w:lineRule="auto"/>
        <w:jc w:val="center"/>
        <w:rPr>
          <w:rFonts w:ascii="Palatino Linotype" w:eastAsia="Calibri" w:hAnsi="Palatino Linotype"/>
          <w:b/>
          <w:sz w:val="22"/>
          <w:szCs w:val="22"/>
          <w:lang w:eastAsia="en-US"/>
        </w:rPr>
      </w:pPr>
      <w:r w:rsidRPr="00AB4F42">
        <w:rPr>
          <w:rFonts w:ascii="Palatino Linotype" w:eastAsia="Calibri" w:hAnsi="Palatino Linotype"/>
          <w:b/>
          <w:sz w:val="22"/>
          <w:szCs w:val="22"/>
          <w:lang w:eastAsia="en-US"/>
        </w:rPr>
        <w:t>SECRETARIO GENERAL DEL CONCEJO METROPOLITANO DE QUITO</w:t>
      </w:r>
    </w:p>
    <w:p w:rsidR="000113AC" w:rsidRPr="00AB4F42" w:rsidRDefault="000113AC" w:rsidP="000113AC">
      <w:pPr>
        <w:pStyle w:val="Sinespaciado"/>
        <w:jc w:val="center"/>
        <w:rPr>
          <w:rFonts w:ascii="Palatino Linotype" w:hAnsi="Palatino Linotype"/>
          <w:b/>
          <w:sz w:val="22"/>
          <w:szCs w:val="22"/>
        </w:rPr>
      </w:pPr>
    </w:p>
    <w:p w:rsidR="000113AC" w:rsidRPr="00AB4F42" w:rsidRDefault="000113AC" w:rsidP="000113AC">
      <w:pPr>
        <w:rPr>
          <w:rFonts w:ascii="Palatino Linotype" w:hAnsi="Palatino Linotype"/>
          <w:sz w:val="22"/>
          <w:szCs w:val="22"/>
        </w:rPr>
      </w:pPr>
    </w:p>
    <w:p w:rsidR="000113AC" w:rsidRPr="00AB4F42" w:rsidRDefault="000113AC" w:rsidP="000113AC">
      <w:pPr>
        <w:rPr>
          <w:rFonts w:ascii="Palatino Linotype" w:hAnsi="Palatino Linotype"/>
          <w:sz w:val="22"/>
          <w:szCs w:val="22"/>
        </w:rPr>
      </w:pPr>
    </w:p>
    <w:p w:rsidR="00A70E2E" w:rsidRPr="00AB4F42" w:rsidRDefault="00A70E2E">
      <w:pPr>
        <w:rPr>
          <w:rFonts w:ascii="Palatino Linotype" w:hAnsi="Palatino Linotype"/>
          <w:sz w:val="22"/>
          <w:szCs w:val="22"/>
        </w:rPr>
      </w:pPr>
    </w:p>
    <w:sectPr w:rsidR="00A70E2E" w:rsidRPr="00AB4F42" w:rsidSect="005D2467">
      <w:headerReference w:type="default" r:id="rId8"/>
      <w:footerReference w:type="default" r:id="rId9"/>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6B9" w:rsidRDefault="00E736B9">
      <w:r>
        <w:separator/>
      </w:r>
    </w:p>
  </w:endnote>
  <w:endnote w:type="continuationSeparator" w:id="0">
    <w:p w:rsidR="00E736B9" w:rsidRDefault="00E7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B43C79">
              <w:rPr>
                <w:rFonts w:ascii="Palatino Linotype" w:hAnsi="Palatino Linotype"/>
                <w:b/>
                <w:bCs/>
                <w:noProof/>
                <w:sz w:val="20"/>
                <w:szCs w:val="20"/>
              </w:rPr>
              <w:t>9</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B43C79">
              <w:rPr>
                <w:rFonts w:ascii="Palatino Linotype" w:hAnsi="Palatino Linotype"/>
                <w:b/>
                <w:bCs/>
                <w:noProof/>
                <w:sz w:val="20"/>
                <w:szCs w:val="20"/>
              </w:rPr>
              <w:t>10</w:t>
            </w:r>
            <w:r w:rsidRPr="00707DE5">
              <w:rPr>
                <w:rFonts w:ascii="Palatino Linotype" w:hAnsi="Palatino Linotype"/>
                <w:b/>
                <w:bCs/>
                <w:sz w:val="20"/>
                <w:szCs w:val="20"/>
              </w:rPr>
              <w:fldChar w:fldCharType="end"/>
            </w:r>
          </w:p>
          <w:p w:rsidR="005D2467" w:rsidRPr="008479FB" w:rsidRDefault="00E736B9">
            <w:pPr>
              <w:pStyle w:val="Piedepgina"/>
              <w:jc w:val="right"/>
              <w:rPr>
                <w:rFonts w:ascii="Palatino Linotype" w:hAnsi="Palatino Linotype"/>
                <w:sz w:val="20"/>
                <w:szCs w:val="20"/>
              </w:rPr>
            </w:pPr>
          </w:p>
        </w:sdtContent>
      </w:sdt>
    </w:sdtContent>
  </w:sdt>
  <w:p w:rsidR="005D2467" w:rsidRPr="008479FB" w:rsidRDefault="00E736B9">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6B9" w:rsidRDefault="00E736B9">
      <w:r>
        <w:separator/>
      </w:r>
    </w:p>
  </w:footnote>
  <w:footnote w:type="continuationSeparator" w:id="0">
    <w:p w:rsidR="00E736B9" w:rsidRDefault="00E736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E736B9"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E736B9"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E736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A686D"/>
    <w:multiLevelType w:val="hybridMultilevel"/>
    <w:tmpl w:val="D4F2C89C"/>
    <w:lvl w:ilvl="0" w:tplc="575260F4">
      <w:start w:val="1"/>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 w15:restartNumberingAfterBreak="0">
    <w:nsid w:val="7ECF0EB8"/>
    <w:multiLevelType w:val="hybridMultilevel"/>
    <w:tmpl w:val="EE9424D6"/>
    <w:lvl w:ilvl="0" w:tplc="B6403E36">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022D4"/>
    <w:rsid w:val="00007738"/>
    <w:rsid w:val="000113AC"/>
    <w:rsid w:val="000227D8"/>
    <w:rsid w:val="00031C24"/>
    <w:rsid w:val="000320FA"/>
    <w:rsid w:val="000350C3"/>
    <w:rsid w:val="00036C0E"/>
    <w:rsid w:val="00061B14"/>
    <w:rsid w:val="000774E4"/>
    <w:rsid w:val="000B7940"/>
    <w:rsid w:val="000F0D3B"/>
    <w:rsid w:val="000F53A8"/>
    <w:rsid w:val="000F6D87"/>
    <w:rsid w:val="0010315E"/>
    <w:rsid w:val="001203A0"/>
    <w:rsid w:val="00135676"/>
    <w:rsid w:val="0015218A"/>
    <w:rsid w:val="00162AB0"/>
    <w:rsid w:val="0016751B"/>
    <w:rsid w:val="0018204A"/>
    <w:rsid w:val="001A37F6"/>
    <w:rsid w:val="001A6EE6"/>
    <w:rsid w:val="001B7AEB"/>
    <w:rsid w:val="001D43D9"/>
    <w:rsid w:val="001E6BB2"/>
    <w:rsid w:val="001F18A5"/>
    <w:rsid w:val="00202A51"/>
    <w:rsid w:val="00205408"/>
    <w:rsid w:val="002230DD"/>
    <w:rsid w:val="002348D0"/>
    <w:rsid w:val="002435E3"/>
    <w:rsid w:val="002A2313"/>
    <w:rsid w:val="002C0724"/>
    <w:rsid w:val="002D415C"/>
    <w:rsid w:val="002E1BD8"/>
    <w:rsid w:val="002E3F59"/>
    <w:rsid w:val="002F36C3"/>
    <w:rsid w:val="00302DC9"/>
    <w:rsid w:val="003057C1"/>
    <w:rsid w:val="00310B84"/>
    <w:rsid w:val="00311483"/>
    <w:rsid w:val="003144EF"/>
    <w:rsid w:val="003328D7"/>
    <w:rsid w:val="0033369C"/>
    <w:rsid w:val="0034620A"/>
    <w:rsid w:val="00372B0E"/>
    <w:rsid w:val="00377A10"/>
    <w:rsid w:val="00385ABB"/>
    <w:rsid w:val="003B6356"/>
    <w:rsid w:val="003C2719"/>
    <w:rsid w:val="003D00A7"/>
    <w:rsid w:val="00402621"/>
    <w:rsid w:val="004154DB"/>
    <w:rsid w:val="004372D3"/>
    <w:rsid w:val="00437620"/>
    <w:rsid w:val="00440108"/>
    <w:rsid w:val="004518E5"/>
    <w:rsid w:val="00457040"/>
    <w:rsid w:val="00462DF6"/>
    <w:rsid w:val="00462FAA"/>
    <w:rsid w:val="00466396"/>
    <w:rsid w:val="004729F0"/>
    <w:rsid w:val="004860CA"/>
    <w:rsid w:val="00492990"/>
    <w:rsid w:val="00493A79"/>
    <w:rsid w:val="004948A2"/>
    <w:rsid w:val="0049515C"/>
    <w:rsid w:val="004959B7"/>
    <w:rsid w:val="004E4064"/>
    <w:rsid w:val="004F29ED"/>
    <w:rsid w:val="004F35C9"/>
    <w:rsid w:val="0050436B"/>
    <w:rsid w:val="005168D0"/>
    <w:rsid w:val="0053016E"/>
    <w:rsid w:val="00531F8A"/>
    <w:rsid w:val="00563683"/>
    <w:rsid w:val="005839EA"/>
    <w:rsid w:val="00595410"/>
    <w:rsid w:val="005A184C"/>
    <w:rsid w:val="005A421F"/>
    <w:rsid w:val="005C1350"/>
    <w:rsid w:val="005D3154"/>
    <w:rsid w:val="005D7A61"/>
    <w:rsid w:val="005F4329"/>
    <w:rsid w:val="00603459"/>
    <w:rsid w:val="0060408D"/>
    <w:rsid w:val="0060538D"/>
    <w:rsid w:val="00606CEF"/>
    <w:rsid w:val="00606FE2"/>
    <w:rsid w:val="00622D1F"/>
    <w:rsid w:val="00626F33"/>
    <w:rsid w:val="006273BD"/>
    <w:rsid w:val="00630C41"/>
    <w:rsid w:val="00635D5D"/>
    <w:rsid w:val="006378A2"/>
    <w:rsid w:val="00650887"/>
    <w:rsid w:val="00656876"/>
    <w:rsid w:val="006767EB"/>
    <w:rsid w:val="00694D54"/>
    <w:rsid w:val="006A6971"/>
    <w:rsid w:val="006B7792"/>
    <w:rsid w:val="006F2BAD"/>
    <w:rsid w:val="006F621F"/>
    <w:rsid w:val="006F6D18"/>
    <w:rsid w:val="00704417"/>
    <w:rsid w:val="0071323F"/>
    <w:rsid w:val="00722F25"/>
    <w:rsid w:val="00754E1F"/>
    <w:rsid w:val="00757FA6"/>
    <w:rsid w:val="007826F3"/>
    <w:rsid w:val="007845A0"/>
    <w:rsid w:val="007854B8"/>
    <w:rsid w:val="00796E58"/>
    <w:rsid w:val="007A0C2D"/>
    <w:rsid w:val="007A32EC"/>
    <w:rsid w:val="007E076B"/>
    <w:rsid w:val="00804DD4"/>
    <w:rsid w:val="00822F01"/>
    <w:rsid w:val="008339CB"/>
    <w:rsid w:val="00842941"/>
    <w:rsid w:val="0085024D"/>
    <w:rsid w:val="008532E8"/>
    <w:rsid w:val="008824AD"/>
    <w:rsid w:val="008A28F7"/>
    <w:rsid w:val="008E2C34"/>
    <w:rsid w:val="00902F65"/>
    <w:rsid w:val="009061F9"/>
    <w:rsid w:val="009441E9"/>
    <w:rsid w:val="00967D02"/>
    <w:rsid w:val="00971DAC"/>
    <w:rsid w:val="009906BE"/>
    <w:rsid w:val="00993BBD"/>
    <w:rsid w:val="009C51D6"/>
    <w:rsid w:val="009C7AA1"/>
    <w:rsid w:val="009D1665"/>
    <w:rsid w:val="009D3508"/>
    <w:rsid w:val="009E24D4"/>
    <w:rsid w:val="009E4E92"/>
    <w:rsid w:val="009F4D04"/>
    <w:rsid w:val="00A05387"/>
    <w:rsid w:val="00A3193F"/>
    <w:rsid w:val="00A37080"/>
    <w:rsid w:val="00A43B85"/>
    <w:rsid w:val="00A53CCA"/>
    <w:rsid w:val="00A61A87"/>
    <w:rsid w:val="00A65E22"/>
    <w:rsid w:val="00A666D4"/>
    <w:rsid w:val="00A70E2E"/>
    <w:rsid w:val="00A71C45"/>
    <w:rsid w:val="00A943F0"/>
    <w:rsid w:val="00AB4F42"/>
    <w:rsid w:val="00AD76F0"/>
    <w:rsid w:val="00AD7AF2"/>
    <w:rsid w:val="00AE729F"/>
    <w:rsid w:val="00AF1FF5"/>
    <w:rsid w:val="00B14162"/>
    <w:rsid w:val="00B34FBC"/>
    <w:rsid w:val="00B43C79"/>
    <w:rsid w:val="00B456A6"/>
    <w:rsid w:val="00B52FC7"/>
    <w:rsid w:val="00B82081"/>
    <w:rsid w:val="00B9427A"/>
    <w:rsid w:val="00BD7F4E"/>
    <w:rsid w:val="00BE06CC"/>
    <w:rsid w:val="00C024F2"/>
    <w:rsid w:val="00C167C7"/>
    <w:rsid w:val="00C17E6F"/>
    <w:rsid w:val="00C21EBF"/>
    <w:rsid w:val="00C31F94"/>
    <w:rsid w:val="00C37F48"/>
    <w:rsid w:val="00C45A11"/>
    <w:rsid w:val="00C55EC2"/>
    <w:rsid w:val="00C6101F"/>
    <w:rsid w:val="00C61696"/>
    <w:rsid w:val="00C70B8C"/>
    <w:rsid w:val="00C76811"/>
    <w:rsid w:val="00C92ED6"/>
    <w:rsid w:val="00CA6437"/>
    <w:rsid w:val="00CC57B0"/>
    <w:rsid w:val="00CC6BBC"/>
    <w:rsid w:val="00CC778F"/>
    <w:rsid w:val="00CD56D1"/>
    <w:rsid w:val="00CD584F"/>
    <w:rsid w:val="00CF122E"/>
    <w:rsid w:val="00CF561D"/>
    <w:rsid w:val="00CF723B"/>
    <w:rsid w:val="00D0344A"/>
    <w:rsid w:val="00D05C6B"/>
    <w:rsid w:val="00D150C1"/>
    <w:rsid w:val="00D24C41"/>
    <w:rsid w:val="00D25050"/>
    <w:rsid w:val="00D46EAD"/>
    <w:rsid w:val="00D50F32"/>
    <w:rsid w:val="00D71BB9"/>
    <w:rsid w:val="00D72874"/>
    <w:rsid w:val="00D834DC"/>
    <w:rsid w:val="00D90E77"/>
    <w:rsid w:val="00DA62CE"/>
    <w:rsid w:val="00DA6F40"/>
    <w:rsid w:val="00DB6B46"/>
    <w:rsid w:val="00DC7143"/>
    <w:rsid w:val="00DF169C"/>
    <w:rsid w:val="00DF190B"/>
    <w:rsid w:val="00E03F8B"/>
    <w:rsid w:val="00E0537E"/>
    <w:rsid w:val="00E26386"/>
    <w:rsid w:val="00E31911"/>
    <w:rsid w:val="00E326D5"/>
    <w:rsid w:val="00E57737"/>
    <w:rsid w:val="00E661F9"/>
    <w:rsid w:val="00E736B9"/>
    <w:rsid w:val="00E75599"/>
    <w:rsid w:val="00E969BE"/>
    <w:rsid w:val="00EA3F70"/>
    <w:rsid w:val="00EB28B4"/>
    <w:rsid w:val="00ED0FE0"/>
    <w:rsid w:val="00F04EEE"/>
    <w:rsid w:val="00F112C0"/>
    <w:rsid w:val="00F1475B"/>
    <w:rsid w:val="00F23370"/>
    <w:rsid w:val="00F348A6"/>
    <w:rsid w:val="00F56D45"/>
    <w:rsid w:val="00F57398"/>
    <w:rsid w:val="00F66680"/>
    <w:rsid w:val="00F7765D"/>
    <w:rsid w:val="00F94C56"/>
    <w:rsid w:val="00FA379F"/>
    <w:rsid w:val="00FD011C"/>
    <w:rsid w:val="00FF7D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E7F4"/>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 w:type="table" w:styleId="Tablaconcuadrcula">
    <w:name w:val="Table Grid"/>
    <w:basedOn w:val="Tablanormal"/>
    <w:uiPriority w:val="59"/>
    <w:rsid w:val="00AF1F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344A"/>
    <w:pPr>
      <w:ind w:left="720"/>
      <w:contextualSpacing/>
    </w:pPr>
    <w:rPr>
      <w:lang w:val="es-ES" w:eastAsia="es-ES"/>
    </w:rPr>
  </w:style>
  <w:style w:type="character" w:customStyle="1" w:styleId="markedcontent">
    <w:name w:val="markedcontent"/>
    <w:basedOn w:val="Fuentedeprrafopredeter"/>
    <w:rsid w:val="00563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10</Pages>
  <Words>3592</Words>
  <Characters>19762</Characters>
  <Application>Microsoft Office Word</Application>
  <DocSecurity>0</DocSecurity>
  <Lines>164</Lines>
  <Paragraphs>46</Paragraphs>
  <ScaleCrop>false</ScaleCrop>
  <Company>HP Inc.</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493</cp:revision>
  <dcterms:created xsi:type="dcterms:W3CDTF">2022-08-17T20:37:00Z</dcterms:created>
  <dcterms:modified xsi:type="dcterms:W3CDTF">2022-11-10T20:54:00Z</dcterms:modified>
</cp:coreProperties>
</file>