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3AC" w:rsidRPr="00DA6F40"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r w:rsidRPr="00DA6F40">
        <w:rPr>
          <w:rFonts w:ascii="Palatino Linotype" w:eastAsiaTheme="minorHAnsi" w:hAnsi="Palatino Linotype"/>
          <w:b/>
          <w:sz w:val="22"/>
          <w:szCs w:val="22"/>
          <w:lang w:eastAsia="en-US"/>
        </w:rPr>
        <w:t>EL CONCEJO METROPOLITANO DE QUITO</w:t>
      </w:r>
    </w:p>
    <w:p w:rsidR="000113AC" w:rsidRPr="00DA6F40"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p>
    <w:p w:rsidR="000113AC" w:rsidRPr="00DA6F40"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r w:rsidRPr="00DA6F40">
        <w:rPr>
          <w:rFonts w:ascii="Palatino Linotype" w:eastAsiaTheme="minorHAnsi" w:hAnsi="Palatino Linotype"/>
          <w:b/>
          <w:sz w:val="22"/>
          <w:szCs w:val="22"/>
          <w:lang w:eastAsia="en-US"/>
        </w:rPr>
        <w:t>CONSIDERANDO:</w:t>
      </w:r>
    </w:p>
    <w:p w:rsidR="000113AC" w:rsidRPr="00DA6F40" w:rsidRDefault="000113AC" w:rsidP="000113AC">
      <w:pPr>
        <w:autoSpaceDE w:val="0"/>
        <w:autoSpaceDN w:val="0"/>
        <w:adjustRightInd w:val="0"/>
        <w:ind w:left="705" w:hanging="705"/>
        <w:jc w:val="both"/>
        <w:rPr>
          <w:rFonts w:ascii="Palatino Linotype" w:eastAsiaTheme="minorHAnsi" w:hAnsi="Palatino Linotype"/>
          <w:i/>
          <w:iCs/>
          <w:sz w:val="22"/>
          <w:szCs w:val="22"/>
          <w:lang w:eastAsia="en-US"/>
        </w:rPr>
      </w:pPr>
      <w:r w:rsidRPr="00DA6F40">
        <w:rPr>
          <w:rFonts w:ascii="Palatino Linotype" w:eastAsiaTheme="minorHAnsi" w:hAnsi="Palatino Linotype"/>
          <w:b/>
          <w:bCs/>
          <w:sz w:val="22"/>
          <w:szCs w:val="22"/>
          <w:lang w:eastAsia="en-US"/>
        </w:rPr>
        <w:t>Que</w:t>
      </w:r>
      <w:r w:rsidRPr="00DA6F40">
        <w:rPr>
          <w:rFonts w:ascii="Palatino Linotype" w:eastAsiaTheme="minorHAnsi" w:hAnsi="Palatino Linotype"/>
          <w:sz w:val="22"/>
          <w:szCs w:val="22"/>
          <w:lang w:eastAsia="en-US"/>
        </w:rPr>
        <w:t xml:space="preserve">, </w:t>
      </w:r>
      <w:r w:rsidRPr="00DA6F40">
        <w:rPr>
          <w:rFonts w:ascii="Palatino Linotype" w:eastAsiaTheme="minorHAnsi" w:hAnsi="Palatino Linotype"/>
          <w:sz w:val="22"/>
          <w:szCs w:val="22"/>
          <w:lang w:eastAsia="en-US"/>
        </w:rPr>
        <w:tab/>
        <w:t xml:space="preserve"> el artículo 240 de la Constitución de República del Ecuador, en adelante Constitución, establece: “</w:t>
      </w:r>
      <w:r w:rsidRPr="00DA6F40">
        <w:rPr>
          <w:rFonts w:ascii="Palatino Linotype" w:eastAsiaTheme="minorHAnsi" w:hAnsi="Palatino Linotype"/>
          <w:i/>
          <w:iCs/>
          <w:sz w:val="22"/>
          <w:szCs w:val="22"/>
          <w:lang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DA6F40">
        <w:rPr>
          <w:rFonts w:ascii="Palatino Linotype" w:eastAsiaTheme="minorHAnsi" w:hAnsi="Palatino Linotype"/>
          <w:b/>
          <w:sz w:val="22"/>
          <w:szCs w:val="22"/>
          <w:lang w:eastAsia="en-US"/>
        </w:rPr>
        <w:t>Que,</w:t>
      </w:r>
      <w:r w:rsidRPr="00DA6F40">
        <w:rPr>
          <w:rFonts w:ascii="Palatino Linotype" w:eastAsiaTheme="minorHAnsi" w:hAnsi="Palatino Linotype"/>
          <w:sz w:val="22"/>
          <w:szCs w:val="22"/>
          <w:lang w:eastAsia="en-US"/>
        </w:rPr>
        <w:t xml:space="preserve"> </w:t>
      </w:r>
      <w:r w:rsidRPr="00DA6F40">
        <w:rPr>
          <w:rFonts w:ascii="Palatino Linotype" w:eastAsiaTheme="minorHAnsi" w:hAnsi="Palatino Linotype"/>
          <w:sz w:val="22"/>
          <w:szCs w:val="22"/>
          <w:lang w:eastAsia="en-US"/>
        </w:rPr>
        <w:tab/>
        <w:t xml:space="preserve">la Constitución de la República del Ecuador en su artículo 266, determina: </w:t>
      </w:r>
      <w:r w:rsidRPr="00DA6F40">
        <w:rPr>
          <w:rFonts w:ascii="Palatino Linotype" w:eastAsiaTheme="minorHAnsi" w:hAnsi="Palatino Linotype"/>
          <w:i/>
          <w:sz w:val="22"/>
          <w:szCs w:val="22"/>
          <w:lang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DA6F40">
        <w:rPr>
          <w:rFonts w:ascii="Palatino Linotype" w:eastAsiaTheme="minorHAnsi" w:hAnsi="Palatino Linotype"/>
          <w:sz w:val="22"/>
          <w:szCs w:val="22"/>
          <w:lang w:eastAsia="en-US"/>
        </w:rPr>
        <w:t>;</w:t>
      </w: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ind w:left="709" w:hanging="709"/>
        <w:jc w:val="both"/>
        <w:rPr>
          <w:rFonts w:ascii="Palatino Linotype" w:eastAsiaTheme="minorHAnsi" w:hAnsi="Palatino Linotype"/>
          <w:i/>
          <w:sz w:val="22"/>
          <w:szCs w:val="22"/>
          <w:lang w:eastAsia="en-US"/>
        </w:rPr>
      </w:pPr>
      <w:r w:rsidRPr="00DA6F40">
        <w:rPr>
          <w:rFonts w:ascii="Palatino Linotype" w:eastAsiaTheme="minorHAnsi" w:hAnsi="Palatino Linotype"/>
          <w:b/>
          <w:bCs/>
          <w:sz w:val="22"/>
          <w:szCs w:val="22"/>
          <w:lang w:eastAsia="en-US"/>
        </w:rPr>
        <w:t>Que,</w:t>
      </w:r>
      <w:r w:rsidRPr="00DA6F40">
        <w:rPr>
          <w:rFonts w:ascii="Palatino Linotype" w:eastAsiaTheme="minorHAnsi" w:hAnsi="Palatino Linotype"/>
          <w:sz w:val="22"/>
          <w:szCs w:val="22"/>
          <w:lang w:eastAsia="en-US"/>
        </w:rPr>
        <w:t xml:space="preserve"> el literal c) del artículo 84, del Código Orgánico de Organización Territorial, Autonomía y Descentralización, en adelante COOTAD, manifiesta: </w:t>
      </w:r>
      <w:r w:rsidRPr="00DA6F40">
        <w:rPr>
          <w:rFonts w:ascii="Palatino Linotype" w:eastAsiaTheme="minorHAnsi" w:hAnsi="Palatino Linotype"/>
          <w:i/>
          <w:sz w:val="22"/>
          <w:szCs w:val="22"/>
          <w:lang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DA6F40">
        <w:rPr>
          <w:rFonts w:ascii="Palatino Linotype" w:eastAsiaTheme="minorHAnsi" w:hAnsi="Palatino Linotype"/>
          <w:b/>
          <w:sz w:val="22"/>
          <w:szCs w:val="22"/>
          <w:lang w:eastAsia="en-US"/>
        </w:rPr>
        <w:t>Que,</w:t>
      </w:r>
      <w:r w:rsidRPr="00DA6F40">
        <w:rPr>
          <w:rFonts w:ascii="Palatino Linotype" w:eastAsiaTheme="minorHAnsi" w:hAnsi="Palatino Linotype"/>
          <w:sz w:val="22"/>
          <w:szCs w:val="22"/>
          <w:lang w:eastAsia="en-US"/>
        </w:rPr>
        <w:t xml:space="preserve"> </w:t>
      </w:r>
      <w:r w:rsidRPr="00DA6F40">
        <w:rPr>
          <w:rFonts w:ascii="Palatino Linotype" w:eastAsiaTheme="minorHAnsi" w:hAnsi="Palatino Linotype"/>
          <w:sz w:val="22"/>
          <w:szCs w:val="22"/>
          <w:lang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DA6F40">
        <w:rPr>
          <w:rFonts w:ascii="Palatino Linotype" w:eastAsiaTheme="minorHAnsi" w:hAnsi="Palatino Linotype"/>
          <w:b/>
          <w:sz w:val="22"/>
          <w:szCs w:val="22"/>
          <w:lang w:eastAsia="en-US"/>
        </w:rPr>
        <w:t>Que,</w:t>
      </w:r>
      <w:r w:rsidRPr="00DA6F40">
        <w:rPr>
          <w:rFonts w:ascii="Palatino Linotype" w:eastAsiaTheme="minorHAnsi" w:hAnsi="Palatino Linotype"/>
          <w:sz w:val="22"/>
          <w:szCs w:val="22"/>
          <w:lang w:eastAsia="en-US"/>
        </w:rPr>
        <w:t xml:space="preserve"> </w:t>
      </w:r>
      <w:r w:rsidRPr="00DA6F40">
        <w:rPr>
          <w:rFonts w:ascii="Palatino Linotype" w:eastAsiaTheme="minorHAnsi" w:hAnsi="Palatino Linotype"/>
          <w:sz w:val="22"/>
          <w:szCs w:val="22"/>
          <w:lang w:eastAsia="en-US"/>
        </w:rPr>
        <w:tab/>
        <w:t xml:space="preserve">conforme establece el artículo 87, literal v) del COOTAD, al Concejo Metropolitano le corresponde: </w:t>
      </w:r>
      <w:r w:rsidRPr="00DA6F40">
        <w:rPr>
          <w:rFonts w:ascii="Palatino Linotype" w:eastAsiaTheme="minorHAnsi" w:hAnsi="Palatino Linotype"/>
          <w:i/>
          <w:sz w:val="22"/>
          <w:szCs w:val="22"/>
          <w:lang w:eastAsia="en-US"/>
        </w:rPr>
        <w:t>“… v) Regular y controlar el uso del suelo en el territorio del distrito metropolitano, de conformidad con las leyes sobre la materia, y establecer el régimen urbanístico de la tierra”;</w:t>
      </w:r>
      <w:r w:rsidRPr="00DA6F40">
        <w:rPr>
          <w:rFonts w:ascii="Palatino Linotype" w:eastAsiaTheme="minorHAnsi" w:hAnsi="Palatino Linotype"/>
          <w:sz w:val="22"/>
          <w:szCs w:val="22"/>
          <w:lang w:eastAsia="en-US"/>
        </w:rPr>
        <w:t xml:space="preserve"> </w:t>
      </w: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ind w:left="709" w:hanging="709"/>
        <w:jc w:val="both"/>
        <w:rPr>
          <w:rFonts w:ascii="Palatino Linotype" w:eastAsiaTheme="minorHAnsi" w:hAnsi="Palatino Linotype"/>
          <w:i/>
          <w:iCs/>
          <w:sz w:val="22"/>
          <w:szCs w:val="22"/>
          <w:lang w:eastAsia="en-US"/>
        </w:rPr>
      </w:pPr>
      <w:r w:rsidRPr="00DA6F40">
        <w:rPr>
          <w:rFonts w:ascii="Palatino Linotype" w:eastAsiaTheme="minorHAnsi" w:hAnsi="Palatino Linotype"/>
          <w:sz w:val="22"/>
          <w:szCs w:val="22"/>
          <w:lang w:eastAsia="en-US"/>
        </w:rPr>
        <w:t xml:space="preserve">Que, </w:t>
      </w:r>
      <w:r w:rsidRPr="00DA6F40">
        <w:rPr>
          <w:rFonts w:ascii="Palatino Linotype" w:eastAsiaTheme="minorHAnsi" w:hAnsi="Palatino Linotype"/>
          <w:sz w:val="22"/>
          <w:szCs w:val="22"/>
          <w:lang w:eastAsia="en-US"/>
        </w:rPr>
        <w:tab/>
        <w:t>el artículo 323 del COOTAD establece: “</w:t>
      </w:r>
      <w:r w:rsidRPr="00DA6F40">
        <w:rPr>
          <w:rFonts w:ascii="Palatino Linotype" w:eastAsiaTheme="minorHAnsi" w:hAnsi="Palatino Linotype"/>
          <w:i/>
          <w:iCs/>
          <w:sz w:val="22"/>
          <w:szCs w:val="22"/>
          <w:lang w:eastAsia="en-US"/>
        </w:rPr>
        <w:t xml:space="preserve">Aprobación de otros actos normativos.- El órgano normativo del respectivo gobierno autónomo descentralizado podrá expedir además, acuerdos y resoluciones sobre temas que tengan carácter especial o específico, los que serán aprobados </w:t>
      </w:r>
      <w:r w:rsidRPr="00DA6F40">
        <w:rPr>
          <w:rFonts w:ascii="Palatino Linotype" w:eastAsiaTheme="minorHAnsi" w:hAnsi="Palatino Linotype"/>
          <w:i/>
          <w:iCs/>
          <w:sz w:val="22"/>
          <w:szCs w:val="22"/>
          <w:lang w:eastAsia="en-US"/>
        </w:rPr>
        <w:lastRenderedPageBreak/>
        <w:t>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DA6F40">
        <w:rPr>
          <w:rFonts w:ascii="Palatino Linotype" w:eastAsiaTheme="minorHAnsi" w:hAnsi="Palatino Linotype"/>
          <w:b/>
          <w:sz w:val="22"/>
          <w:szCs w:val="22"/>
          <w:lang w:eastAsia="en-US"/>
        </w:rPr>
        <w:t>Que,</w:t>
      </w:r>
      <w:r w:rsidRPr="00DA6F40">
        <w:rPr>
          <w:rFonts w:ascii="Palatino Linotype" w:eastAsiaTheme="minorHAnsi" w:hAnsi="Palatino Linotype"/>
          <w:sz w:val="22"/>
          <w:szCs w:val="22"/>
          <w:lang w:eastAsia="en-US"/>
        </w:rPr>
        <w:t xml:space="preserve"> 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DA6F40">
        <w:rPr>
          <w:rFonts w:ascii="Palatino Linotype" w:eastAsiaTheme="minorHAnsi" w:hAnsi="Palatino Linotype"/>
          <w:b/>
          <w:sz w:val="22"/>
          <w:szCs w:val="22"/>
          <w:lang w:eastAsia="en-US"/>
        </w:rPr>
        <w:t>Que,</w:t>
      </w:r>
      <w:r w:rsidRPr="00DA6F40">
        <w:rPr>
          <w:rFonts w:ascii="Palatino Linotype" w:eastAsiaTheme="minorHAnsi" w:hAnsi="Palatino Linotype"/>
          <w:sz w:val="22"/>
          <w:szCs w:val="22"/>
          <w:lang w:eastAsia="en-US"/>
        </w:rPr>
        <w:t xml:space="preserve"> el artículo 424 del COOTAD señala: </w:t>
      </w:r>
      <w:r w:rsidRPr="00DA6F40">
        <w:rPr>
          <w:rFonts w:ascii="Palatino Linotype" w:eastAsiaTheme="minorHAnsi" w:hAnsi="Palatino Linotype"/>
          <w:i/>
          <w:sz w:val="22"/>
          <w:szCs w:val="22"/>
          <w:lang w:eastAsia="en-US"/>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DA6F40">
        <w:rPr>
          <w:rFonts w:ascii="Palatino Linotype" w:eastAsiaTheme="minorHAnsi" w:hAnsi="Palatino Linotype"/>
          <w:b/>
          <w:sz w:val="22"/>
          <w:szCs w:val="22"/>
          <w:lang w:eastAsia="en-US"/>
        </w:rPr>
        <w:t>Que,</w:t>
      </w:r>
      <w:r w:rsidRPr="00DA6F40">
        <w:rPr>
          <w:rFonts w:ascii="Palatino Linotype" w:eastAsiaTheme="minorHAnsi" w:hAnsi="Palatino Linotype"/>
          <w:sz w:val="22"/>
          <w:szCs w:val="22"/>
          <w:lang w:eastAsia="en-US"/>
        </w:rPr>
        <w:t xml:space="preserve"> el artículo 472 del COOTAD señala que: </w:t>
      </w:r>
      <w:r w:rsidRPr="00DA6F40">
        <w:rPr>
          <w:rFonts w:ascii="Palatino Linotype" w:eastAsiaTheme="minorHAnsi" w:hAnsi="Palatino Linotype"/>
          <w:i/>
          <w:sz w:val="22"/>
          <w:szCs w:val="22"/>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DA6F40">
        <w:rPr>
          <w:rFonts w:ascii="Palatino Linotype" w:eastAsiaTheme="minorHAnsi" w:hAnsi="Palatino Linotype"/>
          <w:sz w:val="22"/>
          <w:szCs w:val="22"/>
          <w:lang w:eastAsia="en-US"/>
        </w:rPr>
        <w:t>;</w:t>
      </w: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DA6F40">
        <w:rPr>
          <w:rFonts w:ascii="Palatino Linotype" w:eastAsiaTheme="minorHAnsi" w:hAnsi="Palatino Linotype"/>
          <w:b/>
          <w:sz w:val="22"/>
          <w:szCs w:val="22"/>
          <w:lang w:eastAsia="en-US"/>
        </w:rPr>
        <w:t>Que,</w:t>
      </w:r>
      <w:r w:rsidRPr="00DA6F40">
        <w:rPr>
          <w:rFonts w:ascii="Palatino Linotype" w:eastAsiaTheme="minorHAnsi" w:hAnsi="Palatino Linotype"/>
          <w:sz w:val="22"/>
          <w:szCs w:val="22"/>
          <w:lang w:eastAsia="en-US"/>
        </w:rPr>
        <w:t xml:space="preserve"> el artículo 2410 del el Código Civil Ecuatoriano determina que: </w:t>
      </w:r>
      <w:r w:rsidRPr="00DA6F40">
        <w:rPr>
          <w:rFonts w:ascii="Palatino Linotype" w:eastAsiaTheme="minorHAnsi" w:hAnsi="Palatino Linotype"/>
          <w:i/>
          <w:sz w:val="22"/>
          <w:szCs w:val="22"/>
          <w:lang w:eastAsia="en-US"/>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 </w:t>
      </w: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jc w:val="both"/>
        <w:rPr>
          <w:rFonts w:ascii="Palatino Linotype" w:hAnsi="Palatino Linotype"/>
          <w:sz w:val="22"/>
          <w:szCs w:val="22"/>
        </w:rPr>
      </w:pPr>
    </w:p>
    <w:p w:rsidR="000113AC" w:rsidRPr="00DA6F40"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r w:rsidRPr="00DA6F40">
        <w:rPr>
          <w:rFonts w:ascii="Palatino Linotype" w:eastAsiaTheme="minorHAnsi" w:hAnsi="Palatino Linotype"/>
          <w:sz w:val="22"/>
          <w:szCs w:val="22"/>
          <w:lang w:eastAsia="en-US"/>
        </w:rPr>
        <w:lastRenderedPageBreak/>
        <w:t>Que,</w:t>
      </w:r>
      <w:r w:rsidRPr="00DA6F40">
        <w:rPr>
          <w:rFonts w:ascii="Palatino Linotype" w:eastAsiaTheme="minorHAnsi" w:hAnsi="Palatino Linotype"/>
          <w:sz w:val="22"/>
          <w:szCs w:val="22"/>
          <w:lang w:eastAsia="en-US"/>
        </w:rPr>
        <w:tab/>
        <w:t>el numeral 1, del artículo 2 de la Ley de Régimen para el Distrito Metropolitano de Quito, determina, como finalidad, que el Municipio del Distrito Metropolitano de Quito: “</w:t>
      </w:r>
      <w:r w:rsidRPr="00DA6F40">
        <w:rPr>
          <w:rFonts w:ascii="Palatino Linotype" w:eastAsiaTheme="minorHAnsi" w:hAnsi="Palatino Linotype"/>
          <w:i/>
          <w:iCs/>
          <w:sz w:val="22"/>
          <w:szCs w:val="22"/>
          <w:lang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DA6F40">
        <w:rPr>
          <w:rFonts w:ascii="Palatino Linotype" w:eastAsiaTheme="minorHAnsi" w:hAnsi="Palatino Linotype"/>
          <w:sz w:val="22"/>
          <w:szCs w:val="22"/>
          <w:lang w:eastAsia="en-US"/>
        </w:rPr>
        <w:t>;</w:t>
      </w: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spacing w:line="276" w:lineRule="auto"/>
        <w:ind w:left="709" w:hanging="709"/>
        <w:jc w:val="both"/>
        <w:rPr>
          <w:rFonts w:ascii="Palatino Linotype" w:hAnsi="Palatino Linotype"/>
          <w:sz w:val="22"/>
          <w:szCs w:val="22"/>
        </w:rPr>
      </w:pPr>
      <w:r w:rsidRPr="00DA6F40">
        <w:rPr>
          <w:rFonts w:ascii="Palatino Linotype" w:eastAsiaTheme="minorHAnsi" w:hAnsi="Palatino Linotype"/>
          <w:b/>
          <w:sz w:val="22"/>
          <w:szCs w:val="22"/>
          <w:lang w:eastAsia="en-US"/>
        </w:rPr>
        <w:t>Que,</w:t>
      </w:r>
      <w:r w:rsidRPr="00DA6F40">
        <w:rPr>
          <w:rFonts w:ascii="Palatino Linotype" w:eastAsiaTheme="minorHAnsi" w:hAnsi="Palatino Linotype"/>
          <w:sz w:val="22"/>
          <w:szCs w:val="22"/>
          <w:lang w:eastAsia="en-US"/>
        </w:rPr>
        <w:t xml:space="preserve"> </w:t>
      </w:r>
      <w:r w:rsidRPr="00DA6F40">
        <w:rPr>
          <w:rFonts w:ascii="Palatino Linotype" w:eastAsiaTheme="minorHAnsi" w:hAnsi="Palatino Linotype"/>
          <w:sz w:val="22"/>
          <w:szCs w:val="22"/>
          <w:lang w:eastAsia="en-US"/>
        </w:rPr>
        <w:tab/>
        <w:t xml:space="preserve">el Código Municipal para el Distrito Metropolitano de Quito, en adelante Código Municipal, en su artículo 2162, numeral 1, establece que: </w:t>
      </w:r>
      <w:r w:rsidRPr="00DA6F40">
        <w:rPr>
          <w:rFonts w:ascii="Palatino Linotype" w:eastAsiaTheme="minorHAnsi" w:hAnsi="Palatino Linotype"/>
          <w:i/>
          <w:sz w:val="22"/>
          <w:szCs w:val="22"/>
          <w:lang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DA6F40">
        <w:rPr>
          <w:rFonts w:ascii="Palatino Linotype" w:hAnsi="Palatino Linotype"/>
          <w:i/>
          <w:sz w:val="22"/>
          <w:szCs w:val="22"/>
        </w:rPr>
        <w:t>”</w:t>
      </w:r>
      <w:r w:rsidRPr="00DA6F40">
        <w:rPr>
          <w:rFonts w:ascii="Palatino Linotype" w:hAnsi="Palatino Linotype"/>
          <w:sz w:val="22"/>
          <w:szCs w:val="22"/>
        </w:rPr>
        <w:t xml:space="preserve">; </w:t>
      </w:r>
    </w:p>
    <w:p w:rsidR="000113AC" w:rsidRPr="00DA6F40" w:rsidRDefault="000113AC" w:rsidP="000113AC">
      <w:pPr>
        <w:autoSpaceDE w:val="0"/>
        <w:autoSpaceDN w:val="0"/>
        <w:adjustRightInd w:val="0"/>
        <w:spacing w:line="276" w:lineRule="auto"/>
        <w:ind w:left="709" w:hanging="709"/>
        <w:jc w:val="both"/>
        <w:rPr>
          <w:rFonts w:ascii="Palatino Linotype" w:hAnsi="Palatino Linotype"/>
          <w:sz w:val="22"/>
          <w:szCs w:val="22"/>
        </w:rPr>
      </w:pP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DA6F40">
        <w:rPr>
          <w:rFonts w:ascii="Palatino Linotype" w:eastAsiaTheme="minorHAnsi" w:hAnsi="Palatino Linotype"/>
          <w:b/>
          <w:sz w:val="22"/>
          <w:szCs w:val="22"/>
          <w:lang w:eastAsia="en-US"/>
        </w:rPr>
        <w:t>Que,</w:t>
      </w:r>
      <w:r w:rsidRPr="00DA6F40">
        <w:rPr>
          <w:rFonts w:ascii="Palatino Linotype" w:eastAsiaTheme="minorHAnsi" w:hAnsi="Palatino Linotype"/>
          <w:sz w:val="22"/>
          <w:szCs w:val="22"/>
          <w:lang w:eastAsia="en-US"/>
        </w:rPr>
        <w:t xml:space="preserve"> </w:t>
      </w:r>
      <w:r w:rsidRPr="00DA6F40">
        <w:rPr>
          <w:rFonts w:ascii="Palatino Linotype" w:eastAsiaTheme="minorHAnsi" w:hAnsi="Palatino Linotype"/>
          <w:sz w:val="22"/>
          <w:szCs w:val="22"/>
          <w:lang w:eastAsia="en-US"/>
        </w:rPr>
        <w:tab/>
        <w:t xml:space="preserve">el Código Municipal en su artículo 2171, establece: </w:t>
      </w:r>
      <w:r w:rsidRPr="00DA6F40">
        <w:rPr>
          <w:rFonts w:ascii="Palatino Linotype" w:eastAsiaTheme="minorHAnsi" w:hAnsi="Palatino Linotype"/>
          <w:i/>
          <w:sz w:val="22"/>
          <w:szCs w:val="22"/>
          <w:lang w:eastAsia="en-US"/>
        </w:rPr>
        <w:t xml:space="preserve">“Supuestos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 Si el área de la sentencia es inferior a 3000.00 m2, la contribución del 15% del área útil adjudicada, se compensará en valor monetario según el avalúo catastral actualizado, cuando sea menor al lote mínimo asignado en la zonificación vigente”;  </w:t>
      </w: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highlight w:val="yellow"/>
          <w:lang w:eastAsia="en-US"/>
        </w:rPr>
      </w:pPr>
    </w:p>
    <w:p w:rsidR="00A65E22" w:rsidRPr="00DD7925" w:rsidRDefault="00B82081" w:rsidP="00A65E22">
      <w:pPr>
        <w:autoSpaceDE w:val="0"/>
        <w:autoSpaceDN w:val="0"/>
        <w:adjustRightInd w:val="0"/>
        <w:jc w:val="both"/>
        <w:rPr>
          <w:rFonts w:ascii="Palatino Linotype" w:hAnsi="Palatino Linotype"/>
          <w:sz w:val="22"/>
          <w:szCs w:val="22"/>
        </w:rPr>
      </w:pPr>
      <w:r>
        <w:rPr>
          <w:rFonts w:ascii="Palatino Linotype" w:eastAsiaTheme="minorHAnsi" w:hAnsi="Palatino Linotype"/>
          <w:b/>
          <w:sz w:val="22"/>
          <w:szCs w:val="22"/>
          <w:lang w:eastAsia="en-US"/>
        </w:rPr>
        <w:t xml:space="preserve">Que, </w:t>
      </w:r>
      <w:r w:rsidR="00A65E22">
        <w:rPr>
          <w:rFonts w:ascii="Palatino Linotype" w:hAnsi="Palatino Linotype"/>
          <w:sz w:val="22"/>
          <w:szCs w:val="22"/>
        </w:rPr>
        <w:t>e</w:t>
      </w:r>
      <w:r w:rsidR="00A65E22" w:rsidRPr="00DD7925">
        <w:rPr>
          <w:rFonts w:ascii="Palatino Linotype" w:hAnsi="Palatino Linotype"/>
          <w:sz w:val="22"/>
          <w:szCs w:val="22"/>
        </w:rPr>
        <w:t>l informe Nro. AZCA-DGT-2022-24, de 04 de mayo de 2022, en la parte pertinente señala:</w:t>
      </w:r>
    </w:p>
    <w:p w:rsidR="00A65E22" w:rsidRPr="00DD7925" w:rsidRDefault="00A65E22" w:rsidP="00A65E22">
      <w:pPr>
        <w:autoSpaceDE w:val="0"/>
        <w:autoSpaceDN w:val="0"/>
        <w:adjustRightInd w:val="0"/>
        <w:jc w:val="both"/>
        <w:rPr>
          <w:rFonts w:ascii="Palatino Linotype" w:hAnsi="Palatino Linotype"/>
          <w:i/>
          <w:sz w:val="22"/>
          <w:szCs w:val="22"/>
        </w:rPr>
      </w:pPr>
    </w:p>
    <w:p w:rsidR="00A65E22" w:rsidRPr="00DD7925" w:rsidRDefault="00A65E22" w:rsidP="00A65E22">
      <w:pPr>
        <w:autoSpaceDE w:val="0"/>
        <w:autoSpaceDN w:val="0"/>
        <w:adjustRightInd w:val="0"/>
        <w:ind w:left="708"/>
        <w:jc w:val="both"/>
        <w:rPr>
          <w:rFonts w:ascii="Palatino Linotype" w:hAnsi="Palatino Linotype"/>
          <w:i/>
          <w:sz w:val="22"/>
          <w:szCs w:val="22"/>
        </w:rPr>
      </w:pPr>
      <w:r w:rsidRPr="00DD7925">
        <w:rPr>
          <w:rFonts w:ascii="Palatino Linotype" w:hAnsi="Palatino Linotype"/>
          <w:b/>
          <w:i/>
          <w:sz w:val="22"/>
          <w:szCs w:val="22"/>
        </w:rPr>
        <w:t>“(…) Sentencia de primer nivel:</w:t>
      </w:r>
      <w:r w:rsidRPr="00DD7925">
        <w:rPr>
          <w:rFonts w:ascii="Palatino Linotype" w:hAnsi="Palatino Linotype"/>
          <w:i/>
          <w:sz w:val="22"/>
          <w:szCs w:val="22"/>
        </w:rPr>
        <w:t xml:space="preserve"> ¨(…) Manuel Baliente, luego de consignar sus generales de libelo inicial, manifiesta que es poseedor del lote de terreno ubicado en el sitio Carretas de la parroquia de Calderón, calle C de la ciudad de Quito, de un área de 895.06 metros cuadrados, comprendido dentro de los siguientes linderos y dimensiones.: NORTE con calle C en 26,60 metros; SUR.- propiedad del Barrio La Eloísa en 26,90 metros: ESTE.- Con propiedad de Luis Alberto García en 33,50 metros y OESTE, con propiedad de Carlos Rojas Chasi en 33,42 metros (…)¨ demanda en juicio ordinario a la COOPERATIVA DE VIVIENDA CUERPO DE BOMBEROS DE QUITO. </w:t>
      </w:r>
    </w:p>
    <w:p w:rsidR="00A65E22" w:rsidRPr="00DD7925" w:rsidRDefault="00A65E22" w:rsidP="00A65E22">
      <w:pPr>
        <w:autoSpaceDE w:val="0"/>
        <w:autoSpaceDN w:val="0"/>
        <w:adjustRightInd w:val="0"/>
        <w:ind w:left="708"/>
        <w:jc w:val="both"/>
        <w:rPr>
          <w:rFonts w:ascii="Palatino Linotype" w:hAnsi="Palatino Linotype"/>
          <w:i/>
          <w:sz w:val="22"/>
          <w:szCs w:val="22"/>
        </w:rPr>
      </w:pPr>
    </w:p>
    <w:p w:rsidR="00A65E22" w:rsidRPr="00DD7925" w:rsidRDefault="00A65E22" w:rsidP="00A65E22">
      <w:pPr>
        <w:autoSpaceDE w:val="0"/>
        <w:autoSpaceDN w:val="0"/>
        <w:adjustRightInd w:val="0"/>
        <w:ind w:left="708"/>
        <w:jc w:val="both"/>
        <w:rPr>
          <w:rFonts w:ascii="Palatino Linotype" w:hAnsi="Palatino Linotype"/>
          <w:i/>
          <w:sz w:val="22"/>
          <w:szCs w:val="22"/>
        </w:rPr>
      </w:pPr>
      <w:r w:rsidRPr="00DD7925">
        <w:rPr>
          <w:rFonts w:ascii="Palatino Linotype" w:hAnsi="Palatino Linotype"/>
          <w:b/>
          <w:i/>
          <w:sz w:val="22"/>
          <w:szCs w:val="22"/>
        </w:rPr>
        <w:t>Sentencia: Resuelve ¨</w:t>
      </w:r>
      <w:r w:rsidRPr="00DD7925">
        <w:rPr>
          <w:rFonts w:ascii="Palatino Linotype" w:hAnsi="Palatino Linotype"/>
          <w:i/>
          <w:sz w:val="22"/>
          <w:szCs w:val="22"/>
        </w:rPr>
        <w:t xml:space="preserve"> (…) se desecha la demanda por falta de Litis consorcio pasiva. Dejándose a salvo el derecho de las partes para ejercer las acciones que le asisten (…) ¨ </w:t>
      </w:r>
    </w:p>
    <w:p w:rsidR="00A65E22" w:rsidRPr="00DD7925" w:rsidRDefault="00A65E22" w:rsidP="00A65E22">
      <w:pPr>
        <w:autoSpaceDE w:val="0"/>
        <w:autoSpaceDN w:val="0"/>
        <w:adjustRightInd w:val="0"/>
        <w:ind w:left="708"/>
        <w:jc w:val="both"/>
        <w:rPr>
          <w:rFonts w:ascii="Palatino Linotype" w:hAnsi="Palatino Linotype"/>
          <w:i/>
          <w:sz w:val="22"/>
          <w:szCs w:val="22"/>
        </w:rPr>
      </w:pPr>
      <w:r w:rsidRPr="00DD7925">
        <w:rPr>
          <w:rFonts w:ascii="Palatino Linotype" w:hAnsi="Palatino Linotype"/>
          <w:b/>
          <w:i/>
          <w:sz w:val="22"/>
          <w:szCs w:val="22"/>
        </w:rPr>
        <w:lastRenderedPageBreak/>
        <w:sym w:font="Symbol" w:char="F0B7"/>
      </w:r>
      <w:r w:rsidRPr="00DD7925">
        <w:rPr>
          <w:rFonts w:ascii="Palatino Linotype" w:hAnsi="Palatino Linotype"/>
          <w:b/>
          <w:i/>
          <w:sz w:val="22"/>
          <w:szCs w:val="22"/>
        </w:rPr>
        <w:t xml:space="preserve"> En segunda instancia:</w:t>
      </w:r>
      <w:r w:rsidRPr="00DD7925">
        <w:rPr>
          <w:rFonts w:ascii="Palatino Linotype" w:hAnsi="Palatino Linotype"/>
          <w:i/>
          <w:sz w:val="22"/>
          <w:szCs w:val="22"/>
        </w:rPr>
        <w:t xml:space="preserve"> Se dicta la providencia poniendo en conocimiento de las partes la recepción del proceso, en el cual al fundamentar el recurso establece de manera concreta, completa y exacta los puntos de discrepancia con el fallo expedido y de disconformidad El Juez ponente, Lopez Caicedo Nancy Ximena del juicio</w:t>
      </w:r>
      <w:r w:rsidRPr="00DD7925">
        <w:rPr>
          <w:rFonts w:ascii="Palatino Linotype" w:hAnsi="Palatino Linotype"/>
          <w:b/>
          <w:i/>
          <w:sz w:val="22"/>
          <w:szCs w:val="22"/>
        </w:rPr>
        <w:t xml:space="preserve"> No. 17324-2013-0515</w:t>
      </w:r>
      <w:r w:rsidRPr="00DD7925">
        <w:rPr>
          <w:rFonts w:ascii="Palatino Linotype" w:hAnsi="Palatino Linotype"/>
          <w:i/>
          <w:sz w:val="22"/>
          <w:szCs w:val="22"/>
        </w:rPr>
        <w:t xml:space="preserve">, de 30 de julio de 2019, determina: ¨El </w:t>
      </w:r>
      <w:r w:rsidRPr="00DD7925">
        <w:rPr>
          <w:rFonts w:ascii="Palatino Linotype" w:hAnsi="Palatino Linotype"/>
          <w:b/>
          <w:i/>
          <w:sz w:val="22"/>
          <w:szCs w:val="22"/>
        </w:rPr>
        <w:t>actor MANUEL VICENTE BALIENTE CUCHIPE</w:t>
      </w:r>
      <w:r w:rsidRPr="00DD7925">
        <w:rPr>
          <w:rFonts w:ascii="Palatino Linotype" w:hAnsi="Palatino Linotype"/>
          <w:i/>
          <w:sz w:val="22"/>
          <w:szCs w:val="22"/>
        </w:rPr>
        <w:t>, fundamenta su recurso de apelación (fs. 23 a 24 y vuelta), expresando que la relación jurídica está determinada, por lo que deviene en improcedente el haber expedido sentencia inhibitoria, en razón de que a quien demando fue el que consta como propietario del inmueble y pide revocar la sentencia y aceptar la demanda, declarando a su favor la prescripción extraordinaria adquisitiva de dominio del inmueble que individualiza en el libelo inicial. (…)¨</w:t>
      </w:r>
    </w:p>
    <w:p w:rsidR="003144EF" w:rsidRPr="00DA6F40" w:rsidRDefault="003144EF" w:rsidP="001A6EE6">
      <w:pPr>
        <w:autoSpaceDE w:val="0"/>
        <w:autoSpaceDN w:val="0"/>
        <w:adjustRightInd w:val="0"/>
        <w:jc w:val="both"/>
        <w:rPr>
          <w:rFonts w:ascii="Palatino Linotype" w:hAnsi="Palatino Linotype"/>
          <w:color w:val="000000" w:themeColor="text1"/>
          <w:sz w:val="22"/>
          <w:szCs w:val="22"/>
          <w:lang w:val="es-ES"/>
        </w:rPr>
      </w:pPr>
    </w:p>
    <w:p w:rsidR="003144EF" w:rsidRPr="00DA6F40" w:rsidRDefault="003144EF" w:rsidP="003144EF">
      <w:pPr>
        <w:autoSpaceDE w:val="0"/>
        <w:autoSpaceDN w:val="0"/>
        <w:adjustRightInd w:val="0"/>
        <w:ind w:left="708" w:hanging="708"/>
        <w:jc w:val="both"/>
        <w:rPr>
          <w:rFonts w:ascii="Palatino Linotype" w:eastAsiaTheme="minorHAnsi" w:hAnsi="Palatino Linotype"/>
          <w:sz w:val="22"/>
          <w:szCs w:val="22"/>
          <w:lang w:eastAsia="en-US"/>
        </w:rPr>
      </w:pPr>
      <w:r w:rsidRPr="00DA6F40">
        <w:rPr>
          <w:rFonts w:ascii="Palatino Linotype" w:eastAsiaTheme="minorHAnsi" w:hAnsi="Palatino Linotype"/>
          <w:b/>
          <w:sz w:val="22"/>
          <w:szCs w:val="22"/>
          <w:lang w:eastAsia="en-US"/>
        </w:rPr>
        <w:t>Que,</w:t>
      </w:r>
      <w:r w:rsidRPr="00DA6F40">
        <w:rPr>
          <w:rFonts w:ascii="Palatino Linotype" w:eastAsiaTheme="minorHAnsi" w:hAnsi="Palatino Linotype"/>
          <w:sz w:val="22"/>
          <w:szCs w:val="22"/>
          <w:lang w:eastAsia="en-US"/>
        </w:rPr>
        <w:t xml:space="preserve"> mediante oficio Nro.</w:t>
      </w:r>
      <w:r w:rsidRPr="00DA6F40">
        <w:rPr>
          <w:rFonts w:ascii="Palatino Linotype" w:hAnsi="Palatino Linotype"/>
          <w:sz w:val="22"/>
          <w:szCs w:val="22"/>
        </w:rPr>
        <w:t xml:space="preserve"> 2950-2010 de 31 de octubre de 2011</w:t>
      </w:r>
      <w:r w:rsidRPr="00DA6F40">
        <w:rPr>
          <w:rFonts w:ascii="Palatino Linotype" w:eastAsiaTheme="minorHAnsi" w:hAnsi="Palatino Linotype"/>
          <w:sz w:val="22"/>
          <w:szCs w:val="22"/>
          <w:lang w:eastAsia="en-US"/>
        </w:rPr>
        <w:t xml:space="preserve"> la Procuraduría Metropolitana emitió un </w:t>
      </w:r>
      <w:r w:rsidRPr="00DA6F40">
        <w:rPr>
          <w:rFonts w:ascii="Palatino Linotype" w:hAnsi="Palatino Linotype"/>
          <w:sz w:val="22"/>
          <w:szCs w:val="22"/>
        </w:rPr>
        <w:t xml:space="preserve">pronunciamiento en forma general, respecto al marco legal y operativo para todos los casos de </w:t>
      </w:r>
      <w:r w:rsidRPr="00DA6F40">
        <w:rPr>
          <w:rFonts w:ascii="Palatino Linotype" w:eastAsiaTheme="minorHAnsi" w:hAnsi="Palatino Linotype"/>
          <w:sz w:val="22"/>
          <w:szCs w:val="22"/>
          <w:lang w:eastAsia="en-US"/>
        </w:rPr>
        <w:t>prescripción extraordinaria adquisitiva de dominio;</w:t>
      </w:r>
    </w:p>
    <w:p w:rsidR="00372B0E" w:rsidRDefault="00372B0E" w:rsidP="00372B0E">
      <w:pPr>
        <w:autoSpaceDE w:val="0"/>
        <w:autoSpaceDN w:val="0"/>
        <w:adjustRightInd w:val="0"/>
        <w:spacing w:line="276" w:lineRule="auto"/>
        <w:ind w:left="708" w:hanging="708"/>
        <w:jc w:val="both"/>
        <w:rPr>
          <w:rFonts w:ascii="Palatino Linotype" w:hAnsi="Palatino Linotype"/>
          <w:i/>
          <w:sz w:val="22"/>
          <w:szCs w:val="22"/>
        </w:rPr>
      </w:pPr>
    </w:p>
    <w:p w:rsidR="00822F01" w:rsidRPr="00DA6F40" w:rsidRDefault="00822F01" w:rsidP="00822F01">
      <w:pPr>
        <w:pStyle w:val="Default"/>
        <w:ind w:left="708" w:hanging="708"/>
        <w:jc w:val="both"/>
        <w:rPr>
          <w:sz w:val="22"/>
          <w:szCs w:val="22"/>
        </w:rPr>
      </w:pPr>
      <w:r w:rsidRPr="00822F01">
        <w:rPr>
          <w:b/>
          <w:sz w:val="22"/>
          <w:szCs w:val="22"/>
        </w:rPr>
        <w:t xml:space="preserve">Que, </w:t>
      </w:r>
      <w:r w:rsidRPr="00DA6F40">
        <w:rPr>
          <w:sz w:val="22"/>
          <w:szCs w:val="22"/>
        </w:rPr>
        <w:t xml:space="preserve">mediante oficio </w:t>
      </w:r>
      <w:r>
        <w:rPr>
          <w:sz w:val="22"/>
          <w:szCs w:val="22"/>
        </w:rPr>
        <w:t xml:space="preserve">No. </w:t>
      </w:r>
      <w:r w:rsidRPr="00DA6F40">
        <w:rPr>
          <w:sz w:val="22"/>
          <w:szCs w:val="22"/>
        </w:rPr>
        <w:t>GADDMQ-PM-2021-0396-O de 29 de enero de 2021, el Dr. Edison Yépez Vinueza, Subp</w:t>
      </w:r>
      <w:r>
        <w:rPr>
          <w:sz w:val="22"/>
          <w:szCs w:val="22"/>
        </w:rPr>
        <w:t xml:space="preserve">rocurador Metropolitano, señala: </w:t>
      </w:r>
      <w:r w:rsidRPr="00DA6F40">
        <w:rPr>
          <w:sz w:val="22"/>
          <w:szCs w:val="22"/>
        </w:rPr>
        <w:t xml:space="preserve"> </w:t>
      </w:r>
    </w:p>
    <w:p w:rsidR="00822F01" w:rsidRPr="00DA6F40" w:rsidRDefault="00822F01" w:rsidP="00822F01">
      <w:pPr>
        <w:tabs>
          <w:tab w:val="left" w:pos="426"/>
        </w:tabs>
        <w:ind w:left="1416" w:right="566"/>
        <w:jc w:val="both"/>
        <w:rPr>
          <w:rFonts w:ascii="Palatino Linotype" w:hAnsi="Palatino Linotype"/>
          <w:i/>
          <w:sz w:val="22"/>
          <w:szCs w:val="22"/>
        </w:rPr>
      </w:pPr>
    </w:p>
    <w:p w:rsidR="00822F01" w:rsidRPr="00DA6F40" w:rsidRDefault="00822F01" w:rsidP="00822F01">
      <w:pPr>
        <w:tabs>
          <w:tab w:val="left" w:pos="284"/>
        </w:tabs>
        <w:ind w:left="708"/>
        <w:jc w:val="both"/>
        <w:rPr>
          <w:rFonts w:ascii="Palatino Linotype" w:hAnsi="Palatino Linotype"/>
          <w:i/>
          <w:sz w:val="22"/>
          <w:szCs w:val="22"/>
        </w:rPr>
      </w:pPr>
      <w:r w:rsidRPr="00DA6F40">
        <w:rPr>
          <w:rFonts w:ascii="Palatino Linotype" w:hAnsi="Palatino Linotype"/>
          <w:i/>
          <w:sz w:val="22"/>
          <w:szCs w:val="22"/>
        </w:rPr>
        <w:t>“(…) Mediante oficio No. 2950-2010 de 31 de octubre de 2011, la Procuraduría Metropolitana absuelve la consulta planteada por la Secretaría de Coordinación Territorial y Participación Ciudadana, para los casos de fraccionamiento producidos a causa de las sentencias dictadas en juicios de prescripción adquisitiva de dominio y se pronunció respecto del procedimiento a seguir para el cumplimiento y ejecución de dichas sentencias.</w:t>
      </w:r>
    </w:p>
    <w:p w:rsidR="00822F01" w:rsidRPr="00DA6F40" w:rsidRDefault="00822F01" w:rsidP="00822F01">
      <w:pPr>
        <w:tabs>
          <w:tab w:val="left" w:pos="284"/>
        </w:tabs>
        <w:ind w:left="708"/>
        <w:jc w:val="both"/>
        <w:rPr>
          <w:rFonts w:ascii="Palatino Linotype" w:hAnsi="Palatino Linotype"/>
          <w:i/>
          <w:sz w:val="22"/>
          <w:szCs w:val="22"/>
        </w:rPr>
      </w:pPr>
      <w:r w:rsidRPr="00DA6F40">
        <w:rPr>
          <w:rFonts w:ascii="Palatino Linotype" w:hAnsi="Palatino Linotype"/>
          <w:i/>
          <w:sz w:val="22"/>
          <w:szCs w:val="22"/>
        </w:rPr>
        <w:t>En este sentido, corresponde a las Administraciones Zonales determinar en cada caso particular, la aplicación del criterio anteriormente señalado, para lo cual deberá tomar en cuenta en sujeción a la normativa vigente y por tratarse de un fraccionamiento, los parámetros de lote mínimo, frente mínimo y contribución o compensación de áreas verdes.</w:t>
      </w:r>
    </w:p>
    <w:p w:rsidR="00822F01" w:rsidRPr="00DA6F40" w:rsidRDefault="00822F01" w:rsidP="00822F01">
      <w:pPr>
        <w:tabs>
          <w:tab w:val="left" w:pos="284"/>
        </w:tabs>
        <w:ind w:left="708"/>
        <w:jc w:val="both"/>
        <w:rPr>
          <w:rFonts w:ascii="Palatino Linotype" w:hAnsi="Palatino Linotype"/>
          <w:i/>
          <w:sz w:val="22"/>
          <w:szCs w:val="22"/>
        </w:rPr>
      </w:pPr>
    </w:p>
    <w:p w:rsidR="00822F01" w:rsidRPr="00DA6F40" w:rsidRDefault="00822F01" w:rsidP="00822F01">
      <w:pPr>
        <w:tabs>
          <w:tab w:val="left" w:pos="284"/>
        </w:tabs>
        <w:ind w:left="708"/>
        <w:jc w:val="both"/>
        <w:rPr>
          <w:rFonts w:ascii="Palatino Linotype" w:hAnsi="Palatino Linotype"/>
          <w:i/>
          <w:sz w:val="22"/>
          <w:szCs w:val="22"/>
        </w:rPr>
      </w:pPr>
      <w:r w:rsidRPr="00DA6F40">
        <w:rPr>
          <w:rFonts w:ascii="Palatino Linotype" w:hAnsi="Palatino Linotype"/>
          <w:i/>
          <w:sz w:val="22"/>
          <w:szCs w:val="22"/>
        </w:rPr>
        <w:t>En el evento de que la subdivisión que se genere con la ejecución de la sentencia no cumpla con los parámetros de zonificación respecto a lote y frente mínimos, se remitirá el expediente con los informes de la Administración Zonal, para conocimiento y resolución del Concejo Metropolitano.</w:t>
      </w:r>
    </w:p>
    <w:p w:rsidR="00822F01" w:rsidRPr="00DA6F40" w:rsidRDefault="00822F01" w:rsidP="00822F01">
      <w:pPr>
        <w:tabs>
          <w:tab w:val="left" w:pos="284"/>
        </w:tabs>
        <w:ind w:left="708"/>
        <w:jc w:val="both"/>
        <w:rPr>
          <w:rFonts w:ascii="Palatino Linotype" w:hAnsi="Palatino Linotype"/>
          <w:i/>
          <w:sz w:val="22"/>
          <w:szCs w:val="22"/>
        </w:rPr>
      </w:pPr>
    </w:p>
    <w:p w:rsidR="00822F01" w:rsidRPr="00DA6F40" w:rsidRDefault="00822F01" w:rsidP="00822F01">
      <w:pPr>
        <w:tabs>
          <w:tab w:val="left" w:pos="284"/>
        </w:tabs>
        <w:ind w:left="708"/>
        <w:jc w:val="both"/>
        <w:rPr>
          <w:rFonts w:ascii="Palatino Linotype" w:hAnsi="Palatino Linotype"/>
          <w:i/>
          <w:sz w:val="22"/>
          <w:szCs w:val="22"/>
        </w:rPr>
      </w:pPr>
      <w:r w:rsidRPr="00DA6F40">
        <w:rPr>
          <w:rFonts w:ascii="Palatino Linotype" w:hAnsi="Palatino Linotype"/>
          <w:i/>
          <w:sz w:val="22"/>
          <w:szCs w:val="22"/>
        </w:rPr>
        <w:t>Por lo expuesto, las Administraciones Zonales de acuerdo al régimen jurídico aplicable realizarán el análisis de cumplimiento de los parámetros de zonificación y de la contribución o compensación del área verde, e informarán al Concejo Metropolitano, según los supuestos fácticos que presenten cada uno de los casos en particular.”;</w:t>
      </w:r>
    </w:p>
    <w:p w:rsidR="00822F01" w:rsidRPr="00822F01" w:rsidRDefault="00822F01" w:rsidP="00372B0E">
      <w:pPr>
        <w:autoSpaceDE w:val="0"/>
        <w:autoSpaceDN w:val="0"/>
        <w:adjustRightInd w:val="0"/>
        <w:spacing w:line="276" w:lineRule="auto"/>
        <w:ind w:left="708" w:hanging="708"/>
        <w:jc w:val="both"/>
        <w:rPr>
          <w:rFonts w:ascii="Palatino Linotype" w:hAnsi="Palatino Linotype"/>
          <w:b/>
          <w:sz w:val="22"/>
          <w:szCs w:val="22"/>
        </w:rPr>
      </w:pPr>
    </w:p>
    <w:p w:rsidR="00E26386" w:rsidRPr="00DD7925" w:rsidRDefault="00D24C41" w:rsidP="00D05C6B">
      <w:pPr>
        <w:tabs>
          <w:tab w:val="left" w:pos="1080"/>
        </w:tabs>
        <w:ind w:left="1080" w:hanging="1080"/>
        <w:jc w:val="both"/>
        <w:rPr>
          <w:rFonts w:ascii="Palatino Linotype" w:hAnsi="Palatino Linotype"/>
          <w:sz w:val="22"/>
          <w:szCs w:val="22"/>
        </w:rPr>
      </w:pPr>
      <w:r w:rsidRPr="00DA6F40">
        <w:rPr>
          <w:rFonts w:ascii="Palatino Linotype" w:hAnsi="Palatino Linotype"/>
          <w:b/>
          <w:sz w:val="22"/>
          <w:szCs w:val="22"/>
        </w:rPr>
        <w:lastRenderedPageBreak/>
        <w:t xml:space="preserve">Que, </w:t>
      </w:r>
      <w:r w:rsidR="00E26386">
        <w:rPr>
          <w:rFonts w:ascii="Palatino Linotype" w:hAnsi="Palatino Linotype"/>
          <w:sz w:val="22"/>
          <w:szCs w:val="22"/>
        </w:rPr>
        <w:t>m</w:t>
      </w:r>
      <w:r w:rsidR="00E26386" w:rsidRPr="00DD7925">
        <w:rPr>
          <w:rFonts w:ascii="Palatino Linotype" w:hAnsi="Palatino Linotype"/>
          <w:sz w:val="22"/>
          <w:szCs w:val="22"/>
        </w:rPr>
        <w:t>ediante memorando Nro. GADDMQ-AZCA-DGT-2022-0331-M, de 21 de febrero de 2022, la</w:t>
      </w:r>
      <w:r w:rsidR="00D05C6B">
        <w:rPr>
          <w:rFonts w:ascii="Palatino Linotype" w:hAnsi="Palatino Linotype"/>
          <w:sz w:val="22"/>
          <w:szCs w:val="22"/>
        </w:rPr>
        <w:t>.</w:t>
      </w:r>
      <w:r w:rsidR="00E26386" w:rsidRPr="00DD7925">
        <w:rPr>
          <w:rFonts w:ascii="Palatino Linotype" w:hAnsi="Palatino Linotype"/>
          <w:sz w:val="22"/>
          <w:szCs w:val="22"/>
        </w:rPr>
        <w:t xml:space="preserve"> Arq. Katherine Pamela Dueñas Cuamacaz, Jefa Zonal de Territorio y Vivienda de la Administración Zonal Calderón, señala: </w:t>
      </w:r>
    </w:p>
    <w:p w:rsidR="00E26386" w:rsidRPr="00DD7925" w:rsidRDefault="00E26386" w:rsidP="00E26386">
      <w:pPr>
        <w:tabs>
          <w:tab w:val="left" w:pos="1080"/>
        </w:tabs>
        <w:jc w:val="both"/>
        <w:rPr>
          <w:rFonts w:ascii="Palatino Linotype" w:hAnsi="Palatino Linotype"/>
          <w:i/>
          <w:sz w:val="22"/>
          <w:szCs w:val="22"/>
        </w:rPr>
      </w:pPr>
    </w:p>
    <w:p w:rsidR="00E26386" w:rsidRPr="00DD7925" w:rsidRDefault="00E26386" w:rsidP="00E26386">
      <w:pPr>
        <w:tabs>
          <w:tab w:val="left" w:pos="1080"/>
        </w:tabs>
        <w:ind w:left="708"/>
        <w:jc w:val="both"/>
        <w:rPr>
          <w:rFonts w:ascii="Palatino Linotype" w:hAnsi="Palatino Linotype"/>
          <w:i/>
          <w:sz w:val="22"/>
          <w:szCs w:val="22"/>
        </w:rPr>
      </w:pPr>
      <w:r w:rsidRPr="00DD7925">
        <w:rPr>
          <w:rFonts w:ascii="Palatino Linotype" w:hAnsi="Palatino Linotype"/>
          <w:i/>
          <w:sz w:val="22"/>
          <w:szCs w:val="22"/>
        </w:rPr>
        <w:t>“(…) 1. El inmueble descrito en la Sentencia de Prescripción Adquisitiva de Dominio se encuentra ubicada en la ESQUINA SUPERIOR DERECHA dentro del predio No. 804210 de clave catastral 12910 31 001 ubicado en el sector SIERRA HERMOSA de la parroquia CALDERON, como se visualiza en la foto adjunta”.</w:t>
      </w:r>
    </w:p>
    <w:p w:rsidR="00E26386" w:rsidRPr="00DD7925" w:rsidRDefault="00E26386" w:rsidP="00E26386">
      <w:pPr>
        <w:tabs>
          <w:tab w:val="left" w:pos="1080"/>
        </w:tabs>
        <w:ind w:left="708"/>
        <w:jc w:val="both"/>
        <w:rPr>
          <w:rFonts w:ascii="Palatino Linotype" w:hAnsi="Palatino Linotype"/>
          <w:i/>
          <w:sz w:val="22"/>
          <w:szCs w:val="22"/>
        </w:rPr>
      </w:pPr>
    </w:p>
    <w:p w:rsidR="00E26386" w:rsidRPr="00DD7925" w:rsidRDefault="00E26386" w:rsidP="00E26386">
      <w:pPr>
        <w:tabs>
          <w:tab w:val="left" w:pos="1080"/>
        </w:tabs>
        <w:ind w:left="708"/>
        <w:jc w:val="both"/>
        <w:rPr>
          <w:rFonts w:ascii="Palatino Linotype" w:hAnsi="Palatino Linotype"/>
          <w:b/>
          <w:i/>
          <w:sz w:val="22"/>
          <w:szCs w:val="22"/>
        </w:rPr>
      </w:pPr>
      <w:r w:rsidRPr="00DD7925">
        <w:rPr>
          <w:rFonts w:ascii="Palatino Linotype" w:hAnsi="Palatino Linotype"/>
          <w:i/>
          <w:sz w:val="22"/>
          <w:szCs w:val="22"/>
        </w:rPr>
        <w:t xml:space="preserve">“2. De acuerdo al Plan Parcial Calderón la Vía externa Colindante al predio No. 80421 es la CALLE SIN NOMBRE, la cual se encuentra como Vía local existente aperturada, aprobada por Ordenanza Metropolitana Nro. 0209 -(005/Ref.0016) (P.P.C), contiene los siguientes datos: </w:t>
      </w:r>
      <w:r w:rsidRPr="00DD7925">
        <w:rPr>
          <w:rFonts w:ascii="Palatino Linotype" w:hAnsi="Palatino Linotype"/>
          <w:b/>
          <w:i/>
          <w:sz w:val="22"/>
          <w:szCs w:val="22"/>
        </w:rPr>
        <w:t>ancho vial = 12.00 metros, calzada = 8.00 metros y aceras =2.00 metros”.</w:t>
      </w:r>
    </w:p>
    <w:p w:rsidR="00E26386" w:rsidRPr="00DD7925" w:rsidRDefault="00E26386" w:rsidP="00E26386">
      <w:pPr>
        <w:tabs>
          <w:tab w:val="left" w:pos="1080"/>
        </w:tabs>
        <w:ind w:left="708"/>
        <w:jc w:val="both"/>
        <w:rPr>
          <w:rFonts w:ascii="Palatino Linotype" w:hAnsi="Palatino Linotype"/>
          <w:i/>
          <w:sz w:val="22"/>
          <w:szCs w:val="22"/>
        </w:rPr>
      </w:pPr>
    </w:p>
    <w:p w:rsidR="00E26386" w:rsidRPr="00DD7925" w:rsidRDefault="00E26386" w:rsidP="00E26386">
      <w:pPr>
        <w:tabs>
          <w:tab w:val="left" w:pos="1080"/>
        </w:tabs>
        <w:ind w:left="708"/>
        <w:jc w:val="both"/>
        <w:rPr>
          <w:rFonts w:ascii="Palatino Linotype" w:hAnsi="Palatino Linotype"/>
          <w:i/>
          <w:sz w:val="22"/>
          <w:szCs w:val="22"/>
        </w:rPr>
      </w:pPr>
      <w:r w:rsidRPr="00DD7925">
        <w:rPr>
          <w:rFonts w:ascii="Palatino Linotype" w:hAnsi="Palatino Linotype"/>
          <w:i/>
          <w:sz w:val="22"/>
          <w:szCs w:val="22"/>
        </w:rPr>
        <w:t xml:space="preserve">“Por lo expuesto el </w:t>
      </w:r>
      <w:r w:rsidRPr="00DD7925">
        <w:rPr>
          <w:rFonts w:ascii="Palatino Linotype" w:hAnsi="Palatino Linotype"/>
          <w:b/>
          <w:i/>
          <w:sz w:val="22"/>
          <w:szCs w:val="22"/>
        </w:rPr>
        <w:t>inmueble descrito en la Sentencia de Prescripción Adquisitiva de Dominio NO COLINDA con vía pública alguna en el lindero ESTE</w:t>
      </w:r>
      <w:r w:rsidRPr="00DD7925">
        <w:rPr>
          <w:rFonts w:ascii="Palatino Linotype" w:hAnsi="Palatino Linotype"/>
          <w:i/>
          <w:sz w:val="22"/>
          <w:szCs w:val="22"/>
        </w:rPr>
        <w:t xml:space="preserve">, el acceso que se menciona no se encuentra aprobada”. </w:t>
      </w:r>
    </w:p>
    <w:p w:rsidR="00BE06CC" w:rsidRPr="008D5F03" w:rsidRDefault="00BE06CC" w:rsidP="00DB6B46">
      <w:pPr>
        <w:tabs>
          <w:tab w:val="left" w:pos="1080"/>
        </w:tabs>
        <w:jc w:val="both"/>
        <w:rPr>
          <w:rFonts w:ascii="Palatino Linotype" w:hAnsi="Palatino Linotype"/>
          <w:i/>
          <w:sz w:val="22"/>
          <w:szCs w:val="22"/>
        </w:rPr>
      </w:pPr>
    </w:p>
    <w:p w:rsidR="006B7792" w:rsidRPr="00DD7925" w:rsidRDefault="006B7792" w:rsidP="00D05C6B">
      <w:pPr>
        <w:tabs>
          <w:tab w:val="left" w:pos="1080"/>
        </w:tabs>
        <w:ind w:left="1080" w:hanging="1080"/>
        <w:jc w:val="both"/>
        <w:rPr>
          <w:rFonts w:ascii="Palatino Linotype" w:hAnsi="Palatino Linotype"/>
          <w:sz w:val="22"/>
          <w:szCs w:val="22"/>
        </w:rPr>
      </w:pPr>
      <w:r w:rsidRPr="006B7792">
        <w:rPr>
          <w:rFonts w:ascii="Palatino Linotype" w:hAnsi="Palatino Linotype"/>
          <w:b/>
          <w:sz w:val="22"/>
          <w:szCs w:val="22"/>
        </w:rPr>
        <w:t xml:space="preserve">Que, </w:t>
      </w:r>
      <w:r>
        <w:rPr>
          <w:rFonts w:ascii="Palatino Linotype" w:hAnsi="Palatino Linotype"/>
          <w:sz w:val="22"/>
          <w:szCs w:val="22"/>
        </w:rPr>
        <w:t>m</w:t>
      </w:r>
      <w:r w:rsidRPr="00DD7925">
        <w:rPr>
          <w:rFonts w:ascii="Palatino Linotype" w:hAnsi="Palatino Linotype"/>
          <w:sz w:val="22"/>
          <w:szCs w:val="22"/>
        </w:rPr>
        <w:t xml:space="preserve">ediante memorando Nro. GADDMQ-STHV-DMC-UGT-AZC-2022-0119-M, de 27 de abril de 2022, la Ing. Nancy Maribel Calapaqui Chiliquinga, responsable del Área de Catastro de la Administración Zonal Calderón, señala: </w:t>
      </w:r>
    </w:p>
    <w:p w:rsidR="006B7792" w:rsidRPr="00DD7925" w:rsidRDefault="006B7792" w:rsidP="006B7792">
      <w:pPr>
        <w:tabs>
          <w:tab w:val="left" w:pos="1080"/>
        </w:tabs>
        <w:jc w:val="both"/>
        <w:rPr>
          <w:rFonts w:ascii="Palatino Linotype" w:hAnsi="Palatino Linotype"/>
          <w:i/>
          <w:sz w:val="22"/>
          <w:szCs w:val="22"/>
        </w:rPr>
      </w:pPr>
    </w:p>
    <w:p w:rsidR="006B7792" w:rsidRPr="00DD7925" w:rsidRDefault="006B7792" w:rsidP="006B7792">
      <w:pPr>
        <w:tabs>
          <w:tab w:val="left" w:pos="1080"/>
        </w:tabs>
        <w:ind w:left="708"/>
        <w:jc w:val="both"/>
        <w:rPr>
          <w:rFonts w:ascii="Palatino Linotype" w:hAnsi="Palatino Linotype"/>
          <w:i/>
          <w:sz w:val="22"/>
          <w:szCs w:val="22"/>
        </w:rPr>
      </w:pPr>
      <w:r w:rsidRPr="00DD7925">
        <w:rPr>
          <w:rFonts w:ascii="Palatino Linotype" w:hAnsi="Palatino Linotype"/>
          <w:i/>
          <w:sz w:val="22"/>
          <w:szCs w:val="22"/>
        </w:rPr>
        <w:t>“(…) En atención a Memorando GADDMQ-AZCA-DGT-2022-0685-M del 25 de abril de 2022, mediante el cual solicita el valor del m2 del Predio N° 804210 de propiedad de la COOPERATIVA DE VIVIENDA DEL CUERPO DE BOMBEROS, con la finalidad de realizar el cálculo del valor a pagar por concepto de contribución de áreas verdes públicas. Al respecto, remito la información requerida:</w:t>
      </w:r>
    </w:p>
    <w:p w:rsidR="006B7792" w:rsidRPr="00DD7925" w:rsidRDefault="006B7792" w:rsidP="006B7792">
      <w:pPr>
        <w:autoSpaceDE w:val="0"/>
        <w:autoSpaceDN w:val="0"/>
        <w:adjustRightInd w:val="0"/>
        <w:jc w:val="both"/>
        <w:rPr>
          <w:rFonts w:ascii="Palatino Linotype" w:hAnsi="Palatino Linotype"/>
          <w:sz w:val="22"/>
          <w:szCs w:val="22"/>
        </w:rPr>
      </w:pPr>
    </w:p>
    <w:p w:rsidR="006B7792" w:rsidRPr="00DD7925" w:rsidRDefault="006B7792" w:rsidP="006B7792">
      <w:pPr>
        <w:autoSpaceDE w:val="0"/>
        <w:autoSpaceDN w:val="0"/>
        <w:adjustRightInd w:val="0"/>
        <w:jc w:val="both"/>
        <w:rPr>
          <w:rFonts w:ascii="Palatino Linotype" w:hAnsi="Palatino Linotype"/>
          <w:sz w:val="22"/>
          <w:szCs w:val="22"/>
        </w:rPr>
      </w:pPr>
      <w:r w:rsidRPr="00DD7925">
        <w:rPr>
          <w:rFonts w:ascii="Palatino Linotype" w:hAnsi="Palatino Linotype"/>
          <w:noProof/>
          <w:sz w:val="22"/>
          <w:szCs w:val="22"/>
          <w:lang w:eastAsia="es-EC"/>
        </w:rPr>
        <w:drawing>
          <wp:inline distT="0" distB="0" distL="0" distR="0" wp14:anchorId="5D97E811" wp14:editId="27AEB642">
            <wp:extent cx="5229955" cy="1152686"/>
            <wp:effectExtent l="0" t="0" r="889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29955" cy="1152686"/>
                    </a:xfrm>
                    <a:prstGeom prst="rect">
                      <a:avLst/>
                    </a:prstGeom>
                  </pic:spPr>
                </pic:pic>
              </a:graphicData>
            </a:graphic>
          </wp:inline>
        </w:drawing>
      </w:r>
    </w:p>
    <w:p w:rsidR="006B7792" w:rsidRPr="00DD7925" w:rsidRDefault="006B7792" w:rsidP="006B7792">
      <w:pPr>
        <w:autoSpaceDE w:val="0"/>
        <w:autoSpaceDN w:val="0"/>
        <w:adjustRightInd w:val="0"/>
        <w:jc w:val="both"/>
        <w:rPr>
          <w:rFonts w:ascii="Palatino Linotype" w:hAnsi="Palatino Linotype"/>
          <w:sz w:val="22"/>
          <w:szCs w:val="22"/>
        </w:rPr>
      </w:pPr>
    </w:p>
    <w:p w:rsidR="006B7792" w:rsidRPr="00DD7925" w:rsidRDefault="006B7792" w:rsidP="006B7792">
      <w:pPr>
        <w:autoSpaceDE w:val="0"/>
        <w:autoSpaceDN w:val="0"/>
        <w:adjustRightInd w:val="0"/>
        <w:ind w:left="708"/>
        <w:jc w:val="both"/>
        <w:rPr>
          <w:rFonts w:ascii="Palatino Linotype" w:hAnsi="Palatino Linotype"/>
          <w:i/>
          <w:sz w:val="22"/>
          <w:szCs w:val="22"/>
        </w:rPr>
      </w:pPr>
      <w:r w:rsidRPr="00DD7925">
        <w:rPr>
          <w:rFonts w:ascii="Palatino Linotype" w:hAnsi="Palatino Linotype"/>
          <w:i/>
          <w:sz w:val="22"/>
          <w:szCs w:val="22"/>
        </w:rPr>
        <w:t xml:space="preserve">Base Legal: ORDENANZA METROPOLITANA Nro. 27-2021 MODIFICATORIA DEL CAPÍTULO I" VALORACIÓN INMOBILIARIA", DEL TÍTULO III " DE LAS NORMAS PARA EL PAGO DE IMPUESTOS" DEL LIBRO III.5 DEL EJE ECONÓMICO DEL CÓDIGO MUNICIPAL PARA EL DISTRITO METROPOLITANO DE QUITO, con la cual se aprueba el plano del valor de la tierra de los predios urbanos y rurales del Distrito Metropolitano de Quito a </w:t>
      </w:r>
      <w:r w:rsidR="00606FE2">
        <w:rPr>
          <w:rFonts w:ascii="Palatino Linotype" w:hAnsi="Palatino Linotype"/>
          <w:i/>
          <w:sz w:val="22"/>
          <w:szCs w:val="22"/>
        </w:rPr>
        <w:t>regir para el bienio 2022-2023.”</w:t>
      </w:r>
    </w:p>
    <w:p w:rsidR="004860CA" w:rsidRDefault="004860CA" w:rsidP="002E1BD8">
      <w:pPr>
        <w:pStyle w:val="Default"/>
        <w:ind w:left="708"/>
        <w:jc w:val="both"/>
        <w:rPr>
          <w:b/>
          <w:i/>
          <w:sz w:val="22"/>
          <w:szCs w:val="22"/>
        </w:rPr>
      </w:pPr>
    </w:p>
    <w:p w:rsidR="00D0344A" w:rsidRPr="00DD7925" w:rsidRDefault="006A6971" w:rsidP="00D0344A">
      <w:pPr>
        <w:tabs>
          <w:tab w:val="left" w:pos="1080"/>
        </w:tabs>
        <w:ind w:left="1080" w:hanging="1080"/>
        <w:jc w:val="both"/>
        <w:rPr>
          <w:rFonts w:ascii="Palatino Linotype" w:hAnsi="Palatino Linotype"/>
          <w:sz w:val="22"/>
          <w:szCs w:val="22"/>
        </w:rPr>
      </w:pPr>
      <w:r w:rsidRPr="006A6971">
        <w:rPr>
          <w:b/>
          <w:sz w:val="22"/>
          <w:szCs w:val="22"/>
        </w:rPr>
        <w:t>Q</w:t>
      </w:r>
      <w:r w:rsidR="00437620">
        <w:rPr>
          <w:b/>
          <w:sz w:val="22"/>
          <w:szCs w:val="22"/>
        </w:rPr>
        <w:t xml:space="preserve">ue, </w:t>
      </w:r>
      <w:r w:rsidR="00F348A6">
        <w:rPr>
          <w:rFonts w:ascii="Palatino Linotype" w:hAnsi="Palatino Linotype"/>
          <w:sz w:val="22"/>
          <w:szCs w:val="22"/>
        </w:rPr>
        <w:t>me</w:t>
      </w:r>
      <w:bookmarkStart w:id="0" w:name="_GoBack"/>
      <w:bookmarkEnd w:id="0"/>
      <w:r w:rsidR="00D0344A" w:rsidRPr="00DD7925">
        <w:rPr>
          <w:rFonts w:ascii="Palatino Linotype" w:hAnsi="Palatino Linotype"/>
          <w:sz w:val="22"/>
          <w:szCs w:val="22"/>
        </w:rPr>
        <w:t xml:space="preserve">diante informe técnico Nro. AZCA-DGT-2022-24, de 04 de mayo de 2022, el Ing. Israel Jiménez, funcionario de la Administración Zonal Calderón, señala: </w:t>
      </w:r>
    </w:p>
    <w:p w:rsidR="00D0344A" w:rsidRPr="00DD7925" w:rsidRDefault="00D0344A" w:rsidP="00D0344A">
      <w:pPr>
        <w:tabs>
          <w:tab w:val="left" w:pos="1080"/>
        </w:tabs>
        <w:jc w:val="both"/>
        <w:rPr>
          <w:rFonts w:ascii="Palatino Linotype" w:hAnsi="Palatino Linotype"/>
          <w:sz w:val="22"/>
          <w:szCs w:val="22"/>
        </w:rPr>
      </w:pPr>
    </w:p>
    <w:p w:rsidR="00D0344A" w:rsidRPr="00DD7925" w:rsidRDefault="00D0344A" w:rsidP="00D0344A">
      <w:pPr>
        <w:tabs>
          <w:tab w:val="left" w:pos="1080"/>
        </w:tabs>
        <w:ind w:left="708"/>
        <w:jc w:val="both"/>
        <w:rPr>
          <w:rFonts w:ascii="Palatino Linotype" w:hAnsi="Palatino Linotype"/>
          <w:i/>
          <w:sz w:val="22"/>
          <w:szCs w:val="22"/>
        </w:rPr>
      </w:pPr>
      <w:r w:rsidRPr="00DD7925">
        <w:rPr>
          <w:rFonts w:ascii="Palatino Linotype" w:hAnsi="Palatino Linotype"/>
          <w:i/>
          <w:sz w:val="22"/>
          <w:szCs w:val="22"/>
        </w:rPr>
        <w:t>“(…) ANÁLISIS DE CONTRIBUCIÓN</w:t>
      </w:r>
    </w:p>
    <w:p w:rsidR="00D0344A" w:rsidRPr="00DD7925" w:rsidRDefault="00D0344A" w:rsidP="00D0344A">
      <w:pPr>
        <w:tabs>
          <w:tab w:val="left" w:pos="1080"/>
        </w:tabs>
        <w:ind w:left="708"/>
        <w:jc w:val="both"/>
        <w:rPr>
          <w:rFonts w:ascii="Palatino Linotype" w:hAnsi="Palatino Linotype"/>
          <w:i/>
          <w:sz w:val="22"/>
          <w:szCs w:val="22"/>
        </w:rPr>
      </w:pPr>
      <w:r w:rsidRPr="00DD7925">
        <w:rPr>
          <w:rFonts w:ascii="Palatino Linotype" w:hAnsi="Palatino Linotype"/>
          <w:i/>
          <w:sz w:val="22"/>
          <w:szCs w:val="22"/>
        </w:rPr>
        <w:br/>
      </w:r>
      <w:r w:rsidRPr="00DD7925">
        <w:rPr>
          <w:rFonts w:ascii="Palatino Linotype" w:hAnsi="Palatino Linotype"/>
          <w:i/>
          <w:sz w:val="22"/>
          <w:szCs w:val="22"/>
        </w:rPr>
        <w:sym w:font="Symbol" w:char="F0B7"/>
      </w:r>
      <w:r w:rsidRPr="00DD7925">
        <w:rPr>
          <w:rFonts w:ascii="Palatino Linotype" w:hAnsi="Palatino Linotype"/>
          <w:i/>
          <w:sz w:val="22"/>
          <w:szCs w:val="22"/>
        </w:rPr>
        <w:t xml:space="preserve"> Análisis, contribución del 15% del área útil adjudicada adquirida mediante sentencia.</w:t>
      </w:r>
    </w:p>
    <w:p w:rsidR="00D0344A" w:rsidRPr="00DD7925" w:rsidRDefault="00D0344A" w:rsidP="00D0344A">
      <w:pPr>
        <w:tabs>
          <w:tab w:val="left" w:pos="1080"/>
        </w:tabs>
        <w:ind w:left="708"/>
        <w:jc w:val="both"/>
        <w:rPr>
          <w:rFonts w:ascii="Palatino Linotype" w:hAnsi="Palatino Linotype"/>
          <w:i/>
          <w:sz w:val="22"/>
          <w:szCs w:val="22"/>
        </w:rPr>
      </w:pPr>
      <w:r w:rsidRPr="00DD7925">
        <w:rPr>
          <w:rFonts w:ascii="Palatino Linotype" w:hAnsi="Palatino Linotype"/>
          <w:i/>
          <w:sz w:val="22"/>
          <w:szCs w:val="22"/>
        </w:rPr>
        <w:br/>
        <w:t>En el caso que nos ocupa, el 15% del área útil prescrita corresponde a 134,26 m2, lo cual es inferior al lote mínimo vigente (600m2), razón por la que el actor de la demanda deberá compensar en valor monetario de acuerdo al avalúo catastral vigente a la fecha de la emisión del título de crédito correspondiente.</w:t>
      </w:r>
    </w:p>
    <w:p w:rsidR="00D0344A" w:rsidRPr="00DD7925" w:rsidRDefault="00D0344A" w:rsidP="00D0344A">
      <w:pPr>
        <w:tabs>
          <w:tab w:val="left" w:pos="1080"/>
        </w:tabs>
        <w:ind w:left="708"/>
        <w:jc w:val="both"/>
        <w:rPr>
          <w:rFonts w:ascii="Palatino Linotype" w:hAnsi="Palatino Linotype"/>
          <w:i/>
          <w:sz w:val="22"/>
          <w:szCs w:val="22"/>
        </w:rPr>
      </w:pPr>
      <w:r w:rsidRPr="00DD7925">
        <w:rPr>
          <w:rFonts w:ascii="Palatino Linotype" w:hAnsi="Palatino Linotype"/>
          <w:i/>
          <w:sz w:val="22"/>
          <w:szCs w:val="22"/>
        </w:rPr>
        <w:br/>
        <w:t xml:space="preserve">Conforme lo señalado en el Informe Técnico GADDMQ-STHV-DMC-UGT-AZC-2022-119-M de 27 de abril de 2022 emitida por la Unidad Desconcentrada de Catastros, </w:t>
      </w:r>
      <w:r w:rsidRPr="00DD7925">
        <w:rPr>
          <w:i/>
          <w:sz w:val="22"/>
          <w:szCs w:val="22"/>
        </w:rPr>
        <w:t>̈</w:t>
      </w:r>
      <w:r w:rsidRPr="00DD7925">
        <w:rPr>
          <w:rFonts w:ascii="Palatino Linotype" w:hAnsi="Palatino Linotype"/>
          <w:i/>
          <w:sz w:val="22"/>
          <w:szCs w:val="22"/>
        </w:rPr>
        <w:t xml:space="preserve"> (...) valor del m2 del predio N</w:t>
      </w:r>
      <w:r w:rsidRPr="00DD7925">
        <w:rPr>
          <w:rFonts w:ascii="Palatino Linotype" w:hAnsi="Palatino Linotype" w:cs="Palatino Linotype"/>
          <w:i/>
          <w:sz w:val="22"/>
          <w:szCs w:val="22"/>
        </w:rPr>
        <w:t>°</w:t>
      </w:r>
      <w:r w:rsidRPr="00DD7925">
        <w:rPr>
          <w:rFonts w:ascii="Palatino Linotype" w:hAnsi="Palatino Linotype"/>
          <w:i/>
          <w:sz w:val="22"/>
          <w:szCs w:val="22"/>
        </w:rPr>
        <w:t xml:space="preserve"> 804210 de propiedad de la COOPERATIVA DE VIVIENDA DEL CUERPO DE BOMBEROS (...) </w:t>
      </w:r>
      <w:r w:rsidRPr="00DD7925">
        <w:rPr>
          <w:i/>
          <w:sz w:val="22"/>
          <w:szCs w:val="22"/>
        </w:rPr>
        <w:t>̈</w:t>
      </w:r>
      <w:r w:rsidRPr="00DD7925">
        <w:rPr>
          <w:rFonts w:ascii="Palatino Linotype" w:hAnsi="Palatino Linotype"/>
          <w:i/>
          <w:sz w:val="22"/>
          <w:szCs w:val="22"/>
        </w:rPr>
        <w:t xml:space="preserve"> y remite la informaci</w:t>
      </w:r>
      <w:r w:rsidRPr="00DD7925">
        <w:rPr>
          <w:rFonts w:ascii="Palatino Linotype" w:hAnsi="Palatino Linotype" w:cs="Palatino Linotype"/>
          <w:i/>
          <w:sz w:val="22"/>
          <w:szCs w:val="22"/>
        </w:rPr>
        <w:t>ó</w:t>
      </w:r>
      <w:r w:rsidRPr="00DD7925">
        <w:rPr>
          <w:rFonts w:ascii="Palatino Linotype" w:hAnsi="Palatino Linotype"/>
          <w:i/>
          <w:sz w:val="22"/>
          <w:szCs w:val="22"/>
        </w:rPr>
        <w:t>n siguiente:</w:t>
      </w:r>
    </w:p>
    <w:p w:rsidR="00D0344A" w:rsidRPr="00DD7925" w:rsidRDefault="00D0344A" w:rsidP="00D0344A">
      <w:pPr>
        <w:tabs>
          <w:tab w:val="left" w:pos="284"/>
        </w:tabs>
        <w:ind w:left="284"/>
        <w:jc w:val="both"/>
        <w:rPr>
          <w:rFonts w:ascii="Palatino Linotype" w:hAnsi="Palatino Linotype"/>
          <w:b/>
          <w:sz w:val="22"/>
          <w:szCs w:val="22"/>
        </w:rPr>
      </w:pPr>
    </w:p>
    <w:p w:rsidR="00D0344A" w:rsidRPr="00DD7925" w:rsidRDefault="00D0344A" w:rsidP="00D0344A">
      <w:pPr>
        <w:tabs>
          <w:tab w:val="left" w:pos="284"/>
        </w:tabs>
        <w:ind w:left="284"/>
        <w:jc w:val="both"/>
        <w:rPr>
          <w:rFonts w:ascii="Palatino Linotype" w:hAnsi="Palatino Linotype"/>
          <w:b/>
          <w:sz w:val="22"/>
          <w:szCs w:val="22"/>
        </w:rPr>
      </w:pPr>
      <w:r w:rsidRPr="00DD7925">
        <w:rPr>
          <w:rFonts w:ascii="Palatino Linotype" w:hAnsi="Palatino Linotype"/>
          <w:b/>
          <w:noProof/>
          <w:sz w:val="22"/>
          <w:szCs w:val="22"/>
          <w:lang w:eastAsia="es-EC"/>
        </w:rPr>
        <w:drawing>
          <wp:inline distT="0" distB="0" distL="0" distR="0" wp14:anchorId="2F1FFD01" wp14:editId="7939EE72">
            <wp:extent cx="4982270" cy="2410161"/>
            <wp:effectExtent l="0" t="0" r="889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82270" cy="2410161"/>
                    </a:xfrm>
                    <a:prstGeom prst="rect">
                      <a:avLst/>
                    </a:prstGeom>
                  </pic:spPr>
                </pic:pic>
              </a:graphicData>
            </a:graphic>
          </wp:inline>
        </w:drawing>
      </w:r>
    </w:p>
    <w:p w:rsidR="00D0344A" w:rsidRPr="00DD7925" w:rsidRDefault="00D0344A" w:rsidP="00D0344A">
      <w:pPr>
        <w:tabs>
          <w:tab w:val="left" w:pos="284"/>
        </w:tabs>
        <w:ind w:left="284"/>
        <w:jc w:val="both"/>
        <w:rPr>
          <w:rFonts w:ascii="Palatino Linotype" w:hAnsi="Palatino Linotype"/>
          <w:b/>
          <w:sz w:val="22"/>
          <w:szCs w:val="22"/>
        </w:rPr>
      </w:pPr>
    </w:p>
    <w:p w:rsidR="00D0344A" w:rsidRPr="00DD7925" w:rsidRDefault="00D0344A" w:rsidP="00D0344A">
      <w:pPr>
        <w:tabs>
          <w:tab w:val="left" w:pos="284"/>
        </w:tabs>
        <w:ind w:left="708"/>
        <w:jc w:val="both"/>
        <w:rPr>
          <w:rFonts w:ascii="Palatino Linotype" w:hAnsi="Palatino Linotype"/>
          <w:i/>
          <w:sz w:val="22"/>
          <w:szCs w:val="22"/>
        </w:rPr>
      </w:pPr>
      <w:r w:rsidRPr="00DD7925">
        <w:rPr>
          <w:rFonts w:ascii="Palatino Linotype" w:hAnsi="Palatino Linotype"/>
          <w:i/>
          <w:sz w:val="22"/>
          <w:szCs w:val="22"/>
        </w:rPr>
        <w:t>Por tanto, el valor por compensación del 15% del área útil adjudicada mediante sentencia a la fecha de hoy es la que se detalla a continuación pudiendo esta cambiar si cambia el avaluó catastral.</w:t>
      </w:r>
    </w:p>
    <w:p w:rsidR="00D0344A" w:rsidRPr="00DD7925" w:rsidRDefault="00D0344A" w:rsidP="00D0344A">
      <w:pPr>
        <w:tabs>
          <w:tab w:val="left" w:pos="284"/>
        </w:tabs>
        <w:ind w:left="708"/>
        <w:jc w:val="both"/>
        <w:rPr>
          <w:rFonts w:ascii="Palatino Linotype" w:hAnsi="Palatino Linotype"/>
          <w:i/>
          <w:sz w:val="22"/>
          <w:szCs w:val="22"/>
        </w:rPr>
      </w:pPr>
      <w:r w:rsidRPr="00DD7925">
        <w:rPr>
          <w:rFonts w:ascii="Palatino Linotype" w:hAnsi="Palatino Linotype"/>
          <w:i/>
          <w:sz w:val="22"/>
          <w:szCs w:val="22"/>
        </w:rPr>
        <w:br/>
        <w:t xml:space="preserve">1.- El cálculo se realiza en función del Avalúo del Terreno y no al AIVA Se utiliza el Avalúo del terreno ya que el sistema SLUM en el cual se ingresa las Subdivisiones por prescripción utiliza los valores de: el Avalúo del Terreno, Área del Terreno y Área Prescrita. </w:t>
      </w:r>
    </w:p>
    <w:p w:rsidR="00D0344A" w:rsidRPr="00DD7925" w:rsidRDefault="00D0344A" w:rsidP="00D0344A">
      <w:pPr>
        <w:tabs>
          <w:tab w:val="left" w:pos="284"/>
        </w:tabs>
        <w:ind w:left="708"/>
        <w:jc w:val="both"/>
        <w:rPr>
          <w:rFonts w:ascii="Palatino Linotype" w:hAnsi="Palatino Linotype"/>
          <w:i/>
          <w:sz w:val="22"/>
          <w:szCs w:val="22"/>
        </w:rPr>
      </w:pPr>
      <w:r w:rsidRPr="00DD7925">
        <w:rPr>
          <w:rFonts w:ascii="Palatino Linotype" w:hAnsi="Palatino Linotype"/>
          <w:i/>
          <w:sz w:val="22"/>
          <w:szCs w:val="22"/>
        </w:rPr>
        <w:br/>
        <w:t>2.- La fórmula con la cual se calcula la compensación es la siguiente.</w:t>
      </w:r>
    </w:p>
    <w:p w:rsidR="00D0344A" w:rsidRPr="00DD7925" w:rsidRDefault="00D0344A" w:rsidP="00D0344A">
      <w:pPr>
        <w:tabs>
          <w:tab w:val="left" w:pos="284"/>
        </w:tabs>
        <w:ind w:left="708"/>
        <w:jc w:val="both"/>
        <w:rPr>
          <w:rFonts w:ascii="Palatino Linotype" w:hAnsi="Palatino Linotype"/>
          <w:i/>
          <w:sz w:val="22"/>
          <w:szCs w:val="22"/>
        </w:rPr>
      </w:pPr>
      <w:r w:rsidRPr="00DD7925">
        <w:rPr>
          <w:rFonts w:ascii="Palatino Linotype" w:hAnsi="Palatino Linotype"/>
          <w:i/>
          <w:sz w:val="22"/>
          <w:szCs w:val="22"/>
        </w:rPr>
        <w:lastRenderedPageBreak/>
        <w:t>(Avalúo del Terreno / Área del Terreno) * (Área de prescripción) * (15% Contribución)</w:t>
      </w:r>
    </w:p>
    <w:p w:rsidR="00D0344A" w:rsidRPr="00DD7925" w:rsidRDefault="00D0344A" w:rsidP="00D0344A">
      <w:pPr>
        <w:tabs>
          <w:tab w:val="left" w:pos="284"/>
        </w:tabs>
        <w:ind w:left="708"/>
        <w:jc w:val="both"/>
        <w:rPr>
          <w:rFonts w:ascii="Palatino Linotype" w:hAnsi="Palatino Linotype"/>
          <w:i/>
          <w:sz w:val="22"/>
          <w:szCs w:val="22"/>
        </w:rPr>
      </w:pPr>
      <w:r w:rsidRPr="00DD7925">
        <w:rPr>
          <w:rFonts w:ascii="Palatino Linotype" w:hAnsi="Palatino Linotype"/>
          <w:i/>
          <w:sz w:val="22"/>
          <w:szCs w:val="22"/>
        </w:rPr>
        <w:br/>
        <w:t xml:space="preserve">Por tanto, el valor por compensación del 15% del área útil adjudicada mediante sentencia   la fecha de hoy es la que se detalla a continuación pudiendo esta cambiar si cambia el avaluó catastral. </w:t>
      </w:r>
    </w:p>
    <w:p w:rsidR="00D0344A" w:rsidRPr="00DD7925" w:rsidRDefault="00D0344A" w:rsidP="00D0344A">
      <w:pPr>
        <w:tabs>
          <w:tab w:val="left" w:pos="284"/>
        </w:tabs>
        <w:ind w:left="708"/>
        <w:jc w:val="both"/>
        <w:rPr>
          <w:rFonts w:ascii="Palatino Linotype" w:hAnsi="Palatino Linotype"/>
          <w:i/>
          <w:sz w:val="22"/>
          <w:szCs w:val="22"/>
        </w:rPr>
      </w:pPr>
    </w:p>
    <w:p w:rsidR="00D0344A" w:rsidRPr="00DD7925" w:rsidRDefault="00D0344A" w:rsidP="00D0344A">
      <w:pPr>
        <w:tabs>
          <w:tab w:val="left" w:pos="284"/>
        </w:tabs>
        <w:ind w:left="708"/>
        <w:jc w:val="both"/>
        <w:rPr>
          <w:rFonts w:ascii="Palatino Linotype" w:hAnsi="Palatino Linotype"/>
          <w:i/>
          <w:sz w:val="22"/>
          <w:szCs w:val="22"/>
        </w:rPr>
      </w:pPr>
      <w:r w:rsidRPr="00DD7925">
        <w:rPr>
          <w:rFonts w:ascii="Palatino Linotype" w:hAnsi="Palatino Linotype"/>
          <w:i/>
          <w:sz w:val="22"/>
          <w:szCs w:val="22"/>
        </w:rPr>
        <w:t xml:space="preserve">3.- Con la fórmula mencionada, el área prescrita y los valores emitidos por catastros se realizó el cálculo: </w:t>
      </w:r>
    </w:p>
    <w:p w:rsidR="00D0344A" w:rsidRPr="00DD7925" w:rsidRDefault="00D0344A" w:rsidP="00D0344A">
      <w:pPr>
        <w:tabs>
          <w:tab w:val="left" w:pos="284"/>
        </w:tabs>
        <w:ind w:left="708"/>
        <w:jc w:val="both"/>
        <w:rPr>
          <w:rFonts w:ascii="Palatino Linotype" w:hAnsi="Palatino Linotype"/>
          <w:i/>
          <w:sz w:val="22"/>
          <w:szCs w:val="22"/>
        </w:rPr>
      </w:pPr>
    </w:p>
    <w:p w:rsidR="00D0344A" w:rsidRPr="00DD7925" w:rsidRDefault="00D0344A" w:rsidP="00D0344A">
      <w:pPr>
        <w:pStyle w:val="Prrafodelista"/>
        <w:numPr>
          <w:ilvl w:val="0"/>
          <w:numId w:val="1"/>
        </w:numPr>
        <w:tabs>
          <w:tab w:val="left" w:pos="284"/>
        </w:tabs>
        <w:ind w:left="1068"/>
        <w:jc w:val="both"/>
        <w:rPr>
          <w:rFonts w:ascii="Palatino Linotype" w:hAnsi="Palatino Linotype"/>
          <w:i/>
          <w:sz w:val="22"/>
          <w:szCs w:val="22"/>
        </w:rPr>
      </w:pPr>
      <w:r w:rsidRPr="00DD7925">
        <w:rPr>
          <w:rFonts w:ascii="Palatino Linotype" w:hAnsi="Palatino Linotype"/>
          <w:i/>
          <w:sz w:val="22"/>
          <w:szCs w:val="22"/>
        </w:rPr>
        <w:t>́003.032,45 usd / 37.149,35 m2) * (895,06 m2) * (0,15) = 3.624,99 usd</w:t>
      </w:r>
    </w:p>
    <w:p w:rsidR="00D0344A" w:rsidRPr="00DD7925" w:rsidRDefault="00D0344A" w:rsidP="00D0344A">
      <w:pPr>
        <w:tabs>
          <w:tab w:val="left" w:pos="284"/>
        </w:tabs>
        <w:ind w:left="708"/>
        <w:jc w:val="both"/>
        <w:rPr>
          <w:rFonts w:ascii="Palatino Linotype" w:hAnsi="Palatino Linotype"/>
          <w:sz w:val="22"/>
          <w:szCs w:val="22"/>
        </w:rPr>
      </w:pPr>
    </w:p>
    <w:p w:rsidR="00D0344A" w:rsidRPr="00DD7925" w:rsidRDefault="00D0344A" w:rsidP="00D0344A">
      <w:pPr>
        <w:tabs>
          <w:tab w:val="left" w:pos="284"/>
        </w:tabs>
        <w:ind w:left="708"/>
        <w:jc w:val="both"/>
        <w:rPr>
          <w:rFonts w:ascii="Palatino Linotype" w:hAnsi="Palatino Linotype"/>
          <w:b/>
          <w:sz w:val="22"/>
          <w:szCs w:val="22"/>
        </w:rPr>
      </w:pPr>
      <w:r w:rsidRPr="00DD7925">
        <w:rPr>
          <w:rFonts w:ascii="Palatino Linotype" w:hAnsi="Palatino Linotype"/>
          <w:b/>
          <w:noProof/>
          <w:sz w:val="22"/>
          <w:szCs w:val="22"/>
          <w:lang w:eastAsia="es-EC"/>
        </w:rPr>
        <w:drawing>
          <wp:inline distT="0" distB="0" distL="0" distR="0" wp14:anchorId="3E7D7883" wp14:editId="6E84FF0C">
            <wp:extent cx="5001323" cy="876422"/>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01323" cy="876422"/>
                    </a:xfrm>
                    <a:prstGeom prst="rect">
                      <a:avLst/>
                    </a:prstGeom>
                  </pic:spPr>
                </pic:pic>
              </a:graphicData>
            </a:graphic>
          </wp:inline>
        </w:drawing>
      </w:r>
    </w:p>
    <w:p w:rsidR="00D0344A" w:rsidRPr="00DD7925" w:rsidRDefault="00D0344A" w:rsidP="00D0344A">
      <w:pPr>
        <w:tabs>
          <w:tab w:val="left" w:pos="284"/>
        </w:tabs>
        <w:ind w:left="708"/>
        <w:jc w:val="both"/>
        <w:rPr>
          <w:rFonts w:ascii="Palatino Linotype" w:hAnsi="Palatino Linotype"/>
          <w:b/>
          <w:sz w:val="22"/>
          <w:szCs w:val="22"/>
        </w:rPr>
      </w:pPr>
    </w:p>
    <w:p w:rsidR="008E2C34" w:rsidRPr="00DD7925" w:rsidRDefault="008E2C34" w:rsidP="008E2C34">
      <w:pPr>
        <w:pStyle w:val="Prrafodelista"/>
        <w:numPr>
          <w:ilvl w:val="0"/>
          <w:numId w:val="2"/>
        </w:numPr>
        <w:tabs>
          <w:tab w:val="left" w:pos="284"/>
        </w:tabs>
        <w:ind w:left="1144"/>
        <w:jc w:val="both"/>
        <w:rPr>
          <w:rFonts w:ascii="Palatino Linotype" w:hAnsi="Palatino Linotype"/>
          <w:b/>
          <w:i/>
          <w:sz w:val="22"/>
          <w:szCs w:val="22"/>
        </w:rPr>
      </w:pPr>
      <w:r w:rsidRPr="00DD7925">
        <w:rPr>
          <w:rFonts w:ascii="Palatino Linotype" w:hAnsi="Palatino Linotype"/>
          <w:b/>
          <w:i/>
          <w:sz w:val="22"/>
          <w:szCs w:val="22"/>
        </w:rPr>
        <w:t>CONCLUSIONES</w:t>
      </w:r>
    </w:p>
    <w:p w:rsidR="008E2C34" w:rsidRPr="00DD7925" w:rsidRDefault="008E2C34" w:rsidP="008E2C34">
      <w:pPr>
        <w:pStyle w:val="Prrafodelista"/>
        <w:tabs>
          <w:tab w:val="left" w:pos="284"/>
        </w:tabs>
        <w:ind w:left="1144"/>
        <w:jc w:val="both"/>
        <w:rPr>
          <w:rFonts w:ascii="Palatino Linotype" w:hAnsi="Palatino Linotype"/>
          <w:i/>
          <w:sz w:val="22"/>
          <w:szCs w:val="22"/>
        </w:rPr>
      </w:pPr>
    </w:p>
    <w:p w:rsidR="008E2C34" w:rsidRPr="00DD7925" w:rsidRDefault="008E2C34" w:rsidP="008E2C34">
      <w:pPr>
        <w:pStyle w:val="Prrafodelista"/>
        <w:tabs>
          <w:tab w:val="left" w:pos="284"/>
        </w:tabs>
        <w:ind w:left="1144"/>
        <w:jc w:val="both"/>
        <w:rPr>
          <w:rFonts w:ascii="Palatino Linotype" w:hAnsi="Palatino Linotype"/>
          <w:b/>
          <w:i/>
          <w:sz w:val="22"/>
          <w:szCs w:val="22"/>
        </w:rPr>
      </w:pPr>
      <w:r w:rsidRPr="00DD7925">
        <w:rPr>
          <w:rFonts w:ascii="Palatino Linotype" w:hAnsi="Palatino Linotype"/>
          <w:i/>
          <w:sz w:val="22"/>
          <w:szCs w:val="22"/>
        </w:rPr>
        <w:sym w:font="Symbol" w:char="F0B7"/>
      </w:r>
      <w:r w:rsidRPr="00DD7925">
        <w:rPr>
          <w:rFonts w:ascii="Palatino Linotype" w:hAnsi="Palatino Linotype"/>
          <w:i/>
          <w:sz w:val="22"/>
          <w:szCs w:val="22"/>
        </w:rPr>
        <w:t xml:space="preserve"> Del análisis técnico se desprende que, la prescripción adquisitiva de dominio  De una parte del inmueble del predio No. 804210, Cumple con: “lote mínimo” Correspondiente a 895.06 mayor a lo establecido en la ordenanza vigente; sin embargo no cumple con el </w:t>
      </w:r>
      <w:r w:rsidRPr="00DD7925">
        <w:rPr>
          <w:i/>
          <w:sz w:val="22"/>
          <w:szCs w:val="22"/>
        </w:rPr>
        <w:t>̈</w:t>
      </w:r>
      <w:r w:rsidRPr="00DD7925">
        <w:rPr>
          <w:rFonts w:ascii="Palatino Linotype" w:hAnsi="Palatino Linotype"/>
          <w:i/>
          <w:sz w:val="22"/>
          <w:szCs w:val="22"/>
        </w:rPr>
        <w:t>frente m</w:t>
      </w:r>
      <w:r w:rsidRPr="00DD7925">
        <w:rPr>
          <w:rFonts w:ascii="Palatino Linotype" w:hAnsi="Palatino Linotype" w:cs="Palatino Linotype"/>
          <w:i/>
          <w:sz w:val="22"/>
          <w:szCs w:val="22"/>
        </w:rPr>
        <w:t>í</w:t>
      </w:r>
      <w:r w:rsidRPr="00DD7925">
        <w:rPr>
          <w:rFonts w:ascii="Palatino Linotype" w:hAnsi="Palatino Linotype"/>
          <w:i/>
          <w:sz w:val="22"/>
          <w:szCs w:val="22"/>
        </w:rPr>
        <w:t xml:space="preserve">nimo </w:t>
      </w:r>
      <w:r w:rsidRPr="00DD7925">
        <w:rPr>
          <w:i/>
          <w:sz w:val="22"/>
          <w:szCs w:val="22"/>
        </w:rPr>
        <w:t>̈</w:t>
      </w:r>
      <w:r w:rsidRPr="00DD7925">
        <w:rPr>
          <w:rFonts w:ascii="Palatino Linotype" w:hAnsi="Palatino Linotype"/>
          <w:i/>
          <w:sz w:val="22"/>
          <w:szCs w:val="22"/>
        </w:rPr>
        <w:t>, ya que el predio no colinda hacia</w:t>
      </w:r>
      <w:r w:rsidRPr="00DD7925">
        <w:rPr>
          <w:rFonts w:ascii="Palatino Linotype" w:hAnsi="Palatino Linotype"/>
          <w:i/>
          <w:sz w:val="22"/>
          <w:szCs w:val="22"/>
        </w:rPr>
        <w:br/>
        <w:t xml:space="preserve">una vía aprobada, razón por la que se emite Informe Técnico Desfavorable”. </w:t>
      </w:r>
    </w:p>
    <w:p w:rsidR="008E2C34" w:rsidRPr="00DD7925" w:rsidRDefault="008E2C34" w:rsidP="008E2C34">
      <w:pPr>
        <w:pStyle w:val="Prrafodelista"/>
        <w:tabs>
          <w:tab w:val="left" w:pos="284"/>
        </w:tabs>
        <w:jc w:val="both"/>
        <w:rPr>
          <w:rFonts w:ascii="Palatino Linotype" w:hAnsi="Palatino Linotype"/>
          <w:b/>
          <w:sz w:val="22"/>
          <w:szCs w:val="22"/>
        </w:rPr>
      </w:pPr>
    </w:p>
    <w:p w:rsidR="0016751B" w:rsidRPr="00DD7925" w:rsidRDefault="008E2C34" w:rsidP="0016751B">
      <w:pPr>
        <w:pStyle w:val="Default"/>
        <w:jc w:val="both"/>
        <w:rPr>
          <w:sz w:val="22"/>
          <w:szCs w:val="22"/>
        </w:rPr>
      </w:pPr>
      <w:r>
        <w:rPr>
          <w:b/>
          <w:sz w:val="22"/>
          <w:szCs w:val="22"/>
        </w:rPr>
        <w:t xml:space="preserve">Que, </w:t>
      </w:r>
      <w:r w:rsidR="0016751B">
        <w:rPr>
          <w:sz w:val="22"/>
          <w:szCs w:val="22"/>
        </w:rPr>
        <w:t>m</w:t>
      </w:r>
      <w:r w:rsidR="0016751B" w:rsidRPr="00DD7925">
        <w:rPr>
          <w:sz w:val="22"/>
          <w:szCs w:val="22"/>
        </w:rPr>
        <w:t xml:space="preserve">ediante </w:t>
      </w:r>
      <w:r w:rsidR="0016751B" w:rsidRPr="00DD7925">
        <w:rPr>
          <w:sz w:val="22"/>
          <w:szCs w:val="22"/>
          <w:lang w:val="es-EC"/>
        </w:rPr>
        <w:t xml:space="preserve">memorando Nro. </w:t>
      </w:r>
      <w:r w:rsidR="0016751B" w:rsidRPr="00DD7925">
        <w:rPr>
          <w:sz w:val="22"/>
          <w:szCs w:val="22"/>
        </w:rPr>
        <w:t>GADDMQ-AZCA-DAJ-2022-0206-M,</w:t>
      </w:r>
      <w:r w:rsidR="0016751B" w:rsidRPr="00DD7925">
        <w:rPr>
          <w:sz w:val="22"/>
          <w:szCs w:val="22"/>
          <w:lang w:val="es-EC"/>
        </w:rPr>
        <w:t xml:space="preserve"> </w:t>
      </w:r>
      <w:r w:rsidR="0016751B" w:rsidRPr="00DD7925">
        <w:rPr>
          <w:sz w:val="22"/>
          <w:szCs w:val="22"/>
        </w:rPr>
        <w:t xml:space="preserve">de 09 de mayo de 2022, la </w:t>
      </w:r>
      <w:r w:rsidR="0016751B" w:rsidRPr="00DD7925">
        <w:rPr>
          <w:sz w:val="22"/>
          <w:szCs w:val="22"/>
          <w:lang w:val="es-EC"/>
        </w:rPr>
        <w:t>Abg. Lorena Elizabeth Donoso Rivera</w:t>
      </w:r>
      <w:r w:rsidR="0016751B" w:rsidRPr="00DD7925">
        <w:rPr>
          <w:sz w:val="22"/>
          <w:szCs w:val="22"/>
        </w:rPr>
        <w:t>, Subprocuradora Zonal de la Administración Calderón, señala:</w:t>
      </w:r>
    </w:p>
    <w:p w:rsidR="0016751B" w:rsidRPr="00DD7925" w:rsidRDefault="0016751B" w:rsidP="0016751B">
      <w:pPr>
        <w:pStyle w:val="Default"/>
        <w:jc w:val="both"/>
        <w:rPr>
          <w:i/>
          <w:sz w:val="22"/>
          <w:szCs w:val="22"/>
        </w:rPr>
      </w:pPr>
    </w:p>
    <w:p w:rsidR="0016751B" w:rsidRPr="00DD7925" w:rsidRDefault="0016751B" w:rsidP="0016751B">
      <w:pPr>
        <w:tabs>
          <w:tab w:val="left" w:pos="284"/>
        </w:tabs>
        <w:ind w:left="708"/>
        <w:jc w:val="both"/>
        <w:rPr>
          <w:rFonts w:ascii="Palatino Linotype" w:hAnsi="Palatino Linotype"/>
          <w:i/>
          <w:sz w:val="22"/>
          <w:szCs w:val="22"/>
        </w:rPr>
      </w:pPr>
      <w:r w:rsidRPr="00DD7925">
        <w:rPr>
          <w:rFonts w:ascii="Palatino Linotype" w:eastAsiaTheme="minorHAnsi" w:hAnsi="Palatino Linotype" w:cs="Palatino Linotype"/>
          <w:i/>
          <w:color w:val="000000"/>
          <w:sz w:val="22"/>
          <w:szCs w:val="22"/>
          <w:lang w:eastAsia="en-US"/>
        </w:rPr>
        <w:t xml:space="preserve">“(…) </w:t>
      </w:r>
      <w:r w:rsidRPr="00DD7925">
        <w:rPr>
          <w:rFonts w:ascii="Palatino Linotype" w:hAnsi="Palatino Linotype"/>
          <w:i/>
          <w:sz w:val="22"/>
          <w:szCs w:val="22"/>
        </w:rPr>
        <w:t xml:space="preserve">CRITERIO: </w:t>
      </w:r>
    </w:p>
    <w:p w:rsidR="0016751B" w:rsidRPr="00DD7925" w:rsidRDefault="0016751B" w:rsidP="0016751B">
      <w:pPr>
        <w:tabs>
          <w:tab w:val="left" w:pos="284"/>
        </w:tabs>
        <w:ind w:left="708"/>
        <w:jc w:val="both"/>
        <w:rPr>
          <w:rFonts w:ascii="Palatino Linotype" w:hAnsi="Palatino Linotype"/>
          <w:i/>
          <w:sz w:val="22"/>
          <w:szCs w:val="22"/>
        </w:rPr>
      </w:pPr>
    </w:p>
    <w:p w:rsidR="0016751B" w:rsidRPr="00DD7925" w:rsidRDefault="0016751B" w:rsidP="0016751B">
      <w:pPr>
        <w:tabs>
          <w:tab w:val="left" w:pos="284"/>
        </w:tabs>
        <w:ind w:left="708"/>
        <w:jc w:val="both"/>
        <w:rPr>
          <w:rFonts w:ascii="Palatino Linotype" w:hAnsi="Palatino Linotype"/>
          <w:i/>
          <w:sz w:val="22"/>
          <w:szCs w:val="22"/>
        </w:rPr>
      </w:pPr>
      <w:r w:rsidRPr="00DD7925">
        <w:rPr>
          <w:rFonts w:ascii="Palatino Linotype" w:hAnsi="Palatino Linotype"/>
          <w:i/>
          <w:sz w:val="22"/>
          <w:szCs w:val="22"/>
        </w:rPr>
        <w:t xml:space="preserve">Por lo expuesto, esta Dirección Jurídica acogiendo el Informe Técnico N° N° AZCA-DGT-2022-24 de 04 de mayo de 2022, del Jefe de Gestión Urbana y aprobado por la Directora de Gestión Territorial de la Administración Zonal Calderón con memorando Nro. GADDMQ-AZCA-DGT-2022-0731-M de 04 de mayo de 2022, en el que indica que la prescripción adquisitiva de dominio de una parte del inmueble del predio No. 804210, Cumple con: “lote mínimo” correspondiente a 895.06 mayor a lo establecido en la ordenanza vigente; sin embargo no cumple con el Ìfrente mínimo Ì, ya que el predio no colinda hacia una vía aprobada, en este sentido, se deberá proceder conforme lo establece en el COOTAD y la Ordenanza 001. </w:t>
      </w:r>
    </w:p>
    <w:p w:rsidR="0016751B" w:rsidRPr="00DD7925" w:rsidRDefault="0016751B" w:rsidP="0016751B">
      <w:pPr>
        <w:tabs>
          <w:tab w:val="left" w:pos="284"/>
        </w:tabs>
        <w:ind w:left="708"/>
        <w:jc w:val="both"/>
        <w:rPr>
          <w:rFonts w:ascii="Palatino Linotype" w:hAnsi="Palatino Linotype"/>
          <w:i/>
          <w:sz w:val="22"/>
          <w:szCs w:val="22"/>
        </w:rPr>
      </w:pPr>
    </w:p>
    <w:p w:rsidR="0016751B" w:rsidRPr="00DD7925" w:rsidRDefault="0016751B" w:rsidP="0016751B">
      <w:pPr>
        <w:tabs>
          <w:tab w:val="left" w:pos="284"/>
        </w:tabs>
        <w:ind w:left="708"/>
        <w:jc w:val="both"/>
        <w:rPr>
          <w:rFonts w:ascii="Palatino Linotype" w:eastAsiaTheme="minorHAnsi" w:hAnsi="Palatino Linotype" w:cs="Palatino Linotype"/>
          <w:i/>
          <w:color w:val="000000"/>
          <w:sz w:val="22"/>
          <w:szCs w:val="22"/>
          <w:lang w:eastAsia="en-US"/>
        </w:rPr>
      </w:pPr>
      <w:r w:rsidRPr="00DD7925">
        <w:rPr>
          <w:rFonts w:ascii="Palatino Linotype" w:hAnsi="Palatino Linotype"/>
          <w:i/>
          <w:sz w:val="22"/>
          <w:szCs w:val="22"/>
        </w:rPr>
        <w:lastRenderedPageBreak/>
        <w:t>Así mismo, en lo referente al área verde, se ceñirá a lo establecido en el artículo 2171 de la Ordenanza 001</w:t>
      </w:r>
      <w:r w:rsidRPr="00DD7925">
        <w:rPr>
          <w:rFonts w:ascii="Palatino Linotype" w:eastAsiaTheme="minorHAnsi" w:hAnsi="Palatino Linotype" w:cs="Palatino Linotype"/>
          <w:i/>
          <w:color w:val="000000"/>
          <w:sz w:val="22"/>
          <w:szCs w:val="22"/>
          <w:lang w:eastAsia="en-US"/>
        </w:rPr>
        <w:t xml:space="preserve">”. </w:t>
      </w:r>
    </w:p>
    <w:p w:rsidR="005168D0" w:rsidRPr="00DA6F40" w:rsidRDefault="005168D0" w:rsidP="00822F01">
      <w:pPr>
        <w:pStyle w:val="Default"/>
        <w:jc w:val="both"/>
        <w:rPr>
          <w:b/>
          <w:i/>
          <w:sz w:val="22"/>
          <w:szCs w:val="22"/>
        </w:rPr>
      </w:pPr>
    </w:p>
    <w:p w:rsidR="000113AC" w:rsidRPr="00DA6F40" w:rsidRDefault="000113AC" w:rsidP="000113AC">
      <w:pPr>
        <w:pStyle w:val="Default"/>
        <w:ind w:left="708" w:hanging="708"/>
        <w:jc w:val="both"/>
        <w:rPr>
          <w:sz w:val="22"/>
          <w:szCs w:val="22"/>
        </w:rPr>
      </w:pPr>
      <w:r w:rsidRPr="00DA6F40">
        <w:rPr>
          <w:b/>
          <w:sz w:val="22"/>
          <w:szCs w:val="22"/>
        </w:rPr>
        <w:t xml:space="preserve">Que, </w:t>
      </w:r>
      <w:r w:rsidRPr="00DA6F40">
        <w:rPr>
          <w:sz w:val="22"/>
          <w:szCs w:val="22"/>
        </w:rPr>
        <w:tab/>
        <w:t>la Comisión de Uso de Su</w:t>
      </w:r>
      <w:r w:rsidR="00C31F94" w:rsidRPr="00DA6F40">
        <w:rPr>
          <w:sz w:val="22"/>
          <w:szCs w:val="22"/>
        </w:rPr>
        <w:t xml:space="preserve">elo en sesión ordinaria Nro. </w:t>
      </w:r>
      <w:r w:rsidR="004372D3">
        <w:rPr>
          <w:sz w:val="22"/>
          <w:szCs w:val="22"/>
        </w:rPr>
        <w:t>149</w:t>
      </w:r>
      <w:r w:rsidRPr="00DA6F40">
        <w:rPr>
          <w:sz w:val="22"/>
          <w:szCs w:val="22"/>
        </w:rPr>
        <w:t xml:space="preserve">, de </w:t>
      </w:r>
      <w:r w:rsidR="004372D3">
        <w:rPr>
          <w:sz w:val="22"/>
          <w:szCs w:val="22"/>
        </w:rPr>
        <w:t xml:space="preserve">06 </w:t>
      </w:r>
      <w:r w:rsidRPr="00DA6F40">
        <w:rPr>
          <w:sz w:val="22"/>
          <w:szCs w:val="22"/>
        </w:rPr>
        <w:t xml:space="preserve">de </w:t>
      </w:r>
      <w:r w:rsidR="004372D3">
        <w:rPr>
          <w:sz w:val="22"/>
          <w:szCs w:val="22"/>
        </w:rPr>
        <w:t xml:space="preserve">junio </w:t>
      </w:r>
      <w:r w:rsidR="00061B14" w:rsidRPr="00DA6F40">
        <w:rPr>
          <w:sz w:val="22"/>
          <w:szCs w:val="22"/>
        </w:rPr>
        <w:t>de 2022</w:t>
      </w:r>
      <w:r w:rsidRPr="00DA6F40">
        <w:rPr>
          <w:sz w:val="22"/>
          <w:szCs w:val="22"/>
        </w:rPr>
        <w:t>, analizó los informes técnicos y legale</w:t>
      </w:r>
      <w:r w:rsidR="009D1665" w:rsidRPr="00DA6F40">
        <w:rPr>
          <w:sz w:val="22"/>
          <w:szCs w:val="22"/>
        </w:rPr>
        <w:t>s, que reposan en el expediente</w:t>
      </w:r>
      <w:r w:rsidRPr="00DA6F40">
        <w:rPr>
          <w:sz w:val="22"/>
          <w:szCs w:val="22"/>
        </w:rPr>
        <w:t>, y emitió dictamen favorable para que el Concejo Metropolitano conozca la sentencia de prescripción extraordinaria adquisitiva de dominio y como efecto de dicha sentencia, y para su efectiva ejecución, autorice la subdivisión del bien en mención, cambiando las condiciones de ese inmueble en particular y generando una excepc</w:t>
      </w:r>
      <w:r w:rsidR="003D00A7" w:rsidRPr="00DA6F40">
        <w:rPr>
          <w:sz w:val="22"/>
          <w:szCs w:val="22"/>
        </w:rPr>
        <w:t>i</w:t>
      </w:r>
      <w:r w:rsidR="00E0537E" w:rsidRPr="00DA6F40">
        <w:rPr>
          <w:sz w:val="22"/>
          <w:szCs w:val="22"/>
        </w:rPr>
        <w:t xml:space="preserve">ón a las condiciones generales. </w:t>
      </w:r>
      <w:r w:rsidRPr="00DA6F40">
        <w:rPr>
          <w:sz w:val="22"/>
          <w:szCs w:val="22"/>
        </w:rPr>
        <w:t xml:space="preserve"> </w:t>
      </w:r>
    </w:p>
    <w:p w:rsidR="000113AC" w:rsidRPr="00DA6F40"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r w:rsidRPr="00DA6F40">
        <w:rPr>
          <w:rFonts w:ascii="Palatino Linotype" w:eastAsiaTheme="minorHAnsi" w:hAnsi="Palatino Linotype"/>
          <w:sz w:val="22"/>
          <w:szCs w:val="22"/>
          <w:lang w:eastAsia="en-US"/>
        </w:rPr>
        <w:t xml:space="preserve">Que, </w:t>
      </w:r>
      <w:r w:rsidRPr="00DA6F40">
        <w:rPr>
          <w:rFonts w:ascii="Palatino Linotype" w:eastAsiaTheme="minorHAnsi" w:hAnsi="Palatino Linotype"/>
          <w:sz w:val="22"/>
          <w:szCs w:val="22"/>
          <w:lang w:eastAsia="en-US"/>
        </w:rPr>
        <w:tab/>
        <w:t>el Concejo Metropolitano de Quito, en sesión pública ordinaria realizada el … de … de 2022, analizó el informe Nro. IC-CUS-202</w:t>
      </w:r>
      <w:r w:rsidR="00061B14" w:rsidRPr="00DA6F40">
        <w:rPr>
          <w:rFonts w:ascii="Palatino Linotype" w:eastAsiaTheme="minorHAnsi" w:hAnsi="Palatino Linotype"/>
          <w:sz w:val="22"/>
          <w:szCs w:val="22"/>
          <w:lang w:eastAsia="en-US"/>
        </w:rPr>
        <w:t>2</w:t>
      </w:r>
      <w:r w:rsidR="007A32EC" w:rsidRPr="00DA6F40">
        <w:rPr>
          <w:rFonts w:ascii="Palatino Linotype" w:eastAsiaTheme="minorHAnsi" w:hAnsi="Palatino Linotype"/>
          <w:sz w:val="22"/>
          <w:szCs w:val="22"/>
          <w:lang w:eastAsia="en-US"/>
        </w:rPr>
        <w:t>-</w:t>
      </w:r>
      <w:r w:rsidR="00622D1F">
        <w:rPr>
          <w:rFonts w:ascii="Palatino Linotype" w:eastAsiaTheme="minorHAnsi" w:hAnsi="Palatino Linotype"/>
          <w:sz w:val="22"/>
          <w:szCs w:val="22"/>
          <w:lang w:eastAsia="en-US"/>
        </w:rPr>
        <w:t>062</w:t>
      </w:r>
      <w:r w:rsidRPr="00DA6F40">
        <w:rPr>
          <w:rFonts w:ascii="Palatino Linotype" w:eastAsiaTheme="minorHAnsi" w:hAnsi="Palatino Linotype"/>
          <w:sz w:val="22"/>
          <w:szCs w:val="22"/>
          <w:lang w:eastAsia="en-US"/>
        </w:rPr>
        <w:t xml:space="preserve">, emitido por la Comisión de Uso de Suelo; </w:t>
      </w:r>
    </w:p>
    <w:p w:rsidR="000113AC" w:rsidRPr="00DA6F40"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spacing w:line="276" w:lineRule="auto"/>
        <w:jc w:val="both"/>
        <w:rPr>
          <w:rFonts w:ascii="Palatino Linotype" w:eastAsiaTheme="minorHAnsi" w:hAnsi="Palatino Linotype"/>
          <w:b/>
          <w:bCs/>
          <w:sz w:val="22"/>
          <w:szCs w:val="22"/>
          <w:lang w:eastAsia="en-US"/>
        </w:rPr>
      </w:pPr>
      <w:r w:rsidRPr="00DA6F40">
        <w:rPr>
          <w:rFonts w:ascii="Palatino Linotype" w:eastAsiaTheme="minorHAnsi" w:hAnsi="Palatino Linotype"/>
          <w:b/>
          <w:bCs/>
          <w:sz w:val="22"/>
          <w:szCs w:val="22"/>
          <w:lang w:eastAsia="en-US"/>
        </w:rPr>
        <w:t xml:space="preserve">En ejercicio de las atribuciones previstas en el artículo 240 de la Constitución de la República; y artículos 87 literal a) y 323 del Código Orgánico de Organización Territorial, Autonomía y Descentralización. </w:t>
      </w:r>
    </w:p>
    <w:p w:rsidR="000113AC" w:rsidRPr="00DA6F40" w:rsidRDefault="000113AC" w:rsidP="000113AC">
      <w:pPr>
        <w:autoSpaceDE w:val="0"/>
        <w:autoSpaceDN w:val="0"/>
        <w:adjustRightInd w:val="0"/>
        <w:spacing w:line="276" w:lineRule="auto"/>
        <w:jc w:val="both"/>
        <w:rPr>
          <w:rFonts w:ascii="Palatino Linotype" w:eastAsiaTheme="minorHAnsi" w:hAnsi="Palatino Linotype"/>
          <w:b/>
          <w:bCs/>
          <w:sz w:val="22"/>
          <w:szCs w:val="22"/>
          <w:lang w:eastAsia="en-US"/>
        </w:rPr>
      </w:pPr>
    </w:p>
    <w:p w:rsidR="000113AC" w:rsidRPr="00DA6F40" w:rsidRDefault="000113AC" w:rsidP="000113AC">
      <w:pPr>
        <w:autoSpaceDE w:val="0"/>
        <w:autoSpaceDN w:val="0"/>
        <w:adjustRightInd w:val="0"/>
        <w:spacing w:line="276" w:lineRule="auto"/>
        <w:jc w:val="center"/>
        <w:rPr>
          <w:rFonts w:ascii="Palatino Linotype" w:eastAsiaTheme="minorHAnsi" w:hAnsi="Palatino Linotype"/>
          <w:b/>
          <w:bCs/>
          <w:sz w:val="22"/>
          <w:szCs w:val="22"/>
          <w:lang w:eastAsia="en-US"/>
        </w:rPr>
      </w:pPr>
      <w:r w:rsidRPr="00DA6F40">
        <w:rPr>
          <w:rFonts w:ascii="Palatino Linotype" w:eastAsiaTheme="minorHAnsi" w:hAnsi="Palatino Linotype"/>
          <w:b/>
          <w:bCs/>
          <w:sz w:val="22"/>
          <w:szCs w:val="22"/>
          <w:lang w:eastAsia="en-US"/>
        </w:rPr>
        <w:t>RESUELVE:</w:t>
      </w:r>
    </w:p>
    <w:p w:rsidR="000113AC" w:rsidRPr="00DA6F40" w:rsidRDefault="000113AC" w:rsidP="000113AC">
      <w:pPr>
        <w:autoSpaceDE w:val="0"/>
        <w:autoSpaceDN w:val="0"/>
        <w:adjustRightInd w:val="0"/>
        <w:spacing w:line="276" w:lineRule="auto"/>
        <w:jc w:val="center"/>
        <w:rPr>
          <w:rFonts w:ascii="Palatino Linotype" w:hAnsi="Palatino Linotype"/>
          <w:sz w:val="22"/>
          <w:szCs w:val="22"/>
        </w:rPr>
      </w:pPr>
    </w:p>
    <w:p w:rsidR="000113AC" w:rsidRPr="00DA6F40"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DA6F40">
        <w:rPr>
          <w:rFonts w:ascii="Palatino Linotype" w:eastAsiaTheme="minorHAnsi" w:hAnsi="Palatino Linotype"/>
          <w:b/>
          <w:sz w:val="22"/>
          <w:szCs w:val="22"/>
          <w:lang w:eastAsia="en-US"/>
        </w:rPr>
        <w:t>Artículo 1.-</w:t>
      </w:r>
      <w:r w:rsidRPr="00DA6F40">
        <w:rPr>
          <w:rFonts w:ascii="Palatino Linotype" w:eastAsiaTheme="minorHAnsi" w:hAnsi="Palatino Linotype"/>
          <w:sz w:val="22"/>
          <w:szCs w:val="22"/>
          <w:lang w:eastAsia="en-US"/>
        </w:rPr>
        <w:t xml:space="preserve"> Acoger el informe Nr</w:t>
      </w:r>
      <w:r w:rsidR="00061B14" w:rsidRPr="00DA6F40">
        <w:rPr>
          <w:rFonts w:ascii="Palatino Linotype" w:eastAsiaTheme="minorHAnsi" w:hAnsi="Palatino Linotype"/>
          <w:sz w:val="22"/>
          <w:szCs w:val="22"/>
          <w:lang w:eastAsia="en-US"/>
        </w:rPr>
        <w:t>o. IC-CUS-2022</w:t>
      </w:r>
      <w:r w:rsidRPr="00DA6F40">
        <w:rPr>
          <w:rFonts w:ascii="Palatino Linotype" w:eastAsiaTheme="minorHAnsi" w:hAnsi="Palatino Linotype"/>
          <w:sz w:val="22"/>
          <w:szCs w:val="22"/>
          <w:lang w:eastAsia="en-US"/>
        </w:rPr>
        <w:t>-</w:t>
      </w:r>
      <w:r w:rsidR="007826F3">
        <w:rPr>
          <w:rFonts w:ascii="Palatino Linotype" w:eastAsiaTheme="minorHAnsi" w:hAnsi="Palatino Linotype"/>
          <w:sz w:val="22"/>
          <w:szCs w:val="22"/>
          <w:lang w:eastAsia="en-US"/>
        </w:rPr>
        <w:t>062</w:t>
      </w:r>
      <w:r w:rsidRPr="00DA6F40">
        <w:rPr>
          <w:rFonts w:ascii="Palatino Linotype" w:eastAsiaTheme="minorHAnsi" w:hAnsi="Palatino Linotype"/>
          <w:sz w:val="22"/>
          <w:szCs w:val="22"/>
          <w:lang w:eastAsia="en-US"/>
        </w:rPr>
        <w:t xml:space="preserve"> emitido por la Comisión de Uso de Suelo, y por tanto, conocer la sentencia de prescripción extraordinaria adquisitiva de dominio y como efecto de dicha sentencia, y para su efectiva ejecución, autorizar la subdivisión del bien en mención, cambiando las condiciones de ese inmueble en particular y generando una excepció</w:t>
      </w:r>
      <w:r w:rsidR="00C167C7" w:rsidRPr="00DA6F40">
        <w:rPr>
          <w:rFonts w:ascii="Palatino Linotype" w:eastAsiaTheme="minorHAnsi" w:hAnsi="Palatino Linotype"/>
          <w:sz w:val="22"/>
          <w:szCs w:val="22"/>
          <w:lang w:eastAsia="en-US"/>
        </w:rPr>
        <w:t xml:space="preserve">n a las condiciones generales. </w:t>
      </w:r>
    </w:p>
    <w:p w:rsidR="000113AC" w:rsidRPr="00DA6F40"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DA6F40">
        <w:rPr>
          <w:rFonts w:ascii="Palatino Linotype" w:eastAsiaTheme="minorHAnsi" w:hAnsi="Palatino Linotype"/>
          <w:sz w:val="22"/>
          <w:szCs w:val="22"/>
          <w:lang w:eastAsia="en-US"/>
        </w:rPr>
        <w:t xml:space="preserve">De conformidad con lo dispuesto en el numeral 4 del artículo 2171 del Código Municipal para el Distrito Metropolitano de Quito, </w:t>
      </w:r>
      <w:r w:rsidR="008824AD">
        <w:rPr>
          <w:rFonts w:ascii="Palatino Linotype" w:hAnsi="Palatino Linotype"/>
          <w:color w:val="000000" w:themeColor="text1"/>
          <w:sz w:val="22"/>
          <w:szCs w:val="22"/>
        </w:rPr>
        <w:t>el señor</w:t>
      </w:r>
      <w:r w:rsidR="008824AD" w:rsidRPr="008D5F03">
        <w:rPr>
          <w:rFonts w:ascii="Palatino Linotype" w:hAnsi="Palatino Linotype"/>
          <w:sz w:val="22"/>
          <w:szCs w:val="22"/>
        </w:rPr>
        <w:t xml:space="preserve"> </w:t>
      </w:r>
      <w:r w:rsidR="004959B7" w:rsidRPr="00DD7925">
        <w:rPr>
          <w:rFonts w:ascii="Palatino Linotype" w:hAnsi="Palatino Linotype"/>
          <w:sz w:val="22"/>
          <w:szCs w:val="22"/>
        </w:rPr>
        <w:t>Manuel Vicente Baliente Cuchipe</w:t>
      </w:r>
      <w:r w:rsidRPr="00DA6F40">
        <w:rPr>
          <w:rFonts w:ascii="Palatino Linotype" w:eastAsiaTheme="minorHAnsi" w:hAnsi="Palatino Linotype"/>
          <w:sz w:val="22"/>
          <w:szCs w:val="22"/>
          <w:lang w:eastAsia="en-US"/>
        </w:rPr>
        <w:t xml:space="preserve">, deberá compensar en valor monetario, la contribución del 15% del área útil adjudicada, que, de acuerdo al cálculo realizado por la Administración Zonal, corresponde al </w:t>
      </w:r>
      <w:r w:rsidRPr="00D71BB9">
        <w:rPr>
          <w:rFonts w:ascii="Palatino Linotype" w:eastAsiaTheme="minorHAnsi" w:hAnsi="Palatino Linotype"/>
          <w:sz w:val="22"/>
          <w:szCs w:val="22"/>
          <w:lang w:eastAsia="en-US"/>
        </w:rPr>
        <w:t xml:space="preserve">valor </w:t>
      </w:r>
      <w:r w:rsidR="00D71BB9">
        <w:rPr>
          <w:rFonts w:ascii="Palatino Linotype" w:hAnsi="Palatino Linotype"/>
          <w:sz w:val="22"/>
          <w:szCs w:val="22"/>
        </w:rPr>
        <w:t xml:space="preserve">de </w:t>
      </w:r>
      <w:r w:rsidR="00E326D5">
        <w:rPr>
          <w:rFonts w:ascii="Palatino Linotype" w:hAnsi="Palatino Linotype"/>
          <w:sz w:val="22"/>
          <w:szCs w:val="22"/>
        </w:rPr>
        <w:t xml:space="preserve">USD </w:t>
      </w:r>
      <w:r w:rsidR="004959B7" w:rsidRPr="004959B7">
        <w:rPr>
          <w:rFonts w:ascii="Palatino Linotype" w:hAnsi="Palatino Linotype"/>
          <w:sz w:val="22"/>
          <w:szCs w:val="22"/>
        </w:rPr>
        <w:t>3.624,99</w:t>
      </w:r>
      <w:r w:rsidR="004959B7" w:rsidRPr="00DD7925">
        <w:rPr>
          <w:rFonts w:ascii="Palatino Linotype" w:hAnsi="Palatino Linotype"/>
          <w:i/>
          <w:sz w:val="22"/>
          <w:szCs w:val="22"/>
        </w:rPr>
        <w:t xml:space="preserve"> </w:t>
      </w:r>
      <w:r w:rsidR="00E326D5">
        <w:t xml:space="preserve">dólares. </w:t>
      </w:r>
    </w:p>
    <w:p w:rsidR="000113AC" w:rsidRPr="00DA6F40"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DA6F40">
        <w:rPr>
          <w:rFonts w:ascii="Palatino Linotype" w:eastAsiaTheme="minorHAnsi" w:hAnsi="Palatino Linotype"/>
          <w:b/>
          <w:sz w:val="22"/>
          <w:szCs w:val="22"/>
          <w:lang w:eastAsia="en-US"/>
        </w:rPr>
        <w:t xml:space="preserve">Artículo 2.- </w:t>
      </w:r>
      <w:r w:rsidRPr="00DA6F40">
        <w:rPr>
          <w:rFonts w:ascii="Palatino Linotype" w:eastAsiaTheme="minorHAnsi" w:hAnsi="Palatino Linotype"/>
          <w:sz w:val="22"/>
          <w:szCs w:val="22"/>
          <w:lang w:eastAsia="en-US"/>
        </w:rPr>
        <w:t xml:space="preserve">Comuníquese al interesado, a la Administración Zonal correspondiente y, a la Secretaría de Territorio, Hábitat y Vivienda, a fin de que se continúe con los trámites de ley. </w:t>
      </w:r>
    </w:p>
    <w:p w:rsidR="000113AC" w:rsidRPr="00DA6F40" w:rsidRDefault="000113AC" w:rsidP="000113AC">
      <w:pPr>
        <w:autoSpaceDE w:val="0"/>
        <w:autoSpaceDN w:val="0"/>
        <w:adjustRightInd w:val="0"/>
        <w:spacing w:line="276" w:lineRule="auto"/>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DA6F40">
        <w:rPr>
          <w:rFonts w:ascii="Palatino Linotype" w:eastAsiaTheme="minorHAnsi" w:hAnsi="Palatino Linotype"/>
          <w:b/>
          <w:sz w:val="22"/>
          <w:szCs w:val="22"/>
          <w:lang w:eastAsia="en-US"/>
        </w:rPr>
        <w:lastRenderedPageBreak/>
        <w:t>Disposición Final.-</w:t>
      </w:r>
      <w:r w:rsidRPr="00DA6F40">
        <w:rPr>
          <w:rFonts w:ascii="Palatino Linotype" w:eastAsiaTheme="minorHAnsi" w:hAnsi="Palatino Linotype"/>
          <w:sz w:val="22"/>
          <w:szCs w:val="22"/>
          <w:lang w:eastAsia="en-US"/>
        </w:rPr>
        <w:t xml:space="preserve"> La presente resolución entrará en vigencia a partir de su suscripción sin perjuicio de su publicación.</w:t>
      </w:r>
    </w:p>
    <w:p w:rsidR="000113AC" w:rsidRPr="00DA6F40"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DA6F40" w:rsidRDefault="000113AC" w:rsidP="000113AC">
      <w:pPr>
        <w:spacing w:line="276" w:lineRule="auto"/>
        <w:ind w:left="-5"/>
        <w:jc w:val="both"/>
        <w:rPr>
          <w:rFonts w:ascii="Palatino Linotype" w:hAnsi="Palatino Linotype"/>
          <w:sz w:val="22"/>
          <w:szCs w:val="22"/>
        </w:rPr>
      </w:pPr>
      <w:r w:rsidRPr="00DA6F40">
        <w:rPr>
          <w:rFonts w:ascii="Palatino Linotype" w:hAnsi="Palatino Linotype"/>
          <w:sz w:val="22"/>
          <w:szCs w:val="22"/>
        </w:rPr>
        <w:t xml:space="preserve">Dada en la sesión del Concejo Metropolitano de Quito, el ……….. </w:t>
      </w:r>
    </w:p>
    <w:p w:rsidR="000113AC" w:rsidRPr="00DA6F40" w:rsidRDefault="000113AC" w:rsidP="000113AC">
      <w:pPr>
        <w:spacing w:line="276" w:lineRule="auto"/>
        <w:ind w:left="-5"/>
        <w:jc w:val="both"/>
        <w:rPr>
          <w:rFonts w:ascii="Palatino Linotype" w:hAnsi="Palatino Linotype"/>
          <w:sz w:val="22"/>
          <w:szCs w:val="22"/>
        </w:rPr>
      </w:pPr>
    </w:p>
    <w:p w:rsidR="000113AC" w:rsidRPr="00DA6F40" w:rsidRDefault="000113AC" w:rsidP="000113AC">
      <w:pPr>
        <w:spacing w:line="276" w:lineRule="auto"/>
        <w:ind w:left="-5" w:right="-143"/>
        <w:jc w:val="both"/>
        <w:rPr>
          <w:rFonts w:ascii="Palatino Linotype" w:hAnsi="Palatino Linotype"/>
          <w:sz w:val="22"/>
          <w:szCs w:val="22"/>
        </w:rPr>
      </w:pPr>
      <w:r w:rsidRPr="00DA6F40">
        <w:rPr>
          <w:rFonts w:ascii="Palatino Linotype" w:hAnsi="Palatino Linotype"/>
          <w:b/>
          <w:sz w:val="22"/>
          <w:szCs w:val="22"/>
        </w:rPr>
        <w:t xml:space="preserve">Alcaldía del Distrito Metropolitano. - </w:t>
      </w:r>
      <w:r w:rsidRPr="00DA6F40">
        <w:rPr>
          <w:rFonts w:ascii="Palatino Linotype" w:hAnsi="Palatino Linotype"/>
          <w:sz w:val="22"/>
          <w:szCs w:val="22"/>
        </w:rPr>
        <w:t>Distrito Metropolitano de Quito, ………..</w:t>
      </w:r>
    </w:p>
    <w:p w:rsidR="000113AC" w:rsidRPr="00DA6F40" w:rsidRDefault="000113AC" w:rsidP="000113AC">
      <w:pPr>
        <w:spacing w:line="276" w:lineRule="auto"/>
        <w:jc w:val="both"/>
        <w:rPr>
          <w:rFonts w:ascii="Palatino Linotype" w:hAnsi="Palatino Linotype"/>
          <w:sz w:val="22"/>
          <w:szCs w:val="22"/>
        </w:rPr>
      </w:pPr>
    </w:p>
    <w:p w:rsidR="000113AC" w:rsidRPr="00DA6F40" w:rsidRDefault="000113AC" w:rsidP="000113AC">
      <w:pPr>
        <w:spacing w:line="276" w:lineRule="auto"/>
        <w:jc w:val="center"/>
        <w:rPr>
          <w:rFonts w:ascii="Palatino Linotype" w:hAnsi="Palatino Linotype"/>
          <w:sz w:val="22"/>
          <w:szCs w:val="22"/>
        </w:rPr>
      </w:pPr>
      <w:r w:rsidRPr="00DA6F40">
        <w:rPr>
          <w:rFonts w:ascii="Palatino Linotype" w:hAnsi="Palatino Linotype"/>
          <w:b/>
          <w:sz w:val="22"/>
          <w:szCs w:val="22"/>
        </w:rPr>
        <w:t>EJECÚTESE:</w:t>
      </w:r>
    </w:p>
    <w:p w:rsidR="000113AC" w:rsidRPr="00DA6F40" w:rsidRDefault="000113AC" w:rsidP="000113AC">
      <w:pPr>
        <w:spacing w:line="276" w:lineRule="auto"/>
        <w:ind w:left="51"/>
        <w:jc w:val="center"/>
        <w:rPr>
          <w:rFonts w:ascii="Palatino Linotype" w:hAnsi="Palatino Linotype"/>
          <w:sz w:val="22"/>
          <w:szCs w:val="22"/>
        </w:rPr>
      </w:pPr>
    </w:p>
    <w:p w:rsidR="000113AC" w:rsidRPr="00DA6F40" w:rsidRDefault="000113AC" w:rsidP="000113AC">
      <w:pPr>
        <w:spacing w:line="276" w:lineRule="auto"/>
        <w:ind w:left="51"/>
        <w:jc w:val="center"/>
        <w:rPr>
          <w:rFonts w:ascii="Palatino Linotype" w:hAnsi="Palatino Linotype"/>
          <w:sz w:val="22"/>
          <w:szCs w:val="22"/>
        </w:rPr>
      </w:pPr>
    </w:p>
    <w:p w:rsidR="000113AC" w:rsidRPr="00DA6F40" w:rsidRDefault="000113AC" w:rsidP="000113AC">
      <w:pPr>
        <w:spacing w:line="276" w:lineRule="auto"/>
        <w:ind w:left="51"/>
        <w:jc w:val="center"/>
        <w:rPr>
          <w:rFonts w:ascii="Palatino Linotype" w:hAnsi="Palatino Linotype"/>
          <w:sz w:val="22"/>
          <w:szCs w:val="22"/>
        </w:rPr>
      </w:pPr>
    </w:p>
    <w:p w:rsidR="000113AC" w:rsidRPr="00DA6F40" w:rsidRDefault="000113AC" w:rsidP="000113AC">
      <w:pPr>
        <w:spacing w:line="276" w:lineRule="auto"/>
        <w:ind w:left="51"/>
        <w:jc w:val="center"/>
        <w:rPr>
          <w:rFonts w:ascii="Palatino Linotype" w:hAnsi="Palatino Linotype"/>
          <w:sz w:val="22"/>
          <w:szCs w:val="22"/>
        </w:rPr>
      </w:pPr>
      <w:r w:rsidRPr="00DA6F40">
        <w:rPr>
          <w:rFonts w:ascii="Palatino Linotype" w:hAnsi="Palatino Linotype"/>
          <w:sz w:val="22"/>
          <w:szCs w:val="22"/>
        </w:rPr>
        <w:t>Dr. Santiago Guarderas Izquierdo</w:t>
      </w:r>
    </w:p>
    <w:p w:rsidR="000113AC" w:rsidRPr="00DA6F40" w:rsidRDefault="000113AC" w:rsidP="000113AC">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eastAsia="es-EC"/>
        </w:rPr>
      </w:pPr>
      <w:r w:rsidRPr="00DA6F40">
        <w:rPr>
          <w:rFonts w:ascii="Palatino Linotype" w:eastAsia="Palatino Linotype" w:hAnsi="Palatino Linotype" w:cs="Palatino Linotype"/>
          <w:b/>
          <w:color w:val="000000"/>
          <w:sz w:val="22"/>
          <w:szCs w:val="22"/>
          <w:lang w:eastAsia="es-EC"/>
        </w:rPr>
        <w:t>ALCALDE DEL DISTRITO METROPOLITANO DE QUITO</w:t>
      </w:r>
    </w:p>
    <w:p w:rsidR="000113AC" w:rsidRPr="00DA6F40" w:rsidRDefault="000113AC" w:rsidP="000113AC">
      <w:pPr>
        <w:spacing w:line="276" w:lineRule="auto"/>
        <w:jc w:val="center"/>
        <w:rPr>
          <w:rFonts w:ascii="Palatino Linotype" w:hAnsi="Palatino Linotype"/>
          <w:sz w:val="22"/>
          <w:szCs w:val="22"/>
        </w:rPr>
      </w:pPr>
    </w:p>
    <w:p w:rsidR="000113AC" w:rsidRPr="00DA6F40" w:rsidRDefault="000113AC" w:rsidP="000113AC">
      <w:pPr>
        <w:spacing w:line="276" w:lineRule="auto"/>
        <w:ind w:left="-5"/>
        <w:jc w:val="both"/>
        <w:rPr>
          <w:rFonts w:ascii="Palatino Linotype" w:hAnsi="Palatino Linotype"/>
          <w:sz w:val="22"/>
          <w:szCs w:val="22"/>
        </w:rPr>
      </w:pPr>
      <w:r w:rsidRPr="00DA6F40">
        <w:rPr>
          <w:rFonts w:ascii="Palatino Linotype" w:hAnsi="Palatino Linotype"/>
          <w:b/>
          <w:sz w:val="22"/>
          <w:szCs w:val="22"/>
        </w:rPr>
        <w:t>CERTIFICO,</w:t>
      </w:r>
      <w:r w:rsidRPr="00DA6F40">
        <w:rPr>
          <w:rFonts w:ascii="Palatino Linotype" w:hAnsi="Palatino Linotype"/>
          <w:sz w:val="22"/>
          <w:szCs w:val="22"/>
        </w:rPr>
        <w:t xml:space="preserve"> que la presente resolución fue discutida y aprobada en la sesión ordinaria del Concejo Metropolitano de Quito, el xx de xx de 2022; y, suscrita por el Dr. Santiago Guarderas Izquierdo, Alcalde del Distrito Metropolitano de Quito, el xx de xx de 2022. </w:t>
      </w:r>
    </w:p>
    <w:p w:rsidR="000113AC" w:rsidRPr="00DA6F40" w:rsidRDefault="000113AC" w:rsidP="000113AC">
      <w:pPr>
        <w:spacing w:line="276" w:lineRule="auto"/>
        <w:jc w:val="both"/>
        <w:rPr>
          <w:rFonts w:ascii="Palatino Linotype" w:hAnsi="Palatino Linotype"/>
          <w:sz w:val="22"/>
          <w:szCs w:val="22"/>
        </w:rPr>
      </w:pPr>
      <w:r w:rsidRPr="00DA6F40">
        <w:rPr>
          <w:rFonts w:ascii="Palatino Linotype" w:hAnsi="Palatino Linotype"/>
          <w:b/>
          <w:sz w:val="22"/>
          <w:szCs w:val="22"/>
        </w:rPr>
        <w:t xml:space="preserve"> </w:t>
      </w:r>
    </w:p>
    <w:p w:rsidR="000113AC" w:rsidRPr="00DA6F40" w:rsidRDefault="000113AC" w:rsidP="000113AC">
      <w:pPr>
        <w:spacing w:line="276" w:lineRule="auto"/>
        <w:ind w:left="-5"/>
        <w:jc w:val="both"/>
        <w:rPr>
          <w:rFonts w:ascii="Palatino Linotype" w:hAnsi="Palatino Linotype"/>
          <w:sz w:val="22"/>
          <w:szCs w:val="22"/>
          <w:highlight w:val="yellow"/>
        </w:rPr>
      </w:pPr>
      <w:r w:rsidRPr="00DA6F40">
        <w:rPr>
          <w:rFonts w:ascii="Palatino Linotype" w:hAnsi="Palatino Linotype"/>
          <w:b/>
          <w:sz w:val="22"/>
          <w:szCs w:val="22"/>
        </w:rPr>
        <w:t xml:space="preserve">Lo certifico. - </w:t>
      </w:r>
      <w:r w:rsidR="00754E1F" w:rsidRPr="00DA6F40">
        <w:rPr>
          <w:rFonts w:ascii="Palatino Linotype" w:hAnsi="Palatino Linotype"/>
          <w:sz w:val="22"/>
          <w:szCs w:val="22"/>
        </w:rPr>
        <w:t>Distrito Metropolitano de Quito</w:t>
      </w:r>
      <w:r w:rsidRPr="00DA6F40">
        <w:rPr>
          <w:rFonts w:ascii="Palatino Linotype" w:hAnsi="Palatino Linotype"/>
          <w:sz w:val="22"/>
          <w:szCs w:val="22"/>
        </w:rPr>
        <w:t xml:space="preserve">. </w:t>
      </w:r>
    </w:p>
    <w:p w:rsidR="000113AC" w:rsidRPr="00DA6F40" w:rsidRDefault="000113AC" w:rsidP="000113AC">
      <w:pPr>
        <w:spacing w:line="276" w:lineRule="auto"/>
        <w:jc w:val="both"/>
        <w:rPr>
          <w:rFonts w:ascii="Palatino Linotype" w:hAnsi="Palatino Linotype"/>
          <w:sz w:val="22"/>
          <w:szCs w:val="22"/>
          <w:highlight w:val="yellow"/>
        </w:rPr>
      </w:pPr>
      <w:r w:rsidRPr="00DA6F40">
        <w:rPr>
          <w:rFonts w:ascii="Palatino Linotype" w:hAnsi="Palatino Linotype"/>
          <w:sz w:val="22"/>
          <w:szCs w:val="22"/>
          <w:highlight w:val="yellow"/>
        </w:rPr>
        <w:t xml:space="preserve"> </w:t>
      </w:r>
    </w:p>
    <w:p w:rsidR="000113AC" w:rsidRPr="00DA6F40" w:rsidRDefault="000113AC" w:rsidP="000113AC">
      <w:pPr>
        <w:spacing w:line="276" w:lineRule="auto"/>
        <w:jc w:val="both"/>
        <w:rPr>
          <w:rFonts w:ascii="Palatino Linotype" w:hAnsi="Palatino Linotype"/>
          <w:sz w:val="22"/>
          <w:szCs w:val="22"/>
          <w:highlight w:val="yellow"/>
        </w:rPr>
      </w:pPr>
    </w:p>
    <w:p w:rsidR="000113AC" w:rsidRPr="00DA6F40" w:rsidRDefault="000113AC" w:rsidP="000113AC">
      <w:pPr>
        <w:spacing w:line="276" w:lineRule="auto"/>
        <w:jc w:val="both"/>
        <w:rPr>
          <w:rFonts w:ascii="Palatino Linotype" w:hAnsi="Palatino Linotype"/>
          <w:sz w:val="22"/>
          <w:szCs w:val="22"/>
          <w:highlight w:val="yellow"/>
        </w:rPr>
      </w:pPr>
      <w:r w:rsidRPr="00DA6F40">
        <w:rPr>
          <w:rFonts w:ascii="Palatino Linotype" w:hAnsi="Palatino Linotype"/>
          <w:sz w:val="22"/>
          <w:szCs w:val="22"/>
          <w:highlight w:val="yellow"/>
        </w:rPr>
        <w:t xml:space="preserve"> </w:t>
      </w:r>
    </w:p>
    <w:p w:rsidR="000113AC" w:rsidRPr="00DA6F40" w:rsidRDefault="000113AC" w:rsidP="000113AC">
      <w:pPr>
        <w:spacing w:line="276" w:lineRule="auto"/>
        <w:jc w:val="both"/>
        <w:rPr>
          <w:rFonts w:ascii="Palatino Linotype" w:hAnsi="Palatino Linotype"/>
          <w:sz w:val="22"/>
          <w:szCs w:val="22"/>
          <w:highlight w:val="yellow"/>
        </w:rPr>
      </w:pPr>
      <w:r w:rsidRPr="00DA6F40">
        <w:rPr>
          <w:rFonts w:ascii="Palatino Linotype" w:hAnsi="Palatino Linotype"/>
          <w:sz w:val="22"/>
          <w:szCs w:val="22"/>
          <w:highlight w:val="yellow"/>
        </w:rPr>
        <w:t xml:space="preserve"> </w:t>
      </w:r>
    </w:p>
    <w:p w:rsidR="000113AC" w:rsidRPr="00DA6F40" w:rsidRDefault="000113AC" w:rsidP="000113AC">
      <w:pPr>
        <w:spacing w:line="276" w:lineRule="auto"/>
        <w:jc w:val="center"/>
        <w:rPr>
          <w:rFonts w:ascii="Palatino Linotype" w:hAnsi="Palatino Linotype"/>
          <w:sz w:val="22"/>
          <w:szCs w:val="22"/>
        </w:rPr>
      </w:pPr>
      <w:r w:rsidRPr="00DA6F40">
        <w:rPr>
          <w:rFonts w:ascii="Palatino Linotype" w:hAnsi="Palatino Linotype"/>
          <w:sz w:val="22"/>
          <w:szCs w:val="22"/>
        </w:rPr>
        <w:t>Abg. Pablo Santillán Paredes</w:t>
      </w:r>
    </w:p>
    <w:p w:rsidR="000113AC" w:rsidRPr="00DA6F40" w:rsidRDefault="000113AC" w:rsidP="000113AC">
      <w:pPr>
        <w:spacing w:line="276" w:lineRule="auto"/>
        <w:jc w:val="center"/>
        <w:rPr>
          <w:rFonts w:ascii="Palatino Linotype" w:eastAsia="Calibri" w:hAnsi="Palatino Linotype"/>
          <w:b/>
          <w:sz w:val="22"/>
          <w:szCs w:val="22"/>
          <w:lang w:eastAsia="en-US"/>
        </w:rPr>
      </w:pPr>
      <w:r w:rsidRPr="00DA6F40">
        <w:rPr>
          <w:rFonts w:ascii="Palatino Linotype" w:eastAsia="Calibri" w:hAnsi="Palatino Linotype"/>
          <w:b/>
          <w:sz w:val="22"/>
          <w:szCs w:val="22"/>
          <w:lang w:eastAsia="en-US"/>
        </w:rPr>
        <w:t>SECRETARIO GENERAL DEL CONCEJO METROPOLITANO DE QUITO</w:t>
      </w:r>
    </w:p>
    <w:p w:rsidR="000113AC" w:rsidRPr="00DA6F40" w:rsidRDefault="000113AC" w:rsidP="000113AC">
      <w:pPr>
        <w:pStyle w:val="Sinespaciado"/>
        <w:jc w:val="center"/>
        <w:rPr>
          <w:rFonts w:ascii="Palatino Linotype" w:hAnsi="Palatino Linotype"/>
          <w:b/>
          <w:sz w:val="22"/>
          <w:szCs w:val="22"/>
        </w:rPr>
      </w:pPr>
    </w:p>
    <w:p w:rsidR="000113AC" w:rsidRPr="00DA6F40" w:rsidRDefault="000113AC" w:rsidP="000113AC">
      <w:pPr>
        <w:rPr>
          <w:rFonts w:ascii="Palatino Linotype" w:hAnsi="Palatino Linotype"/>
          <w:sz w:val="22"/>
          <w:szCs w:val="22"/>
        </w:rPr>
      </w:pPr>
    </w:p>
    <w:p w:rsidR="000113AC" w:rsidRPr="00DA6F40" w:rsidRDefault="000113AC" w:rsidP="000113AC">
      <w:pPr>
        <w:rPr>
          <w:rFonts w:ascii="Palatino Linotype" w:hAnsi="Palatino Linotype"/>
          <w:sz w:val="22"/>
          <w:szCs w:val="22"/>
        </w:rPr>
      </w:pPr>
    </w:p>
    <w:p w:rsidR="00A70E2E" w:rsidRPr="00DA6F40" w:rsidRDefault="00A70E2E">
      <w:pPr>
        <w:rPr>
          <w:rFonts w:ascii="Palatino Linotype" w:hAnsi="Palatino Linotype"/>
          <w:sz w:val="22"/>
          <w:szCs w:val="22"/>
        </w:rPr>
      </w:pPr>
    </w:p>
    <w:sectPr w:rsidR="00A70E2E" w:rsidRPr="00DA6F40" w:rsidSect="005D2467">
      <w:headerReference w:type="default" r:id="rId10"/>
      <w:footerReference w:type="default" r:id="rId11"/>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737" w:rsidRDefault="00E57737">
      <w:r>
        <w:separator/>
      </w:r>
    </w:p>
  </w:endnote>
  <w:endnote w:type="continuationSeparator" w:id="0">
    <w:p w:rsidR="00E57737" w:rsidRDefault="00E5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707DE5" w:rsidRDefault="00754E1F">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F348A6">
              <w:rPr>
                <w:rFonts w:ascii="Palatino Linotype" w:hAnsi="Palatino Linotype"/>
                <w:b/>
                <w:bCs/>
                <w:noProof/>
                <w:sz w:val="20"/>
                <w:szCs w:val="20"/>
              </w:rPr>
              <w:t>6</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F348A6">
              <w:rPr>
                <w:rFonts w:ascii="Palatino Linotype" w:hAnsi="Palatino Linotype"/>
                <w:b/>
                <w:bCs/>
                <w:noProof/>
                <w:sz w:val="20"/>
                <w:szCs w:val="20"/>
              </w:rPr>
              <w:t>9</w:t>
            </w:r>
            <w:r w:rsidRPr="00707DE5">
              <w:rPr>
                <w:rFonts w:ascii="Palatino Linotype" w:hAnsi="Palatino Linotype"/>
                <w:b/>
                <w:bCs/>
                <w:sz w:val="20"/>
                <w:szCs w:val="20"/>
              </w:rPr>
              <w:fldChar w:fldCharType="end"/>
            </w:r>
          </w:p>
          <w:p w:rsidR="005D2467" w:rsidRPr="008479FB" w:rsidRDefault="00E57737">
            <w:pPr>
              <w:pStyle w:val="Piedepgina"/>
              <w:jc w:val="right"/>
              <w:rPr>
                <w:rFonts w:ascii="Palatino Linotype" w:hAnsi="Palatino Linotype"/>
                <w:sz w:val="20"/>
                <w:szCs w:val="20"/>
              </w:rPr>
            </w:pPr>
          </w:p>
        </w:sdtContent>
      </w:sdt>
    </w:sdtContent>
  </w:sdt>
  <w:p w:rsidR="005D2467" w:rsidRPr="008479FB" w:rsidRDefault="00E57737">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737" w:rsidRDefault="00E57737">
      <w:r>
        <w:separator/>
      </w:r>
    </w:p>
  </w:footnote>
  <w:footnote w:type="continuationSeparator" w:id="0">
    <w:p w:rsidR="00E57737" w:rsidRDefault="00E577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E5" w:rsidRDefault="00E57737" w:rsidP="00253163">
    <w:pPr>
      <w:autoSpaceDE w:val="0"/>
      <w:autoSpaceDN w:val="0"/>
      <w:adjustRightInd w:val="0"/>
      <w:jc w:val="center"/>
      <w:rPr>
        <w:rFonts w:ascii="Palatino Linotype" w:eastAsiaTheme="minorHAnsi" w:hAnsi="Palatino Linotype"/>
        <w:b/>
        <w:bCs/>
        <w:sz w:val="22"/>
        <w:szCs w:val="22"/>
        <w:lang w:eastAsia="en-US"/>
      </w:rPr>
    </w:pPr>
  </w:p>
  <w:p w:rsidR="00707DE5" w:rsidRDefault="00E57737" w:rsidP="00253163">
    <w:pPr>
      <w:autoSpaceDE w:val="0"/>
      <w:autoSpaceDN w:val="0"/>
      <w:adjustRightInd w:val="0"/>
      <w:jc w:val="center"/>
      <w:rPr>
        <w:rFonts w:ascii="Palatino Linotype" w:eastAsiaTheme="minorHAnsi" w:hAnsi="Palatino Linotype"/>
        <w:b/>
        <w:bCs/>
        <w:sz w:val="22"/>
        <w:szCs w:val="22"/>
        <w:lang w:eastAsia="en-US"/>
      </w:rPr>
    </w:pPr>
  </w:p>
  <w:p w:rsidR="005D2467" w:rsidRDefault="00E5773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A686D"/>
    <w:multiLevelType w:val="hybridMultilevel"/>
    <w:tmpl w:val="D4F2C89C"/>
    <w:lvl w:ilvl="0" w:tplc="575260F4">
      <w:start w:val="1"/>
      <w:numFmt w:val="decimal"/>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1" w15:restartNumberingAfterBreak="0">
    <w:nsid w:val="7ECF0EB8"/>
    <w:multiLevelType w:val="hybridMultilevel"/>
    <w:tmpl w:val="EE9424D6"/>
    <w:lvl w:ilvl="0" w:tplc="B6403E36">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AC"/>
    <w:rsid w:val="000022D4"/>
    <w:rsid w:val="000113AC"/>
    <w:rsid w:val="000320FA"/>
    <w:rsid w:val="000350C3"/>
    <w:rsid w:val="00036C0E"/>
    <w:rsid w:val="00061B14"/>
    <w:rsid w:val="000B7940"/>
    <w:rsid w:val="000F0D3B"/>
    <w:rsid w:val="000F53A8"/>
    <w:rsid w:val="000F6D87"/>
    <w:rsid w:val="0010315E"/>
    <w:rsid w:val="001203A0"/>
    <w:rsid w:val="00135676"/>
    <w:rsid w:val="00162AB0"/>
    <w:rsid w:val="0016751B"/>
    <w:rsid w:val="0018204A"/>
    <w:rsid w:val="001A37F6"/>
    <w:rsid w:val="001A6EE6"/>
    <w:rsid w:val="001D43D9"/>
    <w:rsid w:val="001E6BB2"/>
    <w:rsid w:val="001F18A5"/>
    <w:rsid w:val="002230DD"/>
    <w:rsid w:val="002348D0"/>
    <w:rsid w:val="002435E3"/>
    <w:rsid w:val="002A2313"/>
    <w:rsid w:val="002C0724"/>
    <w:rsid w:val="002D415C"/>
    <w:rsid w:val="002E1BD8"/>
    <w:rsid w:val="002E3F59"/>
    <w:rsid w:val="002F36C3"/>
    <w:rsid w:val="003057C1"/>
    <w:rsid w:val="00310B84"/>
    <w:rsid w:val="00311483"/>
    <w:rsid w:val="003144EF"/>
    <w:rsid w:val="003328D7"/>
    <w:rsid w:val="00372B0E"/>
    <w:rsid w:val="00385ABB"/>
    <w:rsid w:val="003B6356"/>
    <w:rsid w:val="003D00A7"/>
    <w:rsid w:val="004154DB"/>
    <w:rsid w:val="004372D3"/>
    <w:rsid w:val="00437620"/>
    <w:rsid w:val="00462DF6"/>
    <w:rsid w:val="00462FAA"/>
    <w:rsid w:val="004729F0"/>
    <w:rsid w:val="004860CA"/>
    <w:rsid w:val="00492990"/>
    <w:rsid w:val="00493A79"/>
    <w:rsid w:val="004948A2"/>
    <w:rsid w:val="0049515C"/>
    <w:rsid w:val="004959B7"/>
    <w:rsid w:val="004E4064"/>
    <w:rsid w:val="004F29ED"/>
    <w:rsid w:val="004F35C9"/>
    <w:rsid w:val="0050436B"/>
    <w:rsid w:val="005168D0"/>
    <w:rsid w:val="0053016E"/>
    <w:rsid w:val="00531F8A"/>
    <w:rsid w:val="005839EA"/>
    <w:rsid w:val="00595410"/>
    <w:rsid w:val="005A184C"/>
    <w:rsid w:val="005C1350"/>
    <w:rsid w:val="005D3154"/>
    <w:rsid w:val="005D7A61"/>
    <w:rsid w:val="005F4329"/>
    <w:rsid w:val="0060538D"/>
    <w:rsid w:val="00606CEF"/>
    <w:rsid w:val="00606FE2"/>
    <w:rsid w:val="00622D1F"/>
    <w:rsid w:val="00626F33"/>
    <w:rsid w:val="006273BD"/>
    <w:rsid w:val="00630C41"/>
    <w:rsid w:val="00635D5D"/>
    <w:rsid w:val="006378A2"/>
    <w:rsid w:val="00656876"/>
    <w:rsid w:val="006767EB"/>
    <w:rsid w:val="00694D54"/>
    <w:rsid w:val="006A6971"/>
    <w:rsid w:val="006B7792"/>
    <w:rsid w:val="006F2BAD"/>
    <w:rsid w:val="006F6D18"/>
    <w:rsid w:val="00704417"/>
    <w:rsid w:val="0071323F"/>
    <w:rsid w:val="00722F25"/>
    <w:rsid w:val="00754E1F"/>
    <w:rsid w:val="00757FA6"/>
    <w:rsid w:val="007826F3"/>
    <w:rsid w:val="007854B8"/>
    <w:rsid w:val="00796E58"/>
    <w:rsid w:val="007A32EC"/>
    <w:rsid w:val="007E076B"/>
    <w:rsid w:val="00804DD4"/>
    <w:rsid w:val="00822F01"/>
    <w:rsid w:val="00842941"/>
    <w:rsid w:val="0085024D"/>
    <w:rsid w:val="008532E8"/>
    <w:rsid w:val="008824AD"/>
    <w:rsid w:val="008A28F7"/>
    <w:rsid w:val="008E2C34"/>
    <w:rsid w:val="00902F65"/>
    <w:rsid w:val="009061F9"/>
    <w:rsid w:val="009441E9"/>
    <w:rsid w:val="00967D02"/>
    <w:rsid w:val="00971DAC"/>
    <w:rsid w:val="009906BE"/>
    <w:rsid w:val="00993BBD"/>
    <w:rsid w:val="009C51D6"/>
    <w:rsid w:val="009C7AA1"/>
    <w:rsid w:val="009D1665"/>
    <w:rsid w:val="009D3508"/>
    <w:rsid w:val="009E4E92"/>
    <w:rsid w:val="00A05387"/>
    <w:rsid w:val="00A3193F"/>
    <w:rsid w:val="00A37080"/>
    <w:rsid w:val="00A43B85"/>
    <w:rsid w:val="00A53CCA"/>
    <w:rsid w:val="00A65E22"/>
    <w:rsid w:val="00A666D4"/>
    <w:rsid w:val="00A70E2E"/>
    <w:rsid w:val="00AD76F0"/>
    <w:rsid w:val="00AD7AF2"/>
    <w:rsid w:val="00AE729F"/>
    <w:rsid w:val="00AF1FF5"/>
    <w:rsid w:val="00B34FBC"/>
    <w:rsid w:val="00B456A6"/>
    <w:rsid w:val="00B52FC7"/>
    <w:rsid w:val="00B82081"/>
    <w:rsid w:val="00B9427A"/>
    <w:rsid w:val="00BE06CC"/>
    <w:rsid w:val="00C024F2"/>
    <w:rsid w:val="00C167C7"/>
    <w:rsid w:val="00C17E6F"/>
    <w:rsid w:val="00C31F94"/>
    <w:rsid w:val="00C37F48"/>
    <w:rsid w:val="00C45A11"/>
    <w:rsid w:val="00C55EC2"/>
    <w:rsid w:val="00C70B8C"/>
    <w:rsid w:val="00C76811"/>
    <w:rsid w:val="00C92ED6"/>
    <w:rsid w:val="00CA6437"/>
    <w:rsid w:val="00CC57B0"/>
    <w:rsid w:val="00CC6BBC"/>
    <w:rsid w:val="00CC778F"/>
    <w:rsid w:val="00CD56D1"/>
    <w:rsid w:val="00CD584F"/>
    <w:rsid w:val="00CF122E"/>
    <w:rsid w:val="00CF561D"/>
    <w:rsid w:val="00CF723B"/>
    <w:rsid w:val="00D0344A"/>
    <w:rsid w:val="00D05C6B"/>
    <w:rsid w:val="00D24C41"/>
    <w:rsid w:val="00D25050"/>
    <w:rsid w:val="00D46EAD"/>
    <w:rsid w:val="00D50F32"/>
    <w:rsid w:val="00D71BB9"/>
    <w:rsid w:val="00D834DC"/>
    <w:rsid w:val="00D90E77"/>
    <w:rsid w:val="00DA62CE"/>
    <w:rsid w:val="00DA6F40"/>
    <w:rsid w:val="00DB6B46"/>
    <w:rsid w:val="00DC7143"/>
    <w:rsid w:val="00DF169C"/>
    <w:rsid w:val="00DF190B"/>
    <w:rsid w:val="00E0537E"/>
    <w:rsid w:val="00E26386"/>
    <w:rsid w:val="00E31911"/>
    <w:rsid w:val="00E326D5"/>
    <w:rsid w:val="00E57737"/>
    <w:rsid w:val="00E661F9"/>
    <w:rsid w:val="00E75599"/>
    <w:rsid w:val="00E969BE"/>
    <w:rsid w:val="00EA3F70"/>
    <w:rsid w:val="00EB28B4"/>
    <w:rsid w:val="00ED0FE0"/>
    <w:rsid w:val="00F04EEE"/>
    <w:rsid w:val="00F112C0"/>
    <w:rsid w:val="00F1475B"/>
    <w:rsid w:val="00F23370"/>
    <w:rsid w:val="00F348A6"/>
    <w:rsid w:val="00F57398"/>
    <w:rsid w:val="00F66680"/>
    <w:rsid w:val="00F7765D"/>
    <w:rsid w:val="00FF7DA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90D9"/>
  <w15:chartTrackingRefBased/>
  <w15:docId w15:val="{0F731E31-9764-4894-A81A-30D27527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3AC"/>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0113AC"/>
    <w:pPr>
      <w:jc w:val="both"/>
    </w:pPr>
    <w:rPr>
      <w:rFonts w:asciiTheme="minorHAnsi" w:eastAsia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0113AC"/>
    <w:rPr>
      <w:sz w:val="20"/>
      <w:szCs w:val="20"/>
    </w:rPr>
  </w:style>
  <w:style w:type="paragraph" w:styleId="Piedepgina">
    <w:name w:val="footer"/>
    <w:basedOn w:val="Normal"/>
    <w:link w:val="PiedepginaCar"/>
    <w:uiPriority w:val="99"/>
    <w:unhideWhenUsed/>
    <w:rsid w:val="000113AC"/>
    <w:pPr>
      <w:tabs>
        <w:tab w:val="center" w:pos="4252"/>
        <w:tab w:val="right" w:pos="8504"/>
      </w:tabs>
    </w:pPr>
  </w:style>
  <w:style w:type="character" w:customStyle="1" w:styleId="PiedepginaCar">
    <w:name w:val="Pie de página Car"/>
    <w:basedOn w:val="Fuentedeprrafopredeter"/>
    <w:link w:val="Piedepgina"/>
    <w:uiPriority w:val="99"/>
    <w:rsid w:val="000113AC"/>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0113AC"/>
    <w:pPr>
      <w:tabs>
        <w:tab w:val="center" w:pos="4419"/>
        <w:tab w:val="right" w:pos="8838"/>
      </w:tabs>
    </w:pPr>
  </w:style>
  <w:style w:type="character" w:customStyle="1" w:styleId="EncabezadoCar">
    <w:name w:val="Encabezado Car"/>
    <w:basedOn w:val="Fuentedeprrafopredeter"/>
    <w:link w:val="Encabezado"/>
    <w:uiPriority w:val="99"/>
    <w:rsid w:val="000113AC"/>
    <w:rPr>
      <w:rFonts w:ascii="Times New Roman" w:eastAsia="Times New Roman" w:hAnsi="Times New Roman" w:cs="Times New Roman"/>
      <w:sz w:val="24"/>
      <w:szCs w:val="24"/>
      <w:lang w:eastAsia="es-ES_tradnl"/>
    </w:rPr>
  </w:style>
  <w:style w:type="paragraph" w:customStyle="1" w:styleId="Default">
    <w:name w:val="Default"/>
    <w:rsid w:val="000113AC"/>
    <w:pPr>
      <w:autoSpaceDE w:val="0"/>
      <w:autoSpaceDN w:val="0"/>
      <w:adjustRightInd w:val="0"/>
      <w:spacing w:after="0" w:line="240" w:lineRule="auto"/>
    </w:pPr>
    <w:rPr>
      <w:rFonts w:ascii="Palatino Linotype" w:hAnsi="Palatino Linotype" w:cs="Palatino Linotype"/>
      <w:color w:val="000000"/>
      <w:sz w:val="24"/>
      <w:szCs w:val="24"/>
      <w:lang w:val="es-ES"/>
    </w:rPr>
  </w:style>
  <w:style w:type="paragraph" w:styleId="Textodeglobo">
    <w:name w:val="Balloon Text"/>
    <w:basedOn w:val="Normal"/>
    <w:link w:val="TextodegloboCar"/>
    <w:uiPriority w:val="99"/>
    <w:semiHidden/>
    <w:unhideWhenUsed/>
    <w:rsid w:val="009906BE"/>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6BE"/>
    <w:rPr>
      <w:rFonts w:ascii="Tahoma" w:eastAsia="Times New Roman" w:hAnsi="Tahoma" w:cs="Tahoma"/>
      <w:sz w:val="16"/>
      <w:szCs w:val="16"/>
      <w:lang w:eastAsia="es-ES_tradnl"/>
    </w:rPr>
  </w:style>
  <w:style w:type="table" w:styleId="Tablaconcuadrcula">
    <w:name w:val="Table Grid"/>
    <w:basedOn w:val="Tablanormal"/>
    <w:uiPriority w:val="59"/>
    <w:rsid w:val="00AF1FF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0344A"/>
    <w:pPr>
      <w:ind w:left="720"/>
      <w:contextualSpacing/>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9</Pages>
  <Words>2875</Words>
  <Characters>15387</Characters>
  <Application>Microsoft Office Word</Application>
  <DocSecurity>0</DocSecurity>
  <Lines>341</Lines>
  <Paragraphs>89</Paragraphs>
  <ScaleCrop>false</ScaleCrop>
  <Company>HP Inc.</Company>
  <LinksUpToDate>false</LinksUpToDate>
  <CharactersWithSpaces>18173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Marisela Caleno</dc:creator>
  <cp:keywords/>
  <dc:description/>
  <cp:lastModifiedBy>Marisela Caleno</cp:lastModifiedBy>
  <cp:revision>425</cp:revision>
  <dcterms:created xsi:type="dcterms:W3CDTF">2022-08-17T20:37:00Z</dcterms:created>
  <dcterms:modified xsi:type="dcterms:W3CDTF">2022-10-12T20:44:00Z</dcterms:modified>
</cp:coreProperties>
</file>