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EL CONCEJO METROPOLITANO DE QUITO</w:t>
      </w: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CONSIDERANDO:</w:t>
      </w:r>
    </w:p>
    <w:p w:rsidR="000113AC" w:rsidRPr="00993181"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 el artículo 240 de la Constitución de República del Ecuador, en adelante Constitución, establece: “</w:t>
      </w:r>
      <w:r w:rsidRPr="00993181">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la Constitución de la República del Ecuador en su artículo 266, determina: </w:t>
      </w:r>
      <w:r w:rsidRPr="00993181">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993181">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conforme establece el artículo 87, literal v) del COOTAD, al Concejo Metropolitano le corresponde: </w:t>
      </w:r>
      <w:r w:rsidRPr="00993181">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993181">
        <w:rPr>
          <w:rFonts w:ascii="Palatino Linotype" w:eastAsiaTheme="minorHAnsi" w:hAnsi="Palatino Linotype"/>
          <w:sz w:val="22"/>
          <w:szCs w:val="22"/>
          <w:lang w:eastAsia="en-US"/>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artículo 323 del COOTAD establece: “</w:t>
      </w:r>
      <w:r w:rsidRPr="00993181">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993181">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424 del COOTAD señala: </w:t>
      </w:r>
      <w:r w:rsidRPr="00993181">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472 del COOTAD señala que: </w:t>
      </w:r>
      <w:r w:rsidRPr="00993181">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2410 del el Código Civil Ecuatoriano determina que: </w:t>
      </w:r>
      <w:r w:rsidRPr="00993181">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jc w:val="both"/>
        <w:rPr>
          <w:rFonts w:ascii="Palatino Linotype" w:hAnsi="Palatino Linotype"/>
          <w:sz w:val="22"/>
          <w:szCs w:val="22"/>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lastRenderedPageBreak/>
        <w:t>Que,</w:t>
      </w:r>
      <w:r w:rsidRPr="00993181">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993181">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993181">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993181">
        <w:rPr>
          <w:rFonts w:ascii="Palatino Linotype" w:hAnsi="Palatino Linotype"/>
          <w:i/>
          <w:sz w:val="22"/>
          <w:szCs w:val="22"/>
        </w:rPr>
        <w:t>”</w:t>
      </w:r>
      <w:r w:rsidRPr="00993181">
        <w:rPr>
          <w:rFonts w:ascii="Palatino Linotype" w:hAnsi="Palatino Linotype"/>
          <w:sz w:val="22"/>
          <w:szCs w:val="22"/>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en su artículo 2171, establece: </w:t>
      </w:r>
      <w:r w:rsidRPr="00993181">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113AC" w:rsidRDefault="000113AC" w:rsidP="00F45FE9">
      <w:pPr>
        <w:autoSpaceDE w:val="0"/>
        <w:autoSpaceDN w:val="0"/>
        <w:adjustRightInd w:val="0"/>
        <w:ind w:left="708" w:right="626" w:hanging="708"/>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r>
      <w:r w:rsidR="006A4203">
        <w:rPr>
          <w:rFonts w:ascii="Palatino Linotype" w:hAnsi="Palatino Linotype"/>
          <w:sz w:val="22"/>
          <w:szCs w:val="22"/>
          <w:lang w:val="es-ES"/>
        </w:rPr>
        <w:t>c</w:t>
      </w:r>
      <w:r w:rsidR="00F45FE9" w:rsidRPr="00374B4B">
        <w:rPr>
          <w:rFonts w:ascii="Palatino Linotype" w:hAnsi="Palatino Linotype"/>
          <w:sz w:val="22"/>
          <w:szCs w:val="22"/>
          <w:lang w:val="es-ES"/>
        </w:rPr>
        <w:t xml:space="preserve">on Proceso de Juicio No. </w:t>
      </w:r>
      <w:r w:rsidR="00F45FE9" w:rsidRPr="006A4203">
        <w:rPr>
          <w:rFonts w:ascii="Palatino Linotype" w:hAnsi="Palatino Linotype"/>
          <w:sz w:val="22"/>
          <w:szCs w:val="22"/>
          <w:lang w:val="es-ES"/>
        </w:rPr>
        <w:t>17230-2018-12203</w:t>
      </w:r>
      <w:r w:rsidR="00F45FE9" w:rsidRPr="00374B4B">
        <w:rPr>
          <w:rFonts w:ascii="Palatino Linotype" w:hAnsi="Palatino Linotype"/>
          <w:sz w:val="22"/>
          <w:szCs w:val="22"/>
          <w:lang w:val="es-ES"/>
        </w:rPr>
        <w:t>, la Unidad Judicial Civil con sede en la Parroquia de Iñaquito del Distrito Metropolitano de Quito, miércoles 14 de agosto del 2019, a las 15h37, emite sentencia de Prescripción Extraordinaria Adquisitiva de Dominio a favor de la Sra. María Aurora Llano Yugsi con cédula de ciudadanía No. 172135578-0; sobre parte del predio 1296691, correspondiente a un lote de terreno y casa con numero No. 168 con un área de terreno de 88.80 m2 y un área de construcción de 137.24 m2 en el que se encuentra el Conjunto Habitacional Paseos de Calderón, Etapa II de la parroquia Calderón del D</w:t>
      </w:r>
      <w:r w:rsidR="00F45FE9">
        <w:rPr>
          <w:rFonts w:ascii="Palatino Linotype" w:hAnsi="Palatino Linotype"/>
          <w:sz w:val="22"/>
          <w:szCs w:val="22"/>
          <w:lang w:val="es-ES"/>
        </w:rPr>
        <w:t>istrito Metropolitano de Quito;</w:t>
      </w:r>
      <w:r w:rsidRPr="00993181">
        <w:rPr>
          <w:rFonts w:ascii="Palatino Linotype" w:hAnsi="Palatino Linotype"/>
          <w:sz w:val="22"/>
          <w:szCs w:val="22"/>
        </w:rPr>
        <w:t xml:space="preserve"> </w:t>
      </w:r>
    </w:p>
    <w:p w:rsidR="00F45FE9" w:rsidRPr="00993181" w:rsidRDefault="00F45FE9" w:rsidP="00F45FE9">
      <w:pPr>
        <w:autoSpaceDE w:val="0"/>
        <w:autoSpaceDN w:val="0"/>
        <w:adjustRightInd w:val="0"/>
        <w:ind w:left="708" w:right="626" w:hanging="708"/>
        <w:jc w:val="both"/>
        <w:rPr>
          <w:rFonts w:ascii="Palatino Linotype" w:hAnsi="Palatino Linotype"/>
          <w:sz w:val="22"/>
          <w:szCs w:val="22"/>
        </w:rPr>
      </w:pPr>
    </w:p>
    <w:p w:rsidR="000113AC" w:rsidRPr="00993181" w:rsidRDefault="000113AC" w:rsidP="000113AC">
      <w:pPr>
        <w:autoSpaceDE w:val="0"/>
        <w:autoSpaceDN w:val="0"/>
        <w:adjustRightInd w:val="0"/>
        <w:ind w:left="708" w:hanging="708"/>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mediante oficio Nro.</w:t>
      </w:r>
      <w:r w:rsidRPr="00993181">
        <w:rPr>
          <w:rFonts w:ascii="Palatino Linotype" w:hAnsi="Palatino Linotype"/>
          <w:sz w:val="22"/>
          <w:szCs w:val="22"/>
        </w:rPr>
        <w:t xml:space="preserve"> 2950-2010 de 31 de octubre de 2011</w:t>
      </w:r>
      <w:r w:rsidRPr="00993181">
        <w:rPr>
          <w:rFonts w:ascii="Palatino Linotype" w:eastAsiaTheme="minorHAnsi" w:hAnsi="Palatino Linotype"/>
          <w:sz w:val="22"/>
          <w:szCs w:val="22"/>
          <w:lang w:eastAsia="en-US"/>
        </w:rPr>
        <w:t xml:space="preserve"> la Procuraduría Metropolitana emitió un </w:t>
      </w:r>
      <w:r w:rsidRPr="00993181">
        <w:rPr>
          <w:rFonts w:ascii="Palatino Linotype" w:hAnsi="Palatino Linotype"/>
          <w:sz w:val="22"/>
          <w:szCs w:val="22"/>
        </w:rPr>
        <w:t xml:space="preserve">pronunciamiento en forma general, respecto al marco legal y operativo para todos los casos de </w:t>
      </w:r>
      <w:r w:rsidRPr="00993181">
        <w:rPr>
          <w:rFonts w:ascii="Palatino Linotype" w:eastAsiaTheme="minorHAnsi" w:hAnsi="Palatino Linotype"/>
          <w:sz w:val="22"/>
          <w:szCs w:val="22"/>
          <w:lang w:eastAsia="en-US"/>
        </w:rPr>
        <w:t>prescripción extraordinaria adquisitiva de dominio;</w:t>
      </w:r>
    </w:p>
    <w:p w:rsidR="000113AC" w:rsidRPr="00993181" w:rsidRDefault="000113AC" w:rsidP="00AA301D">
      <w:pPr>
        <w:pStyle w:val="Default"/>
        <w:jc w:val="both"/>
        <w:rPr>
          <w:i/>
          <w:sz w:val="22"/>
          <w:szCs w:val="22"/>
        </w:rPr>
      </w:pPr>
    </w:p>
    <w:p w:rsidR="005C1445" w:rsidRPr="00374B4B" w:rsidRDefault="000113AC" w:rsidP="007D7C83">
      <w:pPr>
        <w:autoSpaceDE w:val="0"/>
        <w:autoSpaceDN w:val="0"/>
        <w:adjustRightInd w:val="0"/>
        <w:ind w:left="708" w:hanging="708"/>
        <w:jc w:val="both"/>
        <w:rPr>
          <w:rFonts w:ascii="Palatino Linotype" w:hAnsi="Palatino Linotype"/>
          <w:sz w:val="22"/>
          <w:szCs w:val="22"/>
        </w:rPr>
      </w:pPr>
      <w:r w:rsidRPr="00993181">
        <w:rPr>
          <w:b/>
          <w:sz w:val="22"/>
          <w:szCs w:val="22"/>
        </w:rPr>
        <w:lastRenderedPageBreak/>
        <w:t xml:space="preserve">Que, </w:t>
      </w:r>
      <w:r w:rsidR="005C1445">
        <w:rPr>
          <w:rFonts w:ascii="Palatino Linotype" w:hAnsi="Palatino Linotype"/>
          <w:sz w:val="22"/>
          <w:szCs w:val="22"/>
        </w:rPr>
        <w:t>m</w:t>
      </w:r>
      <w:r w:rsidR="005C1445" w:rsidRPr="00374B4B">
        <w:rPr>
          <w:rFonts w:ascii="Palatino Linotype" w:hAnsi="Palatino Linotype"/>
          <w:sz w:val="22"/>
          <w:szCs w:val="22"/>
        </w:rPr>
        <w:t xml:space="preserve">ediante Informe Técnico </w:t>
      </w:r>
      <w:r w:rsidR="005C1445" w:rsidRPr="00374B4B">
        <w:rPr>
          <w:rFonts w:ascii="Palatino Linotype" w:hAnsi="Palatino Linotype"/>
          <w:sz w:val="22"/>
          <w:szCs w:val="22"/>
          <w:lang w:val="es-ES"/>
        </w:rPr>
        <w:t>AZCA-DGT-2022-019 de 29 de marzo de 2022</w:t>
      </w:r>
      <w:r w:rsidR="005C1445" w:rsidRPr="00374B4B">
        <w:rPr>
          <w:rFonts w:ascii="Palatino Linotype" w:hAnsi="Palatino Linotype"/>
          <w:sz w:val="22"/>
          <w:szCs w:val="22"/>
        </w:rPr>
        <w:t xml:space="preserve">, el Ing. Israel Jiménez Jefe de Gestión Urbana, señala: </w:t>
      </w:r>
    </w:p>
    <w:p w:rsidR="005C1445" w:rsidRPr="00374B4B" w:rsidRDefault="005C1445" w:rsidP="005C1445">
      <w:pPr>
        <w:autoSpaceDE w:val="0"/>
        <w:autoSpaceDN w:val="0"/>
        <w:adjustRightInd w:val="0"/>
        <w:ind w:left="708"/>
        <w:jc w:val="both"/>
        <w:rPr>
          <w:rFonts w:ascii="Palatino Linotype" w:eastAsiaTheme="minorHAnsi" w:hAnsi="Palatino Linotype" w:cs="Calibri"/>
          <w:i/>
          <w:sz w:val="22"/>
          <w:szCs w:val="22"/>
          <w:lang w:val="es-ES" w:eastAsia="en-US"/>
        </w:rPr>
      </w:pPr>
    </w:p>
    <w:p w:rsidR="005C1445" w:rsidRPr="00374B4B" w:rsidRDefault="005C1445" w:rsidP="005C1445">
      <w:pPr>
        <w:autoSpaceDE w:val="0"/>
        <w:autoSpaceDN w:val="0"/>
        <w:adjustRightInd w:val="0"/>
        <w:ind w:left="708"/>
        <w:jc w:val="both"/>
        <w:rPr>
          <w:rFonts w:ascii="Palatino Linotype" w:eastAsiaTheme="minorHAnsi" w:hAnsi="Palatino Linotype" w:cs="Calibri"/>
          <w:i/>
          <w:sz w:val="22"/>
          <w:szCs w:val="22"/>
          <w:lang w:val="es-ES" w:eastAsia="en-US"/>
        </w:rPr>
      </w:pPr>
      <w:r w:rsidRPr="00374B4B">
        <w:rPr>
          <w:rFonts w:ascii="Palatino Linotype" w:eastAsiaTheme="minorHAnsi" w:hAnsi="Palatino Linotype" w:cs="Calibri"/>
          <w:i/>
          <w:sz w:val="22"/>
          <w:szCs w:val="22"/>
          <w:lang w:val="es-ES" w:eastAsia="en-US"/>
        </w:rPr>
        <w:t>“</w:t>
      </w:r>
      <w:r>
        <w:rPr>
          <w:rFonts w:ascii="Palatino Linotype" w:eastAsiaTheme="minorHAnsi" w:hAnsi="Palatino Linotype" w:cs="Calibri"/>
          <w:i/>
          <w:sz w:val="22"/>
          <w:szCs w:val="22"/>
          <w:lang w:val="es-ES" w:eastAsia="en-US"/>
        </w:rPr>
        <w:t xml:space="preserve">(…) </w:t>
      </w:r>
      <w:r w:rsidRPr="00374B4B">
        <w:rPr>
          <w:rFonts w:ascii="Palatino Linotype" w:eastAsiaTheme="minorHAnsi" w:hAnsi="Palatino Linotype" w:cs="Calibri"/>
          <w:i/>
          <w:sz w:val="22"/>
          <w:szCs w:val="22"/>
          <w:lang w:val="es-ES" w:eastAsia="en-US"/>
        </w:rPr>
        <w:t xml:space="preserve">Del análisis técnico se desprende que, la prescripción adquisitiva de dominio de una parte del inmueble del predio No. 1296691, No Cumple con los datos establecidos en la zonificación vigente, tales como, “lote mínimo” y “frente mínimo”, el área prescrita corresponde a 88.80m2 menor a 600m2 zonificación vigente; además no tiene frente hacia una vía aprobada razón por la que se emite </w:t>
      </w:r>
      <w:r w:rsidRPr="00FE102B">
        <w:rPr>
          <w:rFonts w:ascii="Palatino Linotype" w:eastAsiaTheme="minorHAnsi" w:hAnsi="Palatino Linotype" w:cs="Calibri"/>
          <w:b/>
          <w:i/>
          <w:sz w:val="22"/>
          <w:szCs w:val="22"/>
          <w:lang w:val="es-ES" w:eastAsia="en-US"/>
        </w:rPr>
        <w:t>Informe Técnico desfavorable.”</w:t>
      </w:r>
    </w:p>
    <w:p w:rsidR="00311483" w:rsidRDefault="00311483" w:rsidP="005C1445">
      <w:pPr>
        <w:pStyle w:val="Default"/>
        <w:ind w:left="708" w:hanging="708"/>
        <w:jc w:val="both"/>
        <w:rPr>
          <w:rFonts w:cs="Calibri"/>
          <w:i/>
          <w:sz w:val="22"/>
          <w:szCs w:val="22"/>
        </w:rPr>
      </w:pPr>
    </w:p>
    <w:p w:rsidR="005C1445" w:rsidRDefault="005C1445" w:rsidP="00DF169C">
      <w:pPr>
        <w:pStyle w:val="Default"/>
        <w:ind w:left="708" w:hanging="708"/>
        <w:jc w:val="both"/>
        <w:rPr>
          <w:rFonts w:cs="Calibri"/>
          <w:i/>
          <w:sz w:val="22"/>
          <w:szCs w:val="22"/>
        </w:rPr>
      </w:pPr>
    </w:p>
    <w:p w:rsidR="007D7C83" w:rsidRPr="00374B4B" w:rsidRDefault="005A184C" w:rsidP="007D7C83">
      <w:pPr>
        <w:autoSpaceDE w:val="0"/>
        <w:autoSpaceDN w:val="0"/>
        <w:adjustRightInd w:val="0"/>
        <w:ind w:left="708" w:hanging="708"/>
        <w:jc w:val="both"/>
        <w:rPr>
          <w:rFonts w:ascii="Palatino Linotype" w:hAnsi="Palatino Linotype"/>
          <w:sz w:val="22"/>
          <w:szCs w:val="22"/>
        </w:rPr>
      </w:pPr>
      <w:r w:rsidRPr="005A184C">
        <w:rPr>
          <w:b/>
          <w:sz w:val="22"/>
          <w:szCs w:val="22"/>
        </w:rPr>
        <w:t xml:space="preserve">Que, </w:t>
      </w:r>
      <w:r w:rsidR="007D7C83">
        <w:rPr>
          <w:rFonts w:ascii="Palatino Linotype" w:hAnsi="Palatino Linotype"/>
          <w:sz w:val="22"/>
          <w:szCs w:val="22"/>
        </w:rPr>
        <w:t>m</w:t>
      </w:r>
      <w:r w:rsidR="007D7C83" w:rsidRPr="00374B4B">
        <w:rPr>
          <w:rFonts w:ascii="Palatino Linotype" w:hAnsi="Palatino Linotype"/>
          <w:sz w:val="22"/>
          <w:szCs w:val="22"/>
        </w:rPr>
        <w:t>ediante</w:t>
      </w:r>
      <w:r w:rsidR="007D7C83" w:rsidRPr="00374B4B">
        <w:rPr>
          <w:rFonts w:ascii="Palatino Linotype" w:eastAsiaTheme="minorHAnsi" w:hAnsi="Palatino Linotype"/>
          <w:sz w:val="22"/>
          <w:szCs w:val="22"/>
          <w:lang w:val="es-ES" w:eastAsia="en-US"/>
        </w:rPr>
        <w:t xml:space="preserve"> memorando Nro. GADDMQ-AZCA-CATASTRO-2022-0008-M de 16 de febrero de 2022, la Srta. Ing. Nancy Maribel Calapaqui Chiliquinga Jefa Zonal de Catastro de la Administración Zonal Calderón </w:t>
      </w:r>
      <w:r w:rsidR="007D7C83" w:rsidRPr="00374B4B">
        <w:rPr>
          <w:rFonts w:ascii="Palatino Linotype" w:hAnsi="Palatino Linotype"/>
          <w:sz w:val="22"/>
          <w:szCs w:val="22"/>
        </w:rPr>
        <w:t>señala:</w:t>
      </w:r>
    </w:p>
    <w:p w:rsidR="007D7C83" w:rsidRPr="00374B4B" w:rsidRDefault="007D7C83" w:rsidP="007D7C83">
      <w:pPr>
        <w:autoSpaceDE w:val="0"/>
        <w:autoSpaceDN w:val="0"/>
        <w:adjustRightInd w:val="0"/>
        <w:rPr>
          <w:rFonts w:ascii="Palatino Linotype" w:hAnsi="Palatino Linotype"/>
          <w:sz w:val="22"/>
          <w:szCs w:val="22"/>
        </w:rPr>
      </w:pPr>
    </w:p>
    <w:p w:rsidR="007D7C83" w:rsidRPr="00374B4B" w:rsidRDefault="007D7C83" w:rsidP="007D7C83">
      <w:pPr>
        <w:tabs>
          <w:tab w:val="left" w:pos="284"/>
        </w:tabs>
        <w:ind w:left="708"/>
        <w:jc w:val="both"/>
        <w:rPr>
          <w:rFonts w:ascii="Palatino Linotype" w:eastAsiaTheme="minorHAnsi" w:hAnsi="Palatino Linotype"/>
          <w:i/>
          <w:sz w:val="22"/>
          <w:szCs w:val="22"/>
          <w:lang w:val="es-ES" w:eastAsia="en-US"/>
        </w:rPr>
      </w:pPr>
      <w:r w:rsidRPr="00374B4B">
        <w:rPr>
          <w:rFonts w:ascii="Palatino Linotype" w:eastAsiaTheme="minorHAnsi" w:hAnsi="Palatino Linotype"/>
          <w:i/>
          <w:sz w:val="22"/>
          <w:szCs w:val="22"/>
          <w:lang w:val="es-ES" w:eastAsia="en-US"/>
        </w:rPr>
        <w:t>“</w:t>
      </w:r>
      <w:r>
        <w:rPr>
          <w:rFonts w:ascii="Palatino Linotype" w:eastAsiaTheme="minorHAnsi" w:hAnsi="Palatino Linotype"/>
          <w:i/>
          <w:sz w:val="22"/>
          <w:szCs w:val="22"/>
          <w:lang w:val="es-ES" w:eastAsia="en-US"/>
        </w:rPr>
        <w:t xml:space="preserve">(…) </w:t>
      </w:r>
      <w:r w:rsidRPr="00374B4B">
        <w:rPr>
          <w:rFonts w:ascii="Palatino Linotype" w:eastAsiaTheme="minorHAnsi" w:hAnsi="Palatino Linotype"/>
          <w:i/>
          <w:sz w:val="22"/>
          <w:szCs w:val="22"/>
          <w:lang w:val="es-ES" w:eastAsia="en-US"/>
        </w:rPr>
        <w:t>De la base legal expuesta, me permito informar que, es competencia de la Dirección</w:t>
      </w:r>
      <w:r>
        <w:rPr>
          <w:rFonts w:ascii="Palatino Linotype" w:eastAsiaTheme="minorHAnsi" w:hAnsi="Palatino Linotype"/>
          <w:i/>
          <w:sz w:val="22"/>
          <w:szCs w:val="22"/>
          <w:lang w:val="es-ES" w:eastAsia="en-US"/>
        </w:rPr>
        <w:t xml:space="preserve"> </w:t>
      </w:r>
      <w:r w:rsidRPr="00374B4B">
        <w:rPr>
          <w:rFonts w:ascii="Palatino Linotype" w:eastAsiaTheme="minorHAnsi" w:hAnsi="Palatino Linotype"/>
          <w:i/>
          <w:sz w:val="22"/>
          <w:szCs w:val="22"/>
          <w:lang w:val="es-ES" w:eastAsia="en-US"/>
        </w:rPr>
        <w:t>Metropolitana de Catastro ingresar al sistema de Catastro las sentencias de Prescripción Adquisitiva de Dominio y generar número de predio, una vez ingresado al Sistema de Licencias Metropolitanas SLUM, más no la de generar valor alguno sobre compensaciones monetarias por la contribución del 15% del área útil prescrita.</w:t>
      </w:r>
    </w:p>
    <w:p w:rsidR="007D7C83" w:rsidRPr="00374B4B" w:rsidRDefault="007D7C83" w:rsidP="007D7C83">
      <w:pPr>
        <w:tabs>
          <w:tab w:val="left" w:pos="284"/>
        </w:tabs>
        <w:ind w:left="424"/>
        <w:jc w:val="both"/>
        <w:rPr>
          <w:rFonts w:ascii="Palatino Linotype" w:eastAsiaTheme="minorHAnsi" w:hAnsi="Palatino Linotype"/>
          <w:i/>
          <w:sz w:val="22"/>
          <w:szCs w:val="22"/>
          <w:lang w:val="es-ES" w:eastAsia="en-US"/>
        </w:rPr>
      </w:pPr>
    </w:p>
    <w:p w:rsidR="007D7C83" w:rsidRPr="00374B4B" w:rsidRDefault="007D7C83" w:rsidP="007D7C83">
      <w:pPr>
        <w:tabs>
          <w:tab w:val="left" w:pos="284"/>
        </w:tabs>
        <w:ind w:left="708"/>
        <w:jc w:val="both"/>
        <w:rPr>
          <w:rFonts w:ascii="Palatino Linotype" w:eastAsiaTheme="minorHAnsi" w:hAnsi="Palatino Linotype"/>
          <w:i/>
          <w:sz w:val="22"/>
          <w:szCs w:val="22"/>
          <w:lang w:val="es-ES" w:eastAsia="en-US"/>
        </w:rPr>
      </w:pPr>
      <w:r w:rsidRPr="00374B4B">
        <w:rPr>
          <w:rFonts w:ascii="Palatino Linotype" w:eastAsiaTheme="minorHAnsi" w:hAnsi="Palatino Linotype"/>
          <w:i/>
          <w:sz w:val="22"/>
          <w:szCs w:val="22"/>
          <w:lang w:val="es-ES" w:eastAsia="en-US"/>
        </w:rPr>
        <w:t xml:space="preserve">Por tanto, revisado el sistema de registro catastral SIREC-Q a la presente fecha, el inmueble identificado con </w:t>
      </w:r>
      <w:r w:rsidRPr="00374B4B">
        <w:rPr>
          <w:rFonts w:ascii="Palatino Linotype" w:eastAsiaTheme="minorHAnsi" w:hAnsi="Palatino Linotype"/>
          <w:b/>
          <w:bCs/>
          <w:i/>
          <w:sz w:val="22"/>
          <w:szCs w:val="22"/>
          <w:lang w:val="es-ES" w:eastAsia="en-US"/>
        </w:rPr>
        <w:t xml:space="preserve">Predio </w:t>
      </w:r>
      <w:r w:rsidRPr="00374B4B">
        <w:rPr>
          <w:rFonts w:ascii="Palatino Linotype" w:eastAsiaTheme="minorHAnsi" w:hAnsi="Palatino Linotype"/>
          <w:i/>
          <w:sz w:val="22"/>
          <w:szCs w:val="22"/>
          <w:lang w:val="es-ES" w:eastAsia="en-US"/>
        </w:rPr>
        <w:t xml:space="preserve">1296691, </w:t>
      </w:r>
      <w:r w:rsidRPr="00374B4B">
        <w:rPr>
          <w:rFonts w:ascii="Palatino Linotype" w:eastAsiaTheme="minorHAnsi" w:hAnsi="Palatino Linotype"/>
          <w:b/>
          <w:bCs/>
          <w:i/>
          <w:sz w:val="22"/>
          <w:szCs w:val="22"/>
          <w:lang w:val="es-ES" w:eastAsia="en-US"/>
        </w:rPr>
        <w:t xml:space="preserve">Clave Catastral </w:t>
      </w:r>
      <w:r w:rsidRPr="00374B4B">
        <w:rPr>
          <w:rFonts w:ascii="Palatino Linotype" w:eastAsiaTheme="minorHAnsi" w:hAnsi="Palatino Linotype"/>
          <w:i/>
          <w:sz w:val="22"/>
          <w:szCs w:val="22"/>
          <w:lang w:val="es-ES" w:eastAsia="en-US"/>
        </w:rPr>
        <w:t>1271302005, ubicado en la parroquia Calderón y catastrado a nombre de ASOCIACION SOLIDARIDAD Y ACCION A.S.A. RUC: 1791276655001, registra los siguientes datos técnicos:</w:t>
      </w:r>
    </w:p>
    <w:p w:rsidR="007D7C83" w:rsidRPr="00374B4B" w:rsidRDefault="007D7C83" w:rsidP="007D7C83">
      <w:pPr>
        <w:tabs>
          <w:tab w:val="left" w:pos="284"/>
        </w:tabs>
        <w:jc w:val="both"/>
        <w:rPr>
          <w:rFonts w:ascii="Palatino Linotype" w:eastAsiaTheme="minorHAnsi" w:hAnsi="Palatino Linotype"/>
          <w:b/>
          <w:bCs/>
          <w:i/>
          <w:sz w:val="22"/>
          <w:szCs w:val="22"/>
          <w:lang w:val="es-ES" w:eastAsia="en-US"/>
        </w:rPr>
      </w:pPr>
    </w:p>
    <w:tbl>
      <w:tblPr>
        <w:tblpPr w:leftFromText="141" w:rightFromText="141" w:vertAnchor="text" w:tblpX="146" w:tblpY="286"/>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680"/>
        <w:gridCol w:w="2235"/>
        <w:gridCol w:w="2010"/>
      </w:tblGrid>
      <w:tr w:rsidR="007D7C83" w:rsidRPr="00374B4B" w:rsidTr="00EA11E2">
        <w:trPr>
          <w:trHeight w:val="322"/>
        </w:trPr>
        <w:tc>
          <w:tcPr>
            <w:tcW w:w="2760" w:type="dxa"/>
          </w:tcPr>
          <w:p w:rsidR="007D7C83" w:rsidRPr="00374B4B" w:rsidRDefault="007D7C83" w:rsidP="00EA11E2">
            <w:pPr>
              <w:tabs>
                <w:tab w:val="left" w:pos="284"/>
              </w:tabs>
              <w:jc w:val="both"/>
              <w:rPr>
                <w:rFonts w:ascii="Palatino Linotype" w:eastAsiaTheme="minorHAnsi" w:hAnsi="Palatino Linotype"/>
                <w:b/>
                <w:bCs/>
                <w:i/>
                <w:sz w:val="22"/>
                <w:szCs w:val="22"/>
                <w:lang w:val="es-ES" w:eastAsia="en-US"/>
              </w:rPr>
            </w:pPr>
            <w:r w:rsidRPr="00374B4B">
              <w:rPr>
                <w:rFonts w:ascii="Palatino Linotype" w:eastAsiaTheme="minorHAnsi" w:hAnsi="Palatino Linotype"/>
                <w:b/>
                <w:bCs/>
                <w:i/>
                <w:sz w:val="22"/>
                <w:szCs w:val="22"/>
                <w:lang w:val="es-ES" w:eastAsia="en-US"/>
              </w:rPr>
              <w:t>AIVA</w:t>
            </w:r>
          </w:p>
        </w:tc>
        <w:tc>
          <w:tcPr>
            <w:tcW w:w="1680" w:type="dxa"/>
          </w:tcPr>
          <w:p w:rsidR="007D7C83" w:rsidRPr="00374B4B" w:rsidRDefault="007D7C83" w:rsidP="00EA11E2">
            <w:pPr>
              <w:tabs>
                <w:tab w:val="left" w:pos="284"/>
              </w:tabs>
              <w:ind w:left="335"/>
              <w:jc w:val="both"/>
              <w:rPr>
                <w:rFonts w:ascii="Palatino Linotype" w:eastAsiaTheme="minorHAnsi" w:hAnsi="Palatino Linotype"/>
                <w:b/>
                <w:bCs/>
                <w:i/>
                <w:sz w:val="22"/>
                <w:szCs w:val="22"/>
                <w:lang w:val="es-ES" w:eastAsia="en-US"/>
              </w:rPr>
            </w:pPr>
            <w:r w:rsidRPr="00374B4B">
              <w:rPr>
                <w:rFonts w:ascii="Palatino Linotype" w:eastAsiaTheme="minorHAnsi" w:hAnsi="Palatino Linotype"/>
                <w:b/>
                <w:bCs/>
                <w:i/>
                <w:sz w:val="22"/>
                <w:szCs w:val="22"/>
                <w:lang w:val="es-ES" w:eastAsia="en-US"/>
              </w:rPr>
              <w:t>AREA</w:t>
            </w:r>
          </w:p>
        </w:tc>
        <w:tc>
          <w:tcPr>
            <w:tcW w:w="2235" w:type="dxa"/>
          </w:tcPr>
          <w:p w:rsidR="007D7C83" w:rsidRPr="00374B4B" w:rsidRDefault="007D7C83" w:rsidP="00EA11E2">
            <w:pPr>
              <w:tabs>
                <w:tab w:val="left" w:pos="284"/>
              </w:tabs>
              <w:jc w:val="both"/>
              <w:rPr>
                <w:rFonts w:ascii="Palatino Linotype" w:eastAsiaTheme="minorHAnsi" w:hAnsi="Palatino Linotype"/>
                <w:b/>
                <w:bCs/>
                <w:i/>
                <w:sz w:val="22"/>
                <w:szCs w:val="22"/>
                <w:lang w:val="es-ES" w:eastAsia="en-US"/>
              </w:rPr>
            </w:pPr>
            <w:r w:rsidRPr="00374B4B">
              <w:rPr>
                <w:rFonts w:ascii="Palatino Linotype" w:eastAsiaTheme="minorHAnsi" w:hAnsi="Palatino Linotype"/>
                <w:b/>
                <w:bCs/>
                <w:i/>
                <w:sz w:val="22"/>
                <w:szCs w:val="22"/>
                <w:lang w:val="es-ES" w:eastAsia="en-US"/>
              </w:rPr>
              <w:t xml:space="preserve">     VALOR/m2</w:t>
            </w:r>
          </w:p>
          <w:p w:rsidR="007D7C83" w:rsidRPr="00374B4B" w:rsidRDefault="007D7C83" w:rsidP="00EA11E2">
            <w:pPr>
              <w:tabs>
                <w:tab w:val="left" w:pos="284"/>
              </w:tabs>
              <w:ind w:left="610"/>
              <w:jc w:val="both"/>
              <w:rPr>
                <w:rFonts w:ascii="Palatino Linotype" w:eastAsiaTheme="minorHAnsi" w:hAnsi="Palatino Linotype"/>
                <w:b/>
                <w:bCs/>
                <w:i/>
                <w:sz w:val="22"/>
                <w:szCs w:val="22"/>
                <w:lang w:val="es-ES" w:eastAsia="en-US"/>
              </w:rPr>
            </w:pPr>
          </w:p>
        </w:tc>
        <w:tc>
          <w:tcPr>
            <w:tcW w:w="2010" w:type="dxa"/>
          </w:tcPr>
          <w:p w:rsidR="007D7C83" w:rsidRPr="00374B4B" w:rsidRDefault="007D7C83" w:rsidP="00EA11E2">
            <w:pPr>
              <w:tabs>
                <w:tab w:val="left" w:pos="284"/>
              </w:tabs>
              <w:jc w:val="both"/>
              <w:rPr>
                <w:rFonts w:ascii="Palatino Linotype" w:eastAsiaTheme="minorHAnsi" w:hAnsi="Palatino Linotype"/>
                <w:b/>
                <w:bCs/>
                <w:i/>
                <w:sz w:val="22"/>
                <w:szCs w:val="22"/>
                <w:lang w:val="es-ES" w:eastAsia="en-US"/>
              </w:rPr>
            </w:pPr>
            <w:r w:rsidRPr="00374B4B">
              <w:rPr>
                <w:rFonts w:ascii="Palatino Linotype" w:eastAsiaTheme="minorHAnsi" w:hAnsi="Palatino Linotype"/>
                <w:b/>
                <w:bCs/>
                <w:i/>
                <w:sz w:val="22"/>
                <w:szCs w:val="22"/>
                <w:lang w:val="es-ES" w:eastAsia="en-US"/>
              </w:rPr>
              <w:t>Avalúo de terreno</w:t>
            </w:r>
          </w:p>
          <w:p w:rsidR="007D7C83" w:rsidRPr="00374B4B" w:rsidRDefault="007D7C83" w:rsidP="00EA11E2">
            <w:pPr>
              <w:tabs>
                <w:tab w:val="left" w:pos="284"/>
              </w:tabs>
              <w:jc w:val="both"/>
              <w:rPr>
                <w:rFonts w:ascii="Palatino Linotype" w:eastAsiaTheme="minorHAnsi" w:hAnsi="Palatino Linotype"/>
                <w:b/>
                <w:bCs/>
                <w:i/>
                <w:sz w:val="22"/>
                <w:szCs w:val="22"/>
                <w:lang w:val="es-ES" w:eastAsia="en-US"/>
              </w:rPr>
            </w:pPr>
          </w:p>
        </w:tc>
      </w:tr>
      <w:tr w:rsidR="007D7C83" w:rsidRPr="00374B4B" w:rsidTr="00EA11E2">
        <w:trPr>
          <w:trHeight w:val="1215"/>
        </w:trPr>
        <w:tc>
          <w:tcPr>
            <w:tcW w:w="2760" w:type="dxa"/>
          </w:tcPr>
          <w:p w:rsidR="007D7C83" w:rsidRPr="00374B4B" w:rsidRDefault="007D7C83" w:rsidP="00EA11E2">
            <w:pPr>
              <w:tabs>
                <w:tab w:val="left" w:pos="284"/>
              </w:tabs>
              <w:jc w:val="both"/>
              <w:rPr>
                <w:rFonts w:ascii="Palatino Linotype" w:eastAsiaTheme="minorHAnsi" w:hAnsi="Palatino Linotype"/>
                <w:i/>
                <w:sz w:val="22"/>
                <w:szCs w:val="22"/>
                <w:lang w:val="es-ES" w:eastAsia="en-US"/>
              </w:rPr>
            </w:pPr>
            <w:r w:rsidRPr="00374B4B">
              <w:rPr>
                <w:rFonts w:ascii="Palatino Linotype" w:eastAsiaTheme="minorHAnsi" w:hAnsi="Palatino Linotype"/>
                <w:i/>
                <w:sz w:val="22"/>
                <w:szCs w:val="22"/>
                <w:lang w:val="es-ES" w:eastAsia="en-US"/>
              </w:rPr>
              <w:t>08550004</w:t>
            </w:r>
          </w:p>
          <w:p w:rsidR="007D7C83" w:rsidRPr="00374B4B" w:rsidRDefault="007D7C83" w:rsidP="00EA11E2">
            <w:pPr>
              <w:tabs>
                <w:tab w:val="left" w:pos="284"/>
              </w:tabs>
              <w:jc w:val="both"/>
              <w:rPr>
                <w:rFonts w:ascii="Palatino Linotype" w:eastAsiaTheme="minorHAnsi" w:hAnsi="Palatino Linotype"/>
                <w:i/>
                <w:sz w:val="22"/>
                <w:szCs w:val="22"/>
                <w:lang w:val="es-ES" w:eastAsia="en-US"/>
              </w:rPr>
            </w:pPr>
            <w:r w:rsidRPr="00374B4B">
              <w:rPr>
                <w:rFonts w:ascii="Palatino Linotype" w:eastAsiaTheme="minorHAnsi" w:hAnsi="Palatino Linotype"/>
                <w:i/>
                <w:sz w:val="22"/>
                <w:szCs w:val="22"/>
                <w:lang w:val="es-ES" w:eastAsia="en-US"/>
              </w:rPr>
              <w:t>URBANIZACION Y</w:t>
            </w:r>
          </w:p>
          <w:p w:rsidR="007D7C83" w:rsidRPr="00374B4B" w:rsidRDefault="007D7C83" w:rsidP="00EA11E2">
            <w:pPr>
              <w:tabs>
                <w:tab w:val="left" w:pos="284"/>
              </w:tabs>
              <w:jc w:val="both"/>
              <w:rPr>
                <w:rFonts w:ascii="Palatino Linotype" w:eastAsiaTheme="minorHAnsi" w:hAnsi="Palatino Linotype"/>
                <w:i/>
                <w:sz w:val="22"/>
                <w:szCs w:val="22"/>
                <w:lang w:val="es-ES" w:eastAsia="en-US"/>
              </w:rPr>
            </w:pPr>
            <w:r w:rsidRPr="00374B4B">
              <w:rPr>
                <w:rFonts w:ascii="Palatino Linotype" w:eastAsiaTheme="minorHAnsi" w:hAnsi="Palatino Linotype"/>
                <w:i/>
                <w:sz w:val="22"/>
                <w:szCs w:val="22"/>
                <w:lang w:val="es-ES" w:eastAsia="en-US"/>
              </w:rPr>
              <w:t>HOGAR DE ANCIANOS -URBANO</w:t>
            </w:r>
          </w:p>
        </w:tc>
        <w:tc>
          <w:tcPr>
            <w:tcW w:w="1680" w:type="dxa"/>
          </w:tcPr>
          <w:p w:rsidR="007D7C83" w:rsidRPr="00374B4B"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374B4B"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374B4B" w:rsidRDefault="007D7C83" w:rsidP="00EA11E2">
            <w:pPr>
              <w:tabs>
                <w:tab w:val="left" w:pos="284"/>
              </w:tabs>
              <w:jc w:val="both"/>
              <w:rPr>
                <w:rFonts w:ascii="Palatino Linotype" w:eastAsiaTheme="minorHAnsi" w:hAnsi="Palatino Linotype"/>
                <w:b/>
                <w:bCs/>
                <w:i/>
                <w:sz w:val="22"/>
                <w:szCs w:val="22"/>
                <w:lang w:val="es-ES" w:eastAsia="en-US"/>
              </w:rPr>
            </w:pPr>
            <w:r w:rsidRPr="00374B4B">
              <w:rPr>
                <w:rFonts w:ascii="Palatino Linotype" w:eastAsiaTheme="minorHAnsi" w:hAnsi="Palatino Linotype"/>
                <w:i/>
                <w:sz w:val="22"/>
                <w:szCs w:val="22"/>
                <w:lang w:val="es-ES" w:eastAsia="en-US"/>
              </w:rPr>
              <w:t>15065,94m2</w:t>
            </w:r>
          </w:p>
        </w:tc>
        <w:tc>
          <w:tcPr>
            <w:tcW w:w="2235" w:type="dxa"/>
          </w:tcPr>
          <w:p w:rsidR="007D7C83" w:rsidRPr="00374B4B"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374B4B"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374B4B" w:rsidRDefault="007D7C83" w:rsidP="00EA11E2">
            <w:pPr>
              <w:tabs>
                <w:tab w:val="left" w:pos="284"/>
              </w:tabs>
              <w:jc w:val="both"/>
              <w:rPr>
                <w:rFonts w:ascii="Palatino Linotype" w:eastAsiaTheme="minorHAnsi" w:hAnsi="Palatino Linotype"/>
                <w:b/>
                <w:bCs/>
                <w:i/>
                <w:sz w:val="22"/>
                <w:szCs w:val="22"/>
                <w:lang w:val="es-ES" w:eastAsia="en-US"/>
              </w:rPr>
            </w:pPr>
            <w:r w:rsidRPr="00374B4B">
              <w:rPr>
                <w:rFonts w:ascii="Palatino Linotype" w:eastAsiaTheme="minorHAnsi" w:hAnsi="Palatino Linotype"/>
                <w:i/>
                <w:sz w:val="22"/>
                <w:szCs w:val="22"/>
                <w:lang w:val="es-ES" w:eastAsia="en-US"/>
              </w:rPr>
              <w:t>64,00usd</w:t>
            </w:r>
          </w:p>
        </w:tc>
        <w:tc>
          <w:tcPr>
            <w:tcW w:w="2010" w:type="dxa"/>
          </w:tcPr>
          <w:p w:rsidR="007D7C83" w:rsidRPr="00374B4B"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374B4B" w:rsidRDefault="007D7C83" w:rsidP="00EA11E2">
            <w:pPr>
              <w:spacing w:after="200" w:line="276" w:lineRule="auto"/>
              <w:jc w:val="both"/>
              <w:rPr>
                <w:rFonts w:ascii="Palatino Linotype" w:eastAsiaTheme="minorHAnsi" w:hAnsi="Palatino Linotype"/>
                <w:b/>
                <w:bCs/>
                <w:i/>
                <w:sz w:val="22"/>
                <w:szCs w:val="22"/>
                <w:lang w:val="es-ES" w:eastAsia="en-US"/>
              </w:rPr>
            </w:pPr>
          </w:p>
          <w:p w:rsidR="007D7C83" w:rsidRPr="00374B4B" w:rsidRDefault="007D7C83" w:rsidP="00EA11E2">
            <w:pPr>
              <w:tabs>
                <w:tab w:val="left" w:pos="284"/>
              </w:tabs>
              <w:jc w:val="both"/>
              <w:rPr>
                <w:rFonts w:ascii="Palatino Linotype" w:eastAsiaTheme="minorHAnsi" w:hAnsi="Palatino Linotype"/>
                <w:b/>
                <w:bCs/>
                <w:i/>
                <w:sz w:val="22"/>
                <w:szCs w:val="22"/>
                <w:lang w:val="es-ES" w:eastAsia="en-US"/>
              </w:rPr>
            </w:pPr>
            <w:r w:rsidRPr="00374B4B">
              <w:rPr>
                <w:rFonts w:ascii="Palatino Linotype" w:eastAsiaTheme="minorHAnsi" w:hAnsi="Palatino Linotype"/>
                <w:i/>
                <w:sz w:val="22"/>
                <w:szCs w:val="22"/>
                <w:lang w:val="es-ES" w:eastAsia="en-US"/>
              </w:rPr>
              <w:t>746.595,67usd</w:t>
            </w:r>
          </w:p>
        </w:tc>
      </w:tr>
      <w:tr w:rsidR="007D7C83" w:rsidRPr="00374B4B" w:rsidTr="00EA11E2">
        <w:trPr>
          <w:trHeight w:val="1995"/>
        </w:trPr>
        <w:tc>
          <w:tcPr>
            <w:tcW w:w="8685" w:type="dxa"/>
            <w:gridSpan w:val="4"/>
          </w:tcPr>
          <w:p w:rsidR="007D7C83" w:rsidRPr="00374B4B" w:rsidRDefault="007D7C83" w:rsidP="00EA11E2">
            <w:pPr>
              <w:tabs>
                <w:tab w:val="left" w:pos="284"/>
              </w:tabs>
              <w:jc w:val="both"/>
              <w:rPr>
                <w:rFonts w:ascii="Palatino Linotype" w:eastAsiaTheme="minorHAnsi" w:hAnsi="Palatino Linotype"/>
                <w:i/>
                <w:iCs/>
                <w:sz w:val="22"/>
                <w:szCs w:val="22"/>
                <w:lang w:val="es-ES" w:eastAsia="en-US"/>
              </w:rPr>
            </w:pPr>
            <w:r w:rsidRPr="00374B4B">
              <w:rPr>
                <w:rFonts w:ascii="Palatino Linotype" w:eastAsiaTheme="minorHAnsi" w:hAnsi="Palatino Linotype"/>
                <w:b/>
                <w:bCs/>
                <w:i/>
                <w:iCs/>
                <w:sz w:val="22"/>
                <w:szCs w:val="22"/>
                <w:lang w:val="es-ES" w:eastAsia="en-US"/>
              </w:rPr>
              <w:t xml:space="preserve">Base Legal: </w:t>
            </w:r>
            <w:r w:rsidRPr="00374B4B">
              <w:rPr>
                <w:rFonts w:ascii="Palatino Linotype" w:eastAsiaTheme="minorHAnsi" w:hAnsi="Palatino Linotype"/>
                <w:i/>
                <w:iCs/>
                <w:sz w:val="22"/>
                <w:szCs w:val="22"/>
                <w:lang w:val="es-ES" w:eastAsia="en-US"/>
              </w:rPr>
              <w:t xml:space="preserve">ORDENANZA METROPOLITANA </w:t>
            </w:r>
            <w:r w:rsidRPr="00374B4B">
              <w:rPr>
                <w:rFonts w:ascii="Palatino Linotype" w:eastAsiaTheme="minorHAnsi" w:hAnsi="Palatino Linotype"/>
                <w:b/>
                <w:bCs/>
                <w:i/>
                <w:iCs/>
                <w:sz w:val="22"/>
                <w:szCs w:val="22"/>
                <w:lang w:val="es-ES" w:eastAsia="en-US"/>
              </w:rPr>
              <w:t xml:space="preserve">Nro. 27-2021 </w:t>
            </w:r>
            <w:r w:rsidRPr="00374B4B">
              <w:rPr>
                <w:rFonts w:ascii="Palatino Linotype" w:eastAsiaTheme="minorHAnsi" w:hAnsi="Palatino Linotype"/>
                <w:i/>
                <w:iCs/>
                <w:sz w:val="22"/>
                <w:szCs w:val="22"/>
                <w:lang w:val="es-ES" w:eastAsia="en-US"/>
              </w:rPr>
              <w:t>MODIFICATORIA DEL</w:t>
            </w:r>
          </w:p>
          <w:p w:rsidR="007D7C83" w:rsidRPr="00374B4B" w:rsidRDefault="007D7C83" w:rsidP="00EA11E2">
            <w:pPr>
              <w:tabs>
                <w:tab w:val="left" w:pos="284"/>
              </w:tabs>
              <w:jc w:val="both"/>
              <w:rPr>
                <w:rFonts w:ascii="Palatino Linotype" w:eastAsiaTheme="minorHAnsi" w:hAnsi="Palatino Linotype"/>
                <w:i/>
                <w:iCs/>
                <w:sz w:val="22"/>
                <w:szCs w:val="22"/>
                <w:lang w:val="es-ES" w:eastAsia="en-US"/>
              </w:rPr>
            </w:pPr>
            <w:r w:rsidRPr="00374B4B">
              <w:rPr>
                <w:rFonts w:ascii="Palatino Linotype" w:eastAsiaTheme="minorHAnsi" w:hAnsi="Palatino Linotype"/>
                <w:i/>
                <w:iCs/>
                <w:sz w:val="22"/>
                <w:szCs w:val="22"/>
                <w:lang w:val="es-ES" w:eastAsia="en-US"/>
              </w:rPr>
              <w:t>CAPÍTULO I" VALORACIÓN INMOBILIARIA", DEL TÍTULO III " DE LAS NORMAS</w:t>
            </w:r>
          </w:p>
          <w:p w:rsidR="007D7C83" w:rsidRPr="00374B4B" w:rsidRDefault="007D7C83" w:rsidP="00EA11E2">
            <w:pPr>
              <w:tabs>
                <w:tab w:val="left" w:pos="284"/>
              </w:tabs>
              <w:jc w:val="both"/>
              <w:rPr>
                <w:rFonts w:ascii="Palatino Linotype" w:eastAsiaTheme="minorHAnsi" w:hAnsi="Palatino Linotype"/>
                <w:i/>
                <w:iCs/>
                <w:sz w:val="22"/>
                <w:szCs w:val="22"/>
                <w:lang w:val="es-ES" w:eastAsia="en-US"/>
              </w:rPr>
            </w:pPr>
            <w:r w:rsidRPr="00374B4B">
              <w:rPr>
                <w:rFonts w:ascii="Palatino Linotype" w:eastAsiaTheme="minorHAnsi" w:hAnsi="Palatino Linotype"/>
                <w:i/>
                <w:iCs/>
                <w:sz w:val="22"/>
                <w:szCs w:val="22"/>
                <w:lang w:val="es-ES" w:eastAsia="en-US"/>
              </w:rPr>
              <w:t>PARA EL PAGO DE IMPUESTOS" DEL LIBRO III.5 DEL EJE ECONÓMICO DEL</w:t>
            </w:r>
          </w:p>
          <w:p w:rsidR="007D7C83" w:rsidRPr="00374B4B" w:rsidRDefault="007D7C83" w:rsidP="00EA11E2">
            <w:pPr>
              <w:tabs>
                <w:tab w:val="left" w:pos="284"/>
              </w:tabs>
              <w:jc w:val="both"/>
              <w:rPr>
                <w:rFonts w:ascii="Palatino Linotype" w:hAnsi="Palatino Linotype"/>
                <w:i/>
                <w:sz w:val="22"/>
                <w:szCs w:val="22"/>
              </w:rPr>
            </w:pPr>
            <w:r w:rsidRPr="00374B4B">
              <w:rPr>
                <w:rFonts w:ascii="Palatino Linotype" w:eastAsiaTheme="minorHAnsi" w:hAnsi="Palatino Linotype"/>
                <w:i/>
                <w:iCs/>
                <w:sz w:val="22"/>
                <w:szCs w:val="22"/>
                <w:lang w:val="es-ES" w:eastAsia="en-US"/>
              </w:rPr>
              <w:t>CÓDIGO MUNICIPAL PARA EL DISTRITO METROPOLITANO DE QUITO, con la cual se aprueba el plano del valor de la tierra de los predios urbanos y rurales del Distrito Metropolitano de Quito a regir para el Bienio 2022-2023.</w:t>
            </w:r>
            <w:r w:rsidRPr="00374B4B">
              <w:rPr>
                <w:rFonts w:ascii="Palatino Linotype" w:hAnsi="Palatino Linotype"/>
                <w:i/>
                <w:sz w:val="22"/>
                <w:szCs w:val="22"/>
              </w:rPr>
              <w:t xml:space="preserve">    </w:t>
            </w:r>
          </w:p>
          <w:p w:rsidR="007D7C83" w:rsidRPr="00374B4B" w:rsidRDefault="007D7C83" w:rsidP="00EA11E2">
            <w:pPr>
              <w:tabs>
                <w:tab w:val="left" w:pos="284"/>
              </w:tabs>
              <w:jc w:val="both"/>
              <w:rPr>
                <w:rFonts w:ascii="Palatino Linotype" w:eastAsiaTheme="minorHAnsi" w:hAnsi="Palatino Linotype"/>
                <w:b/>
                <w:bCs/>
                <w:i/>
                <w:sz w:val="22"/>
                <w:szCs w:val="22"/>
                <w:lang w:val="es-ES" w:eastAsia="en-US"/>
              </w:rPr>
            </w:pPr>
          </w:p>
        </w:tc>
      </w:tr>
    </w:tbl>
    <w:p w:rsidR="007D7C83" w:rsidRPr="00374B4B" w:rsidRDefault="007D7C83" w:rsidP="007D7C83">
      <w:pPr>
        <w:tabs>
          <w:tab w:val="left" w:pos="284"/>
        </w:tabs>
        <w:jc w:val="both"/>
        <w:rPr>
          <w:rFonts w:ascii="Palatino Linotype" w:eastAsiaTheme="minorHAnsi" w:hAnsi="Palatino Linotype"/>
          <w:b/>
          <w:bCs/>
          <w:sz w:val="22"/>
          <w:szCs w:val="22"/>
          <w:lang w:val="es-ES" w:eastAsia="en-US"/>
        </w:rPr>
      </w:pPr>
    </w:p>
    <w:p w:rsidR="00DF169C" w:rsidRPr="001367E5" w:rsidRDefault="00DF169C" w:rsidP="005C1445">
      <w:pPr>
        <w:pStyle w:val="Default"/>
        <w:ind w:left="708" w:hanging="708"/>
        <w:jc w:val="both"/>
        <w:rPr>
          <w:rFonts w:cs="Calibri"/>
          <w:i/>
          <w:sz w:val="22"/>
          <w:szCs w:val="22"/>
        </w:rPr>
      </w:pPr>
    </w:p>
    <w:p w:rsidR="000113AC" w:rsidRPr="00993181" w:rsidRDefault="000113AC" w:rsidP="000113AC">
      <w:pPr>
        <w:pStyle w:val="Default"/>
        <w:ind w:left="708" w:hanging="708"/>
        <w:jc w:val="both"/>
        <w:rPr>
          <w:sz w:val="22"/>
          <w:szCs w:val="22"/>
        </w:rPr>
      </w:pPr>
      <w:r w:rsidRPr="00993181">
        <w:rPr>
          <w:b/>
          <w:sz w:val="22"/>
          <w:szCs w:val="22"/>
        </w:rPr>
        <w:t>Que,</w:t>
      </w:r>
      <w:r w:rsidRPr="00993181">
        <w:rPr>
          <w:sz w:val="22"/>
          <w:szCs w:val="22"/>
        </w:rPr>
        <w:t xml:space="preserve"> mediante oficio GADDMQ-PM-2021-0396-O de 29 de enero de 2021, el Dr. Edison Yépez Vinueza, Subprocurador Metropolitano, señala: </w:t>
      </w:r>
    </w:p>
    <w:p w:rsidR="000113AC" w:rsidRPr="00993181" w:rsidRDefault="000113AC" w:rsidP="000113AC">
      <w:pPr>
        <w:tabs>
          <w:tab w:val="left" w:pos="426"/>
        </w:tabs>
        <w:ind w:left="1416" w:right="566"/>
        <w:jc w:val="both"/>
        <w:rPr>
          <w:rFonts w:ascii="Palatino Linotype" w:hAnsi="Palatino Linotype"/>
          <w:i/>
          <w:sz w:val="22"/>
          <w:szCs w:val="22"/>
        </w:rPr>
      </w:pP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5168D0" w:rsidRPr="00803B5D" w:rsidRDefault="005168D0" w:rsidP="00983254">
      <w:pPr>
        <w:pStyle w:val="Default"/>
        <w:jc w:val="both"/>
        <w:rPr>
          <w:b/>
          <w:i/>
          <w:sz w:val="22"/>
          <w:szCs w:val="22"/>
        </w:rPr>
      </w:pPr>
    </w:p>
    <w:p w:rsidR="00645C2D" w:rsidRPr="00374B4B" w:rsidRDefault="009C7AA1" w:rsidP="00645C2D">
      <w:pPr>
        <w:pStyle w:val="Default"/>
        <w:jc w:val="both"/>
        <w:rPr>
          <w:color w:val="auto"/>
          <w:sz w:val="22"/>
          <w:szCs w:val="22"/>
        </w:rPr>
      </w:pPr>
      <w:r>
        <w:rPr>
          <w:b/>
          <w:sz w:val="22"/>
          <w:szCs w:val="22"/>
        </w:rPr>
        <w:t xml:space="preserve">Que, </w:t>
      </w:r>
      <w:r w:rsidR="00645C2D">
        <w:rPr>
          <w:color w:val="auto"/>
          <w:sz w:val="22"/>
          <w:szCs w:val="22"/>
        </w:rPr>
        <w:t>m</w:t>
      </w:r>
      <w:r w:rsidR="00645C2D" w:rsidRPr="00374B4B">
        <w:rPr>
          <w:color w:val="auto"/>
          <w:sz w:val="22"/>
          <w:szCs w:val="22"/>
        </w:rPr>
        <w:t>ediante memorando Nro. GADDMQ-AZCA-DAJ-2022-0158-M de 31 de marzo de 2022, la abogada Lorena Elizabeth Donoso Rivera, Subprocuradora Zonal de la Administración Zonal Calderón, señala:</w:t>
      </w:r>
    </w:p>
    <w:p w:rsidR="00645C2D" w:rsidRPr="00374B4B" w:rsidRDefault="00645C2D" w:rsidP="00645C2D">
      <w:pPr>
        <w:pStyle w:val="Default"/>
        <w:jc w:val="both"/>
        <w:rPr>
          <w:color w:val="auto"/>
          <w:sz w:val="22"/>
          <w:szCs w:val="22"/>
        </w:rPr>
      </w:pPr>
    </w:p>
    <w:p w:rsidR="00645C2D" w:rsidRPr="00374B4B" w:rsidRDefault="00645C2D" w:rsidP="00645C2D">
      <w:pPr>
        <w:tabs>
          <w:tab w:val="left" w:pos="284"/>
        </w:tabs>
        <w:ind w:left="708"/>
        <w:jc w:val="both"/>
        <w:rPr>
          <w:rFonts w:ascii="Palatino Linotype" w:eastAsiaTheme="minorHAnsi" w:hAnsi="Palatino Linotype" w:cs="Palatino Linotype"/>
          <w:i/>
          <w:sz w:val="22"/>
          <w:szCs w:val="22"/>
          <w:lang w:val="es-ES" w:eastAsia="en-US"/>
        </w:rPr>
      </w:pPr>
      <w:r w:rsidRPr="00374B4B">
        <w:rPr>
          <w:rFonts w:ascii="Palatino Linotype" w:eastAsiaTheme="minorHAnsi" w:hAnsi="Palatino Linotype" w:cs="Palatino Linotype"/>
          <w:i/>
          <w:sz w:val="22"/>
          <w:szCs w:val="22"/>
          <w:lang w:val="es-ES" w:eastAsia="en-US"/>
        </w:rPr>
        <w:t>“</w:t>
      </w:r>
      <w:r>
        <w:rPr>
          <w:rFonts w:ascii="Palatino Linotype" w:eastAsiaTheme="minorHAnsi" w:hAnsi="Palatino Linotype" w:cs="Palatino Linotype"/>
          <w:i/>
          <w:sz w:val="22"/>
          <w:szCs w:val="22"/>
          <w:lang w:val="es-ES" w:eastAsia="en-US"/>
        </w:rPr>
        <w:t xml:space="preserve">(…) </w:t>
      </w:r>
      <w:r w:rsidRPr="00374B4B">
        <w:rPr>
          <w:rFonts w:ascii="Palatino Linotype" w:eastAsiaTheme="minorHAnsi" w:hAnsi="Palatino Linotype" w:cs="Palatino Linotype"/>
          <w:i/>
          <w:sz w:val="22"/>
          <w:szCs w:val="22"/>
          <w:lang w:val="es-ES" w:eastAsia="en-US"/>
        </w:rPr>
        <w:t>Por lo expuesto, esta Dirección Jurídica acogiendo el informe técnico AZCA-DGT-2022-019 de 29 de marzo de 2022, del Jefe de Gestión Urbana y aprobado por la Directora de Gestión Territorial de la Administración Zonal Calderón con memorando Nro. Nro. GADDMQ-AZCA-DGT-2022-0575-M de 30 de marzo de 2022, en el que indica que la prescripción adquisitiva de dominio de una parte del inmueble del predio No. 1296691, No Cumple con los datos establecidos en la zonificación vigente, tales como, “lote mínimo” y “frente mínimo”, el área prescrita corresponde a 88.80m2 menor a 600m2 zonificación vigente, en este sentido, se deberá proceder conforme lo establece en el COOTAD y la Ordenanza 001.</w:t>
      </w:r>
    </w:p>
    <w:p w:rsidR="00645C2D" w:rsidRPr="00374B4B" w:rsidRDefault="00645C2D" w:rsidP="00645C2D">
      <w:pPr>
        <w:tabs>
          <w:tab w:val="left" w:pos="284"/>
        </w:tabs>
        <w:ind w:left="708"/>
        <w:jc w:val="both"/>
        <w:rPr>
          <w:rFonts w:ascii="Palatino Linotype" w:eastAsiaTheme="minorHAnsi" w:hAnsi="Palatino Linotype" w:cs="Palatino Linotype"/>
          <w:i/>
          <w:sz w:val="22"/>
          <w:szCs w:val="22"/>
          <w:lang w:val="es-ES" w:eastAsia="en-US"/>
        </w:rPr>
      </w:pPr>
    </w:p>
    <w:p w:rsidR="00645C2D" w:rsidRPr="00374B4B" w:rsidRDefault="00645C2D" w:rsidP="00645C2D">
      <w:pPr>
        <w:tabs>
          <w:tab w:val="left" w:pos="284"/>
        </w:tabs>
        <w:ind w:left="708"/>
        <w:jc w:val="both"/>
        <w:rPr>
          <w:rFonts w:ascii="Palatino Linotype" w:eastAsiaTheme="minorHAnsi" w:hAnsi="Palatino Linotype" w:cs="Palatino Linotype"/>
          <w:i/>
          <w:sz w:val="22"/>
          <w:szCs w:val="22"/>
          <w:lang w:val="es-ES" w:eastAsia="en-US"/>
        </w:rPr>
      </w:pPr>
      <w:r w:rsidRPr="00374B4B">
        <w:rPr>
          <w:rFonts w:ascii="Palatino Linotype" w:eastAsiaTheme="minorHAnsi" w:hAnsi="Palatino Linotype" w:cs="Palatino Linotype"/>
          <w:i/>
          <w:sz w:val="22"/>
          <w:szCs w:val="22"/>
          <w:lang w:val="es-ES" w:eastAsia="en-US"/>
        </w:rPr>
        <w:t>Así mismo, en lo referente al área verde, se ceñirá a lo establecido en el artículo 2171 de la Ordenanza 001.”</w:t>
      </w:r>
    </w:p>
    <w:p w:rsidR="00694D54" w:rsidRDefault="00694D54" w:rsidP="00983254">
      <w:pPr>
        <w:pStyle w:val="Default"/>
        <w:ind w:left="708" w:hanging="708"/>
        <w:jc w:val="both"/>
        <w:rPr>
          <w:sz w:val="22"/>
          <w:szCs w:val="22"/>
        </w:rPr>
      </w:pPr>
    </w:p>
    <w:p w:rsidR="00983254" w:rsidRPr="004A0BE9" w:rsidRDefault="00983254" w:rsidP="00983254">
      <w:pPr>
        <w:pStyle w:val="Default"/>
        <w:ind w:left="708" w:hanging="708"/>
        <w:jc w:val="both"/>
        <w:rPr>
          <w:b/>
          <w:sz w:val="22"/>
          <w:szCs w:val="22"/>
        </w:rPr>
      </w:pPr>
    </w:p>
    <w:p w:rsidR="000113AC" w:rsidRPr="00993181" w:rsidRDefault="000113AC" w:rsidP="000113AC">
      <w:pPr>
        <w:pStyle w:val="Default"/>
        <w:ind w:left="708" w:hanging="708"/>
        <w:jc w:val="both"/>
        <w:rPr>
          <w:sz w:val="22"/>
          <w:szCs w:val="22"/>
        </w:rPr>
      </w:pPr>
      <w:r w:rsidRPr="004A0BE9">
        <w:rPr>
          <w:b/>
          <w:sz w:val="22"/>
          <w:szCs w:val="22"/>
        </w:rPr>
        <w:lastRenderedPageBreak/>
        <w:t xml:space="preserve">Que, </w:t>
      </w:r>
      <w:r w:rsidRPr="00993181">
        <w:rPr>
          <w:sz w:val="22"/>
          <w:szCs w:val="22"/>
        </w:rPr>
        <w:tab/>
        <w:t>la Comisión de Uso de Su</w:t>
      </w:r>
      <w:r w:rsidR="001F757E">
        <w:rPr>
          <w:sz w:val="22"/>
          <w:szCs w:val="22"/>
        </w:rPr>
        <w:t>elo en sesión ordinaria Nro. 143</w:t>
      </w:r>
      <w:r w:rsidRPr="00993181">
        <w:rPr>
          <w:sz w:val="22"/>
          <w:szCs w:val="22"/>
        </w:rPr>
        <w:t xml:space="preserve">, de </w:t>
      </w:r>
      <w:r w:rsidR="001F757E">
        <w:rPr>
          <w:sz w:val="22"/>
          <w:szCs w:val="22"/>
        </w:rPr>
        <w:t xml:space="preserve">18 </w:t>
      </w:r>
      <w:r w:rsidRPr="00993181">
        <w:rPr>
          <w:sz w:val="22"/>
          <w:szCs w:val="22"/>
        </w:rPr>
        <w:t xml:space="preserve">de </w:t>
      </w:r>
      <w:r w:rsidR="001F757E">
        <w:rPr>
          <w:sz w:val="22"/>
          <w:szCs w:val="22"/>
        </w:rPr>
        <w:t>abril de 2022</w:t>
      </w:r>
      <w:r w:rsidRPr="00993181">
        <w:rPr>
          <w:sz w:val="22"/>
          <w:szCs w:val="22"/>
        </w:rPr>
        <w:t>, analizó los informes técnicos y legales, que reposan e</w:t>
      </w:r>
      <w:r w:rsidR="001F757E">
        <w:rPr>
          <w:sz w:val="22"/>
          <w:szCs w:val="22"/>
        </w:rPr>
        <w:t>n el expediente</w:t>
      </w:r>
      <w:r w:rsidRPr="00993181">
        <w:rPr>
          <w:sz w:val="22"/>
          <w:szCs w:val="22"/>
        </w:rPr>
        <w:t xml:space="preserve">,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1F757E">
        <w:rPr>
          <w:rFonts w:ascii="Palatino Linotype" w:eastAsiaTheme="minorHAnsi" w:hAnsi="Palatino Linotype"/>
          <w:sz w:val="22"/>
          <w:szCs w:val="22"/>
          <w:lang w:eastAsia="en-US"/>
        </w:rPr>
        <w:t>2</w:t>
      </w:r>
      <w:r w:rsidR="007A32EC">
        <w:rPr>
          <w:rFonts w:ascii="Palatino Linotype" w:eastAsiaTheme="minorHAnsi" w:hAnsi="Palatino Linotype"/>
          <w:sz w:val="22"/>
          <w:szCs w:val="22"/>
          <w:lang w:eastAsia="en-US"/>
        </w:rPr>
        <w:t>-</w:t>
      </w:r>
      <w:r w:rsidR="001F757E">
        <w:rPr>
          <w:rFonts w:ascii="Palatino Linotype" w:eastAsiaTheme="minorHAnsi" w:hAnsi="Palatino Linotype"/>
          <w:sz w:val="22"/>
          <w:szCs w:val="22"/>
          <w:lang w:eastAsia="en-US"/>
        </w:rPr>
        <w:t>052</w:t>
      </w:r>
      <w:r w:rsidRPr="00993181">
        <w:rPr>
          <w:rFonts w:ascii="Palatino Linotype" w:eastAsiaTheme="minorHAnsi" w:hAnsi="Palatino Linotype"/>
          <w:sz w:val="22"/>
          <w:szCs w:val="22"/>
          <w:lang w:eastAsia="en-US"/>
        </w:rPr>
        <w:t xml:space="preserve">, emitido por la Comisión de Uso de Suelo;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RESUELVE:</w:t>
      </w:r>
    </w:p>
    <w:p w:rsidR="000113AC" w:rsidRPr="00993181" w:rsidRDefault="000113AC" w:rsidP="000113AC">
      <w:pPr>
        <w:autoSpaceDE w:val="0"/>
        <w:autoSpaceDN w:val="0"/>
        <w:adjustRightInd w:val="0"/>
        <w:spacing w:line="276" w:lineRule="auto"/>
        <w:jc w:val="center"/>
        <w:rPr>
          <w:rFonts w:ascii="Palatino Linotype" w:hAnsi="Palatino Linotype"/>
          <w:sz w:val="22"/>
          <w:szCs w:val="22"/>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Artículo 1.-</w:t>
      </w:r>
      <w:r w:rsidRPr="00993181">
        <w:rPr>
          <w:rFonts w:ascii="Palatino Linotype" w:eastAsiaTheme="minorHAnsi" w:hAnsi="Palatino Linotype"/>
          <w:sz w:val="22"/>
          <w:szCs w:val="22"/>
          <w:lang w:eastAsia="en-US"/>
        </w:rPr>
        <w:t xml:space="preserve"> Ac</w:t>
      </w:r>
      <w:r w:rsidR="001F757E">
        <w:rPr>
          <w:rFonts w:ascii="Palatino Linotype" w:eastAsiaTheme="minorHAnsi" w:hAnsi="Palatino Linotype"/>
          <w:sz w:val="22"/>
          <w:szCs w:val="22"/>
          <w:lang w:eastAsia="en-US"/>
        </w:rPr>
        <w:t>oger el informe Nro. IC-CUS-2022</w:t>
      </w:r>
      <w:r w:rsidRPr="00993181">
        <w:rPr>
          <w:rFonts w:ascii="Palatino Linotype" w:eastAsiaTheme="minorHAnsi" w:hAnsi="Palatino Linotype"/>
          <w:sz w:val="22"/>
          <w:szCs w:val="22"/>
          <w:lang w:eastAsia="en-US"/>
        </w:rPr>
        <w:t>-</w:t>
      </w:r>
      <w:r w:rsidR="001F757E">
        <w:rPr>
          <w:rFonts w:ascii="Palatino Linotype" w:eastAsiaTheme="minorHAnsi" w:hAnsi="Palatino Linotype"/>
          <w:sz w:val="22"/>
          <w:szCs w:val="22"/>
          <w:lang w:eastAsia="en-US"/>
        </w:rPr>
        <w:t>052</w:t>
      </w:r>
      <w:r w:rsidRPr="00993181">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excepción a las condiciones generales.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1F757E" w:rsidRPr="00374B4B">
        <w:rPr>
          <w:rFonts w:ascii="Palatino Linotype" w:hAnsi="Palatino Linotype"/>
          <w:iCs/>
          <w:sz w:val="22"/>
          <w:szCs w:val="22"/>
          <w:lang w:val="es-ES"/>
        </w:rPr>
        <w:t>la señora María Aurora Llano Yugsi</w:t>
      </w:r>
      <w:r w:rsidRPr="00704417">
        <w:rPr>
          <w:rFonts w:ascii="Palatino Linotype" w:eastAsiaTheme="minorHAnsi" w:hAnsi="Palatino Linotype"/>
          <w:sz w:val="22"/>
          <w:szCs w:val="22"/>
          <w:lang w:eastAsia="en-US"/>
        </w:rPr>
        <w:t>,</w:t>
      </w:r>
      <w:r w:rsidRPr="00993181">
        <w:rPr>
          <w:rFonts w:ascii="Palatino Linotype" w:eastAsiaTheme="minorHAnsi" w:hAnsi="Palatino Linotype"/>
          <w:sz w:val="22"/>
          <w:szCs w:val="22"/>
          <w:lang w:eastAsia="en-US"/>
        </w:rPr>
        <w:t xml:space="preserve"> deberá compensar en valor monetario, la contribución del 15% del área útil adjudicada</w:t>
      </w:r>
      <w:bookmarkStart w:id="0" w:name="_GoBack"/>
      <w:bookmarkEnd w:id="0"/>
      <w:r w:rsidRPr="00993181">
        <w:rPr>
          <w:rFonts w:ascii="Palatino Linotype" w:eastAsiaTheme="minorHAnsi" w:hAnsi="Palatino Linotype"/>
          <w:sz w:val="22"/>
          <w:szCs w:val="22"/>
          <w:lang w:eastAsia="en-US"/>
        </w:rPr>
        <w:t xml:space="preserve">.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 xml:space="preserve">Artículo 2.- </w:t>
      </w:r>
      <w:r w:rsidRPr="00993181">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993181"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Disposición Final.-</w:t>
      </w:r>
      <w:r w:rsidRPr="00993181">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sz w:val="22"/>
          <w:szCs w:val="22"/>
        </w:rPr>
        <w:t xml:space="preserve">Dada en la sesión del Concejo Metropolitano de Quito, el ……….. </w:t>
      </w:r>
    </w:p>
    <w:p w:rsidR="000113AC" w:rsidRPr="00993181" w:rsidRDefault="000113AC" w:rsidP="000113AC">
      <w:pPr>
        <w:spacing w:line="276" w:lineRule="auto"/>
        <w:ind w:left="-5"/>
        <w:jc w:val="both"/>
        <w:rPr>
          <w:rFonts w:ascii="Palatino Linotype" w:hAnsi="Palatino Linotype"/>
          <w:sz w:val="22"/>
          <w:szCs w:val="22"/>
        </w:rPr>
      </w:pPr>
    </w:p>
    <w:p w:rsidR="000113AC" w:rsidRPr="00993181" w:rsidRDefault="000113AC" w:rsidP="000113AC">
      <w:pPr>
        <w:spacing w:line="276" w:lineRule="auto"/>
        <w:ind w:left="-5" w:right="-143"/>
        <w:jc w:val="both"/>
        <w:rPr>
          <w:rFonts w:ascii="Palatino Linotype" w:hAnsi="Palatino Linotype"/>
          <w:sz w:val="22"/>
          <w:szCs w:val="22"/>
        </w:rPr>
      </w:pPr>
      <w:r w:rsidRPr="00993181">
        <w:rPr>
          <w:rFonts w:ascii="Palatino Linotype" w:hAnsi="Palatino Linotype"/>
          <w:b/>
          <w:sz w:val="22"/>
          <w:szCs w:val="22"/>
        </w:rPr>
        <w:t xml:space="preserve">Alcaldía del Distrito Metropolitano. - </w:t>
      </w:r>
      <w:r w:rsidRPr="00993181">
        <w:rPr>
          <w:rFonts w:ascii="Palatino Linotype" w:hAnsi="Palatino Linotype"/>
          <w:sz w:val="22"/>
          <w:szCs w:val="22"/>
        </w:rPr>
        <w:t>Distrito Metropolitano de Quito, ………..</w:t>
      </w:r>
    </w:p>
    <w:p w:rsidR="000113AC" w:rsidRPr="00993181" w:rsidRDefault="000113AC" w:rsidP="000113AC">
      <w:pPr>
        <w:spacing w:line="276" w:lineRule="auto"/>
        <w:jc w:val="both"/>
        <w:rPr>
          <w:rFonts w:ascii="Palatino Linotype" w:hAnsi="Palatino Linotype"/>
          <w:sz w:val="22"/>
          <w:szCs w:val="22"/>
        </w:rPr>
      </w:pP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b/>
          <w:sz w:val="22"/>
          <w:szCs w:val="22"/>
        </w:rPr>
        <w:t>EJECÚTESE:</w:t>
      </w: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r w:rsidRPr="00993181">
        <w:rPr>
          <w:rFonts w:ascii="Palatino Linotype" w:hAnsi="Palatino Linotype"/>
          <w:sz w:val="22"/>
          <w:szCs w:val="22"/>
        </w:rPr>
        <w:t>Dr. Santiago Guarderas Izquierdo</w:t>
      </w:r>
    </w:p>
    <w:p w:rsidR="000113AC" w:rsidRPr="00993181"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993181">
        <w:rPr>
          <w:rFonts w:ascii="Palatino Linotype" w:eastAsia="Palatino Linotype" w:hAnsi="Palatino Linotype" w:cs="Palatino Linotype"/>
          <w:b/>
          <w:color w:val="000000"/>
          <w:sz w:val="22"/>
          <w:szCs w:val="22"/>
          <w:lang w:eastAsia="es-EC"/>
        </w:rPr>
        <w:t>ALCALDE DEL DISTRITO METROPOLITANO DE QUITO</w:t>
      </w:r>
    </w:p>
    <w:p w:rsidR="000113AC" w:rsidRPr="00993181" w:rsidRDefault="000113AC" w:rsidP="000113AC">
      <w:pPr>
        <w:spacing w:line="276" w:lineRule="auto"/>
        <w:jc w:val="center"/>
        <w:rPr>
          <w:rFonts w:ascii="Palatino Linotype" w:hAnsi="Palatino Linotype"/>
          <w:sz w:val="22"/>
          <w:szCs w:val="22"/>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b/>
          <w:sz w:val="22"/>
          <w:szCs w:val="22"/>
        </w:rPr>
        <w:t>CERTIFICO,</w:t>
      </w:r>
      <w:r w:rsidRPr="00993181">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993181" w:rsidRDefault="000113AC" w:rsidP="000113AC">
      <w:pPr>
        <w:spacing w:line="276" w:lineRule="auto"/>
        <w:jc w:val="both"/>
        <w:rPr>
          <w:rFonts w:ascii="Palatino Linotype" w:hAnsi="Palatino Linotype"/>
          <w:sz w:val="22"/>
          <w:szCs w:val="22"/>
        </w:rPr>
      </w:pPr>
      <w:r w:rsidRPr="00993181">
        <w:rPr>
          <w:rFonts w:ascii="Palatino Linotype" w:hAnsi="Palatino Linotype"/>
          <w:b/>
          <w:sz w:val="22"/>
          <w:szCs w:val="22"/>
        </w:rPr>
        <w:t xml:space="preserve"> </w:t>
      </w:r>
    </w:p>
    <w:p w:rsidR="000113AC" w:rsidRPr="00993181" w:rsidRDefault="000113AC" w:rsidP="000113AC">
      <w:pPr>
        <w:spacing w:line="276" w:lineRule="auto"/>
        <w:ind w:left="-5"/>
        <w:jc w:val="both"/>
        <w:rPr>
          <w:rFonts w:ascii="Palatino Linotype" w:hAnsi="Palatino Linotype"/>
          <w:sz w:val="22"/>
          <w:szCs w:val="22"/>
          <w:highlight w:val="yellow"/>
        </w:rPr>
      </w:pPr>
      <w:r w:rsidRPr="00993181">
        <w:rPr>
          <w:rFonts w:ascii="Palatino Linotype" w:hAnsi="Palatino Linotype"/>
          <w:b/>
          <w:sz w:val="22"/>
          <w:szCs w:val="22"/>
        </w:rPr>
        <w:t xml:space="preserve">Lo certifico. - </w:t>
      </w:r>
      <w:r w:rsidR="00754E1F">
        <w:rPr>
          <w:rFonts w:ascii="Palatino Linotype" w:hAnsi="Palatino Linotype"/>
          <w:sz w:val="22"/>
          <w:szCs w:val="22"/>
        </w:rPr>
        <w:t>Distrito Metropolitano de Quito</w:t>
      </w:r>
      <w:r w:rsidRPr="00993181">
        <w:rPr>
          <w:rFonts w:ascii="Palatino Linotype" w:hAnsi="Palatino Linotype"/>
          <w:sz w:val="22"/>
          <w:szCs w:val="22"/>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both"/>
        <w:rPr>
          <w:rFonts w:ascii="Palatino Linotype" w:hAnsi="Palatino Linotype"/>
          <w:sz w:val="22"/>
          <w:szCs w:val="22"/>
          <w:highlight w:val="yellow"/>
        </w:rPr>
      </w:pP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sz w:val="22"/>
          <w:szCs w:val="22"/>
        </w:rPr>
        <w:t>Abg. Pablo Santillán Paredes</w:t>
      </w:r>
    </w:p>
    <w:p w:rsidR="000113AC" w:rsidRPr="00993181" w:rsidRDefault="000113AC" w:rsidP="000113AC">
      <w:pPr>
        <w:spacing w:line="276" w:lineRule="auto"/>
        <w:jc w:val="center"/>
        <w:rPr>
          <w:rFonts w:ascii="Palatino Linotype" w:eastAsia="Calibri" w:hAnsi="Palatino Linotype"/>
          <w:b/>
          <w:sz w:val="22"/>
          <w:szCs w:val="22"/>
          <w:lang w:eastAsia="en-US"/>
        </w:rPr>
      </w:pPr>
      <w:r w:rsidRPr="00993181">
        <w:rPr>
          <w:rFonts w:ascii="Palatino Linotype" w:eastAsia="Calibri" w:hAnsi="Palatino Linotype"/>
          <w:b/>
          <w:sz w:val="22"/>
          <w:szCs w:val="22"/>
          <w:lang w:eastAsia="en-US"/>
        </w:rPr>
        <w:t>SECRETARIO GENERAL DEL CONCEJO METROPOLITANO DE QUITO</w:t>
      </w:r>
    </w:p>
    <w:p w:rsidR="000113AC" w:rsidRPr="00993181" w:rsidRDefault="000113AC" w:rsidP="000113AC">
      <w:pPr>
        <w:pStyle w:val="Sinespaciado"/>
        <w:jc w:val="center"/>
        <w:rPr>
          <w:rFonts w:ascii="Palatino Linotype" w:hAnsi="Palatino Linotype"/>
          <w:b/>
          <w:sz w:val="22"/>
          <w:szCs w:val="22"/>
        </w:rPr>
      </w:pPr>
    </w:p>
    <w:p w:rsidR="000113AC" w:rsidRPr="00993181" w:rsidRDefault="000113AC" w:rsidP="000113AC">
      <w:pPr>
        <w:rPr>
          <w:rFonts w:ascii="Palatino Linotype" w:hAnsi="Palatino Linotype"/>
          <w:sz w:val="22"/>
          <w:szCs w:val="22"/>
        </w:rPr>
      </w:pPr>
    </w:p>
    <w:p w:rsidR="000113AC" w:rsidRPr="006231E1" w:rsidRDefault="000113AC" w:rsidP="000113AC"/>
    <w:p w:rsidR="00A70E2E" w:rsidRDefault="00A70E2E"/>
    <w:sectPr w:rsidR="00A70E2E"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27" w:rsidRDefault="00CE3827">
      <w:r>
        <w:separator/>
      </w:r>
    </w:p>
  </w:endnote>
  <w:endnote w:type="continuationSeparator" w:id="0">
    <w:p w:rsidR="00CE3827" w:rsidRDefault="00CE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196CE7">
              <w:rPr>
                <w:rFonts w:ascii="Palatino Linotype" w:hAnsi="Palatino Linotype"/>
                <w:b/>
                <w:bCs/>
                <w:noProof/>
                <w:sz w:val="20"/>
                <w:szCs w:val="20"/>
              </w:rPr>
              <w:t>7</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196CE7">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CE3827">
            <w:pPr>
              <w:pStyle w:val="Piedepgina"/>
              <w:jc w:val="right"/>
              <w:rPr>
                <w:rFonts w:ascii="Palatino Linotype" w:hAnsi="Palatino Linotype"/>
                <w:sz w:val="20"/>
                <w:szCs w:val="20"/>
              </w:rPr>
            </w:pPr>
          </w:p>
        </w:sdtContent>
      </w:sdt>
    </w:sdtContent>
  </w:sdt>
  <w:p w:rsidR="005D2467" w:rsidRPr="008479FB" w:rsidRDefault="00CE3827">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27" w:rsidRDefault="00CE3827">
      <w:r>
        <w:separator/>
      </w:r>
    </w:p>
  </w:footnote>
  <w:footnote w:type="continuationSeparator" w:id="0">
    <w:p w:rsidR="00CE3827" w:rsidRDefault="00CE38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CE3827"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CE3827"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CE38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113AC"/>
    <w:rsid w:val="000320FA"/>
    <w:rsid w:val="000350C3"/>
    <w:rsid w:val="000F0D3B"/>
    <w:rsid w:val="00196CE7"/>
    <w:rsid w:val="001F18A5"/>
    <w:rsid w:val="001F757E"/>
    <w:rsid w:val="00244EE3"/>
    <w:rsid w:val="003057C1"/>
    <w:rsid w:val="00311483"/>
    <w:rsid w:val="00372B0E"/>
    <w:rsid w:val="00462DF6"/>
    <w:rsid w:val="0049515C"/>
    <w:rsid w:val="005168D0"/>
    <w:rsid w:val="005839EA"/>
    <w:rsid w:val="005A184C"/>
    <w:rsid w:val="005C1445"/>
    <w:rsid w:val="005D7A61"/>
    <w:rsid w:val="0060538D"/>
    <w:rsid w:val="00630C41"/>
    <w:rsid w:val="00645C2D"/>
    <w:rsid w:val="00694D54"/>
    <w:rsid w:val="006A4203"/>
    <w:rsid w:val="006F2BAD"/>
    <w:rsid w:val="00704417"/>
    <w:rsid w:val="00754E1F"/>
    <w:rsid w:val="00757FA6"/>
    <w:rsid w:val="007A32EC"/>
    <w:rsid w:val="007D7C83"/>
    <w:rsid w:val="0085024D"/>
    <w:rsid w:val="008532E8"/>
    <w:rsid w:val="00983254"/>
    <w:rsid w:val="009906BE"/>
    <w:rsid w:val="009C08B4"/>
    <w:rsid w:val="009C7AA1"/>
    <w:rsid w:val="009D3508"/>
    <w:rsid w:val="00A43B85"/>
    <w:rsid w:val="00A666D4"/>
    <w:rsid w:val="00A70E2E"/>
    <w:rsid w:val="00AA301D"/>
    <w:rsid w:val="00C17F7D"/>
    <w:rsid w:val="00C31F94"/>
    <w:rsid w:val="00C70B8C"/>
    <w:rsid w:val="00CD56D1"/>
    <w:rsid w:val="00CE3827"/>
    <w:rsid w:val="00D27676"/>
    <w:rsid w:val="00DC7143"/>
    <w:rsid w:val="00DF169C"/>
    <w:rsid w:val="00DF190B"/>
    <w:rsid w:val="00EA3F70"/>
    <w:rsid w:val="00EB28B4"/>
    <w:rsid w:val="00ED0FE0"/>
    <w:rsid w:val="00EF6013"/>
    <w:rsid w:val="00F23370"/>
    <w:rsid w:val="00F45FE9"/>
    <w:rsid w:val="00F776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9A1E"/>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2256</Words>
  <Characters>12408</Characters>
  <Application>Microsoft Office Word</Application>
  <DocSecurity>0</DocSecurity>
  <Lines>103</Lines>
  <Paragraphs>29</Paragraphs>
  <ScaleCrop>false</ScaleCrop>
  <Company>HP Inc.</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60</cp:revision>
  <dcterms:created xsi:type="dcterms:W3CDTF">2022-08-17T20:37:00Z</dcterms:created>
  <dcterms:modified xsi:type="dcterms:W3CDTF">2022-08-18T16:23:00Z</dcterms:modified>
</cp:coreProperties>
</file>