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8C8" w:rsidRPr="00CE710E" w:rsidRDefault="000C38C8" w:rsidP="000C38C8">
      <w:pPr>
        <w:spacing w:after="240"/>
        <w:jc w:val="center"/>
        <w:rPr>
          <w:rFonts w:ascii="Palatino Linotype" w:eastAsia="Times New Roman" w:hAnsi="Palatino Linotype" w:cs="Arial"/>
          <w:b/>
          <w:bCs/>
          <w:lang w:eastAsia="es-ES"/>
        </w:rPr>
      </w:pPr>
      <w:r w:rsidRPr="00CE710E">
        <w:rPr>
          <w:rFonts w:ascii="Palatino Linotype" w:eastAsia="Times New Roman" w:hAnsi="Palatino Linotype" w:cs="Arial"/>
          <w:b/>
          <w:bCs/>
          <w:lang w:eastAsia="es-ES"/>
        </w:rPr>
        <w:t>EXPOSICIÓN DE MOTIVOS</w:t>
      </w:r>
    </w:p>
    <w:p w:rsidR="000C38C8" w:rsidRDefault="000C38C8" w:rsidP="000C38C8">
      <w:pPr>
        <w:spacing w:after="240"/>
        <w:ind w:firstLine="708"/>
        <w:jc w:val="both"/>
        <w:rPr>
          <w:rFonts w:ascii="Palatino Linotype" w:eastAsia="Times New Roman" w:hAnsi="Palatino Linotype" w:cs="Arial"/>
          <w:bCs/>
          <w:sz w:val="20"/>
          <w:szCs w:val="20"/>
          <w:lang w:eastAsia="es-ES"/>
        </w:rPr>
      </w:pPr>
    </w:p>
    <w:p w:rsidR="000C38C8" w:rsidRPr="00BC3B08" w:rsidRDefault="000C38C8" w:rsidP="000F7733">
      <w:pPr>
        <w:spacing w:after="240"/>
        <w:ind w:firstLine="708"/>
        <w:jc w:val="both"/>
        <w:rPr>
          <w:rFonts w:ascii="Palatino Linotype" w:eastAsia="Times New Roman" w:hAnsi="Palatino Linotype" w:cs="Arial"/>
          <w:bCs/>
          <w:sz w:val="20"/>
          <w:szCs w:val="20"/>
          <w:lang w:eastAsia="es-ES"/>
        </w:rPr>
      </w:pPr>
      <w:r w:rsidRPr="00BC3B08">
        <w:rPr>
          <w:rFonts w:ascii="Palatino Linotype" w:eastAsia="Times New Roman" w:hAnsi="Palatino Linotype" w:cs="Arial"/>
          <w:bCs/>
          <w:sz w:val="20"/>
          <w:szCs w:val="20"/>
          <w:lang w:eastAsia="es-ES"/>
        </w:rPr>
        <w:t xml:space="preserve">La Constitución de la República del Ecuador, en su artículo 264, numeral uno,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 </w:t>
      </w:r>
    </w:p>
    <w:p w:rsidR="000C38C8" w:rsidRDefault="000C38C8" w:rsidP="000F7733">
      <w:pPr>
        <w:spacing w:after="240"/>
        <w:ind w:firstLine="708"/>
        <w:jc w:val="both"/>
        <w:rPr>
          <w:rFonts w:ascii="Palatino Linotype" w:eastAsia="Times New Roman" w:hAnsi="Palatino Linotype" w:cs="Arial"/>
          <w:bCs/>
          <w:sz w:val="20"/>
          <w:szCs w:val="20"/>
          <w:lang w:eastAsia="es-ES"/>
        </w:rPr>
      </w:pPr>
      <w:r w:rsidRPr="00BC3B08">
        <w:rPr>
          <w:rFonts w:ascii="Palatino Linotype" w:eastAsia="Times New Roman" w:hAnsi="Palatino Linotype" w:cs="Arial"/>
          <w:bCs/>
          <w:sz w:val="20"/>
          <w:szCs w:val="20"/>
          <w:lang w:eastAsia="es-ES"/>
        </w:rPr>
        <w:t xml:space="preserve">El literal v) del artículo 87, del Código Orgánico de Organización Territorial, Autonomía y Descentralización, en lo que respecta de las atribuciones del Concejo Metropolitano </w:t>
      </w:r>
      <w:r w:rsidR="002C270A" w:rsidRPr="00BC3B08">
        <w:rPr>
          <w:rFonts w:ascii="Palatino Linotype" w:eastAsia="Times New Roman" w:hAnsi="Palatino Linotype" w:cs="Arial"/>
          <w:bCs/>
          <w:sz w:val="20"/>
          <w:szCs w:val="20"/>
          <w:lang w:eastAsia="es-ES"/>
        </w:rPr>
        <w:t>está</w:t>
      </w:r>
      <w:r w:rsidRPr="00BC3B08">
        <w:rPr>
          <w:rFonts w:ascii="Palatino Linotype" w:eastAsia="Times New Roman" w:hAnsi="Palatino Linotype" w:cs="Arial"/>
          <w:bCs/>
          <w:sz w:val="20"/>
          <w:szCs w:val="20"/>
          <w:lang w:eastAsia="es-ES"/>
        </w:rPr>
        <w:t xml:space="preserve"> la</w:t>
      </w:r>
      <w:r>
        <w:rPr>
          <w:rFonts w:ascii="Palatino Linotype" w:eastAsia="Times New Roman" w:hAnsi="Palatino Linotype" w:cs="Arial"/>
          <w:bCs/>
          <w:sz w:val="20"/>
          <w:szCs w:val="20"/>
          <w:lang w:eastAsia="es-ES"/>
        </w:rPr>
        <w:t xml:space="preserve"> de</w:t>
      </w:r>
      <w:r w:rsidRPr="00BC3B08">
        <w:rPr>
          <w:rFonts w:ascii="Palatino Linotype" w:eastAsia="Times New Roman" w:hAnsi="Palatino Linotype" w:cs="Arial"/>
          <w:bCs/>
          <w:sz w:val="20"/>
          <w:szCs w:val="20"/>
          <w:lang w:eastAsia="es-ES"/>
        </w:rPr>
        <w:t xml:space="preserve"> regular y controlar el uso de suelo en el territorio del Distrito Metropolitano, de conformidad con las leyes sobre la materia, y establecer el régimen urbanístico de la tierra.</w:t>
      </w:r>
    </w:p>
    <w:p w:rsidR="00A96171" w:rsidRPr="00BC3B08" w:rsidRDefault="00A96171" w:rsidP="000F7733">
      <w:pPr>
        <w:spacing w:after="240"/>
        <w:ind w:firstLine="708"/>
        <w:mirrorIndents/>
        <w:jc w:val="both"/>
        <w:rPr>
          <w:rFonts w:ascii="Palatino Linotype" w:eastAsia="Times New Roman" w:hAnsi="Palatino Linotype" w:cs="Arial"/>
          <w:bCs/>
          <w:sz w:val="20"/>
          <w:szCs w:val="20"/>
          <w:lang w:eastAsia="es-ES"/>
        </w:rPr>
      </w:pPr>
      <w:r w:rsidRPr="00A96171">
        <w:rPr>
          <w:rFonts w:ascii="Palatino Linotype" w:eastAsia="Times New Roman" w:hAnsi="Palatino Linotype" w:cs="Arial"/>
          <w:bCs/>
          <w:sz w:val="20"/>
          <w:szCs w:val="20"/>
          <w:lang w:eastAsia="es-ES"/>
        </w:rPr>
        <w:t>Los artículo 7, 87, y 323 del Código Orgánico de Organización Territorial, Autonomía y Descentralización, determina que dentro de las atribuciones y competencias del Concejo Municipal está la de expedir ordenanzas, acuerdos y resoluciones.</w:t>
      </w:r>
    </w:p>
    <w:p w:rsidR="000C38C8" w:rsidRPr="002C270A" w:rsidRDefault="000C38C8" w:rsidP="000F7733">
      <w:pPr>
        <w:spacing w:after="240"/>
        <w:ind w:firstLine="708"/>
        <w:jc w:val="both"/>
        <w:rPr>
          <w:rFonts w:ascii="Palatino Linotype" w:eastAsia="Times New Roman" w:hAnsi="Palatino Linotype" w:cs="Arial"/>
          <w:bCs/>
          <w:i/>
          <w:sz w:val="20"/>
          <w:szCs w:val="20"/>
          <w:lang w:eastAsia="es-ES"/>
        </w:rPr>
      </w:pPr>
      <w:r w:rsidRPr="00AC0CB5">
        <w:rPr>
          <w:rFonts w:ascii="Palatino Linotype" w:eastAsia="Times New Roman" w:hAnsi="Palatino Linotype" w:cs="Arial"/>
          <w:bCs/>
          <w:sz w:val="20"/>
          <w:szCs w:val="20"/>
          <w:lang w:eastAsia="es-ES"/>
        </w:rPr>
        <w:t>El numeral 1 del artículo</w:t>
      </w:r>
      <w:r w:rsidR="00CA222C">
        <w:rPr>
          <w:rFonts w:ascii="Palatino Linotype" w:eastAsia="Times New Roman" w:hAnsi="Palatino Linotype" w:cs="Arial"/>
          <w:bCs/>
          <w:sz w:val="20"/>
          <w:szCs w:val="20"/>
          <w:lang w:eastAsia="es-ES"/>
        </w:rPr>
        <w:t xml:space="preserve"> 21</w:t>
      </w:r>
      <w:r w:rsidR="006462E1">
        <w:rPr>
          <w:rFonts w:ascii="Palatino Linotype" w:eastAsia="Times New Roman" w:hAnsi="Palatino Linotype" w:cs="Arial"/>
          <w:bCs/>
          <w:sz w:val="20"/>
          <w:szCs w:val="20"/>
          <w:lang w:eastAsia="es-ES"/>
        </w:rPr>
        <w:t>87</w:t>
      </w:r>
      <w:r w:rsidR="002C270A">
        <w:rPr>
          <w:rFonts w:ascii="Palatino Linotype" w:eastAsia="Times New Roman" w:hAnsi="Palatino Linotype" w:cs="Arial"/>
          <w:bCs/>
          <w:sz w:val="20"/>
          <w:szCs w:val="20"/>
          <w:lang w:eastAsia="es-ES"/>
        </w:rPr>
        <w:t xml:space="preserve"> del Código Municipal para el Distrito Metropolitano de Quito,</w:t>
      </w:r>
      <w:r w:rsidRPr="00AC0CB5">
        <w:rPr>
          <w:rFonts w:ascii="Palatino Linotype" w:eastAsia="Times New Roman" w:hAnsi="Palatino Linotype" w:cs="Arial"/>
          <w:bCs/>
          <w:sz w:val="20"/>
          <w:szCs w:val="20"/>
          <w:lang w:eastAsia="es-ES"/>
        </w:rPr>
        <w:t xml:space="preserve"> en cuanto a los proyectos de urbanizaciones textualmente señala: </w:t>
      </w:r>
      <w:r w:rsidRPr="002C270A">
        <w:rPr>
          <w:rFonts w:ascii="Palatino Linotype" w:eastAsia="Times New Roman" w:hAnsi="Palatino Linotype" w:cs="Arial"/>
          <w:bCs/>
          <w:i/>
          <w:sz w:val="20"/>
          <w:szCs w:val="20"/>
          <w:lang w:eastAsia="es-ES"/>
        </w:rPr>
        <w:t>“Los proyectos de Urbanización son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1 (RR1) y residencial Rural 2 (RR2) por el PMOT u otros instrumentos de planificación. En urbanizaciones, la  división del suelo contemplará más de diez lotes, además del correspondiente al de las áreas de equipamiento comunal y áreas verdes</w:t>
      </w:r>
      <w:r w:rsidR="00CA222C">
        <w:rPr>
          <w:rFonts w:ascii="Palatino Linotype" w:eastAsia="Times New Roman" w:hAnsi="Palatino Linotype" w:cs="Arial"/>
          <w:bCs/>
          <w:i/>
          <w:sz w:val="20"/>
          <w:szCs w:val="20"/>
          <w:lang w:eastAsia="es-ES"/>
        </w:rPr>
        <w:t>”</w:t>
      </w:r>
      <w:r w:rsidR="00DF1714">
        <w:rPr>
          <w:rFonts w:ascii="Palatino Linotype" w:eastAsia="Times New Roman" w:hAnsi="Palatino Linotype" w:cs="Arial"/>
          <w:bCs/>
          <w:i/>
          <w:sz w:val="20"/>
          <w:szCs w:val="20"/>
          <w:lang w:eastAsia="es-ES"/>
        </w:rPr>
        <w:t>.</w:t>
      </w:r>
    </w:p>
    <w:p w:rsidR="000F7733" w:rsidRDefault="004F3E69" w:rsidP="000F7733">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El Concejo Metropolitano de Quito mediante Resolución No. 098 del 31 de julio de 2000, aprobó la Urbanización de Interés Social “Tréboles del Sur”.</w:t>
      </w:r>
    </w:p>
    <w:p w:rsidR="000F7733" w:rsidRDefault="004F3E69" w:rsidP="000F7733">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 xml:space="preserve">Mediante Resolución No. 108 del 10 de abril de 2001, se modifica el Cuadro de Áreas, señala que la casa de hacienda </w:t>
      </w:r>
      <w:proofErr w:type="spellStart"/>
      <w:r w:rsidRPr="004F3E69">
        <w:rPr>
          <w:rFonts w:ascii="Palatino Linotype" w:eastAsia="Times New Roman" w:hAnsi="Palatino Linotype" w:cs="Arial"/>
          <w:bCs/>
          <w:sz w:val="20"/>
          <w:szCs w:val="20"/>
          <w:lang w:eastAsia="es-ES"/>
        </w:rPr>
        <w:t>preinventariada</w:t>
      </w:r>
      <w:proofErr w:type="spellEnd"/>
      <w:r w:rsidRPr="004F3E69">
        <w:rPr>
          <w:rFonts w:ascii="Palatino Linotype" w:eastAsia="Times New Roman" w:hAnsi="Palatino Linotype" w:cs="Arial"/>
          <w:bCs/>
          <w:sz w:val="20"/>
          <w:szCs w:val="20"/>
          <w:lang w:eastAsia="es-ES"/>
        </w:rPr>
        <w:t xml:space="preserve"> no podrá ser derrocada y concede plazo para la reubicación de las personas que están ocupando el área de reserva del propietario afectada por la protección al beaterio.</w:t>
      </w:r>
    </w:p>
    <w:p w:rsidR="000F7733" w:rsidRDefault="004F3E69" w:rsidP="004F3E69">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 xml:space="preserve">Con Resolución No. C-122 del 13 de agosto de 2001, se modifica el Cuadro de Áreas, señala que la casa de hacienda </w:t>
      </w:r>
      <w:proofErr w:type="spellStart"/>
      <w:r w:rsidRPr="004F3E69">
        <w:rPr>
          <w:rFonts w:ascii="Palatino Linotype" w:eastAsia="Times New Roman" w:hAnsi="Palatino Linotype" w:cs="Arial"/>
          <w:bCs/>
          <w:sz w:val="20"/>
          <w:szCs w:val="20"/>
          <w:lang w:eastAsia="es-ES"/>
        </w:rPr>
        <w:t>preinventariada</w:t>
      </w:r>
      <w:proofErr w:type="spellEnd"/>
      <w:r w:rsidRPr="004F3E69">
        <w:rPr>
          <w:rFonts w:ascii="Palatino Linotype" w:eastAsia="Times New Roman" w:hAnsi="Palatino Linotype" w:cs="Arial"/>
          <w:bCs/>
          <w:sz w:val="20"/>
          <w:szCs w:val="20"/>
          <w:lang w:eastAsia="es-ES"/>
        </w:rPr>
        <w:t xml:space="preserve"> no podrá ser derrocada y que la solución de reubicación y legalización de tierras de los posesionarios que están asentados en el parea de reserva del Beaterio será de exclusiva responsabilidad del constructor.</w:t>
      </w:r>
    </w:p>
    <w:p w:rsidR="000F7733" w:rsidRDefault="004F3E69" w:rsidP="004F3E69">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Mediante Resolución No.  C-124 del 14 de septiembre de 2001, se reforma el área de protección de quebrada de la urbanización.</w:t>
      </w:r>
    </w:p>
    <w:p w:rsidR="000F7733" w:rsidRDefault="004F3E69" w:rsidP="004F3E69">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lastRenderedPageBreak/>
        <w:t xml:space="preserve">Con Resolución No. 139 del 20 de diciembre de 2004, se modifica el cuadro de áreas de la urbanización e incrementan 6 manzanas en el área de reserva del propietario. </w:t>
      </w:r>
    </w:p>
    <w:p w:rsidR="000F7733" w:rsidRDefault="004F3E69" w:rsidP="004F3E69">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Mediante Resolución No.  142 del 4 de agosto de 2005, se amplía el plazo a 24 meses para que procedan a la conclusión y entrega de las obras de infraestructura.</w:t>
      </w:r>
    </w:p>
    <w:p w:rsidR="000F7733" w:rsidRDefault="004F3E69" w:rsidP="00723BB5">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Con Resolución No. 147 del 8 de mayo de 2008, se amplía el plazo a 24 meses para que culminen las obras de urbanización y entreguen las mismas a la Municipalidad.</w:t>
      </w:r>
    </w:p>
    <w:p w:rsidR="000F7733" w:rsidRDefault="004F3E69" w:rsidP="00E46919">
      <w:pPr>
        <w:spacing w:after="240"/>
        <w:ind w:firstLine="708"/>
        <w:jc w:val="both"/>
        <w:rPr>
          <w:rFonts w:ascii="Palatino Linotype" w:eastAsia="Times New Roman" w:hAnsi="Palatino Linotype" w:cs="Arial"/>
          <w:bCs/>
          <w:sz w:val="20"/>
          <w:szCs w:val="20"/>
          <w:lang w:eastAsia="es-ES"/>
        </w:rPr>
      </w:pPr>
      <w:r>
        <w:rPr>
          <w:rFonts w:ascii="Palatino Linotype" w:eastAsia="Times New Roman" w:hAnsi="Palatino Linotype" w:cs="Arial"/>
          <w:bCs/>
          <w:sz w:val="20"/>
          <w:szCs w:val="20"/>
          <w:lang w:eastAsia="es-ES"/>
        </w:rPr>
        <w:t xml:space="preserve">La ingeniera María Belén Loza, en su calidad de </w:t>
      </w:r>
      <w:r w:rsidR="002917FE">
        <w:rPr>
          <w:rFonts w:ascii="Palatino Linotype" w:eastAsia="Times New Roman" w:hAnsi="Palatino Linotype" w:cs="Arial"/>
          <w:bCs/>
          <w:sz w:val="20"/>
          <w:szCs w:val="20"/>
          <w:lang w:eastAsia="es-ES"/>
        </w:rPr>
        <w:t>G</w:t>
      </w:r>
      <w:r>
        <w:rPr>
          <w:rFonts w:ascii="Palatino Linotype" w:eastAsia="Times New Roman" w:hAnsi="Palatino Linotype" w:cs="Arial"/>
          <w:bCs/>
          <w:sz w:val="20"/>
          <w:szCs w:val="20"/>
          <w:lang w:eastAsia="es-ES"/>
        </w:rPr>
        <w:t xml:space="preserve">erente </w:t>
      </w:r>
      <w:r w:rsidR="002917FE" w:rsidRPr="002917FE">
        <w:rPr>
          <w:rFonts w:ascii="Palatino Linotype" w:eastAsia="Times New Roman" w:hAnsi="Palatino Linotype" w:cs="Arial"/>
          <w:bCs/>
          <w:sz w:val="20"/>
          <w:szCs w:val="20"/>
          <w:lang w:eastAsia="es-ES"/>
        </w:rPr>
        <w:t xml:space="preserve">de URVICOS </w:t>
      </w:r>
      <w:proofErr w:type="spellStart"/>
      <w:r w:rsidR="002917FE" w:rsidRPr="002917FE">
        <w:rPr>
          <w:rFonts w:ascii="Palatino Linotype" w:eastAsia="Times New Roman" w:hAnsi="Palatino Linotype" w:cs="Arial"/>
          <w:bCs/>
          <w:sz w:val="20"/>
          <w:szCs w:val="20"/>
          <w:lang w:eastAsia="es-ES"/>
        </w:rPr>
        <w:t>Cia</w:t>
      </w:r>
      <w:proofErr w:type="spellEnd"/>
      <w:r w:rsidR="002917FE" w:rsidRPr="002917FE">
        <w:rPr>
          <w:rFonts w:ascii="Palatino Linotype" w:eastAsia="Times New Roman" w:hAnsi="Palatino Linotype" w:cs="Arial"/>
          <w:bCs/>
          <w:sz w:val="20"/>
          <w:szCs w:val="20"/>
          <w:lang w:eastAsia="es-ES"/>
        </w:rPr>
        <w:t xml:space="preserve">. </w:t>
      </w:r>
      <w:proofErr w:type="spellStart"/>
      <w:r w:rsidR="002917FE" w:rsidRPr="002917FE">
        <w:rPr>
          <w:rFonts w:ascii="Palatino Linotype" w:eastAsia="Times New Roman" w:hAnsi="Palatino Linotype" w:cs="Arial"/>
          <w:bCs/>
          <w:sz w:val="20"/>
          <w:szCs w:val="20"/>
          <w:lang w:eastAsia="es-ES"/>
        </w:rPr>
        <w:t>Ltda</w:t>
      </w:r>
      <w:proofErr w:type="spellEnd"/>
      <w:r w:rsidR="002917FE" w:rsidRPr="002917FE">
        <w:rPr>
          <w:rFonts w:ascii="Palatino Linotype" w:eastAsia="Times New Roman" w:hAnsi="Palatino Linotype" w:cs="Arial"/>
          <w:bCs/>
          <w:sz w:val="20"/>
          <w:szCs w:val="20"/>
          <w:lang w:eastAsia="es-ES"/>
        </w:rPr>
        <w:t xml:space="preserve">, </w:t>
      </w:r>
      <w:r w:rsidR="002917FE">
        <w:rPr>
          <w:rFonts w:ascii="Palatino Linotype" w:eastAsia="Times New Roman" w:hAnsi="Palatino Linotype" w:cs="Arial"/>
          <w:bCs/>
          <w:sz w:val="20"/>
          <w:szCs w:val="20"/>
          <w:lang w:eastAsia="es-ES"/>
        </w:rPr>
        <w:t xml:space="preserve">presenta un escrito, </w:t>
      </w:r>
      <w:r w:rsidR="002917FE" w:rsidRPr="002917FE">
        <w:rPr>
          <w:rFonts w:ascii="Palatino Linotype" w:eastAsia="Times New Roman" w:hAnsi="Palatino Linotype" w:cs="Arial"/>
          <w:bCs/>
          <w:sz w:val="20"/>
          <w:szCs w:val="20"/>
          <w:lang w:eastAsia="es-ES"/>
        </w:rPr>
        <w:t>tendiente a alcanzar la reformatoria de la Urbanización "Tréboles del Sur”, ubicada en la parroquia Quitumbe, por cuanto manifiesta que el Municipio del Distrito Metropolitano de Quito ha modificado el trazado vial de las Avenidas Padre Carolo y Escalón 1, que afectaron a varios inmuebles de la urbanización.</w:t>
      </w:r>
    </w:p>
    <w:p w:rsidR="000F7733" w:rsidRDefault="00E46919" w:rsidP="000F7733">
      <w:pPr>
        <w:spacing w:after="240"/>
        <w:ind w:firstLine="708"/>
        <w:jc w:val="both"/>
        <w:rPr>
          <w:rFonts w:ascii="Palatino Linotype" w:eastAsia="Times New Roman" w:hAnsi="Palatino Linotype" w:cs="Arial"/>
          <w:bCs/>
          <w:sz w:val="20"/>
          <w:szCs w:val="20"/>
          <w:lang w:eastAsia="es-ES"/>
        </w:rPr>
      </w:pPr>
      <w:r w:rsidRPr="00E46919">
        <w:rPr>
          <w:rFonts w:ascii="Palatino Linotype" w:eastAsia="Times New Roman" w:hAnsi="Palatino Linotype" w:cs="Arial"/>
          <w:bCs/>
          <w:sz w:val="20"/>
          <w:szCs w:val="20"/>
          <w:lang w:eastAsia="es-ES"/>
        </w:rPr>
        <w:t>La Empresa Pública Metropolitana de Movilidad y Obras Públicas con Oficio No. EPMMOP-GG-3453-2022-OF de</w:t>
      </w:r>
      <w:r w:rsidR="00723BB5">
        <w:rPr>
          <w:rFonts w:ascii="Palatino Linotype" w:eastAsia="Times New Roman" w:hAnsi="Palatino Linotype" w:cs="Arial"/>
          <w:bCs/>
          <w:sz w:val="20"/>
          <w:szCs w:val="20"/>
          <w:lang w:eastAsia="es-ES"/>
        </w:rPr>
        <w:t>l 22 de agosto de 2022</w:t>
      </w:r>
      <w:r w:rsidRPr="00E46919">
        <w:rPr>
          <w:rFonts w:ascii="Palatino Linotype" w:eastAsia="Times New Roman" w:hAnsi="Palatino Linotype" w:cs="Arial"/>
          <w:bCs/>
          <w:sz w:val="20"/>
          <w:szCs w:val="20"/>
          <w:lang w:eastAsia="es-ES"/>
        </w:rPr>
        <w:t>, remite el Informe No. 024-AV-I-DE-2022 de fech</w:t>
      </w:r>
      <w:r w:rsidR="00723BB5">
        <w:rPr>
          <w:rFonts w:ascii="Palatino Linotype" w:eastAsia="Times New Roman" w:hAnsi="Palatino Linotype" w:cs="Arial"/>
          <w:bCs/>
          <w:sz w:val="20"/>
          <w:szCs w:val="20"/>
          <w:lang w:eastAsia="es-ES"/>
        </w:rPr>
        <w:t>a 17 de agosto de 2022</w:t>
      </w:r>
      <w:r w:rsidRPr="00E46919">
        <w:rPr>
          <w:rFonts w:ascii="Palatino Linotype" w:eastAsia="Times New Roman" w:hAnsi="Palatino Linotype" w:cs="Arial"/>
          <w:bCs/>
          <w:sz w:val="20"/>
          <w:szCs w:val="20"/>
          <w:lang w:eastAsia="es-ES"/>
        </w:rPr>
        <w:t>, que señala:</w:t>
      </w:r>
    </w:p>
    <w:p w:rsidR="000F7733" w:rsidRPr="00723BB5" w:rsidRDefault="000F7733" w:rsidP="000F7733">
      <w:pPr>
        <w:spacing w:after="240"/>
        <w:ind w:firstLine="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 xml:space="preserve">Av. Padre </w:t>
      </w:r>
      <w:proofErr w:type="spellStart"/>
      <w:r w:rsidRPr="00723BB5">
        <w:rPr>
          <w:rFonts w:ascii="Palatino Linotype" w:eastAsia="Times New Roman" w:hAnsi="Palatino Linotype" w:cs="Arial"/>
          <w:bCs/>
          <w:i/>
          <w:sz w:val="20"/>
          <w:szCs w:val="20"/>
          <w:lang w:eastAsia="es-ES"/>
        </w:rPr>
        <w:t>Carollo</w:t>
      </w:r>
      <w:proofErr w:type="spellEnd"/>
      <w:r w:rsidRPr="00723BB5">
        <w:rPr>
          <w:rFonts w:ascii="Palatino Linotype" w:eastAsia="Times New Roman" w:hAnsi="Palatino Linotype" w:cs="Arial"/>
          <w:bCs/>
          <w:i/>
          <w:sz w:val="20"/>
          <w:szCs w:val="20"/>
          <w:lang w:eastAsia="es-ES"/>
        </w:rPr>
        <w:t xml:space="preserve"> (…)</w:t>
      </w:r>
    </w:p>
    <w:p w:rsidR="000F7733" w:rsidRPr="00723BB5" w:rsidRDefault="000F7733" w:rsidP="000F7733">
      <w:pPr>
        <w:spacing w:after="240"/>
        <w:ind w:left="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En el tramo que corresponde al sector de Tréboles del Sur, la vía se proyecta en media ladera, se optó por ajustar el trazado al lado occidental, desarrollándolo junto a la calle que actualmente se halla adoquinada, consiguiendo de esta manera, generar afectaciones mínimas; consecuentemente en el lado oriental, se generan cortes menores. (…)</w:t>
      </w:r>
    </w:p>
    <w:p w:rsidR="000F7733" w:rsidRPr="00723BB5" w:rsidRDefault="000F7733" w:rsidP="000F7733">
      <w:pPr>
        <w:spacing w:after="240"/>
        <w:ind w:firstLine="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Av. Escalón 1 (…)</w:t>
      </w:r>
    </w:p>
    <w:p w:rsidR="000F7733" w:rsidRPr="00723BB5" w:rsidRDefault="000F7733" w:rsidP="000F7733">
      <w:pPr>
        <w:spacing w:after="240"/>
        <w:ind w:left="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 xml:space="preserve">De la misma manera, la Administración Zonal Quitumbe, construyó un primer tramo, desde el sector de la intersección con la Av. Simón Bolívar, hasta la denominada “Y” de Ciudad Futura. </w:t>
      </w:r>
    </w:p>
    <w:p w:rsidR="000F7733" w:rsidRPr="00723BB5" w:rsidRDefault="000F7733" w:rsidP="000F7733">
      <w:pPr>
        <w:spacing w:after="240"/>
        <w:ind w:left="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 xml:space="preserve">Por administración directa, la EPMMOP, continuó con la construcción del siguiente tramo, desde la “Y” de Ciudad Futura hasta la calle E8Q del barrio El Conde III. </w:t>
      </w:r>
    </w:p>
    <w:p w:rsidR="000F7733" w:rsidRDefault="000F7733" w:rsidP="000F7733">
      <w:pPr>
        <w:spacing w:after="240"/>
        <w:ind w:left="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 xml:space="preserve">El tramo que corresponde, desde la calle E8Q del barrio El Conde III, hasta la calle E5A de la Urbanización Tréboles del Sur, se halla </w:t>
      </w:r>
      <w:proofErr w:type="spellStart"/>
      <w:r w:rsidRPr="00723BB5">
        <w:rPr>
          <w:rFonts w:ascii="Palatino Linotype" w:eastAsia="Times New Roman" w:hAnsi="Palatino Linotype" w:cs="Arial"/>
          <w:bCs/>
          <w:i/>
          <w:sz w:val="20"/>
          <w:szCs w:val="20"/>
          <w:lang w:eastAsia="es-ES"/>
        </w:rPr>
        <w:t>aperturado</w:t>
      </w:r>
      <w:proofErr w:type="spellEnd"/>
      <w:r w:rsidRPr="00723BB5">
        <w:rPr>
          <w:rFonts w:ascii="Palatino Linotype" w:eastAsia="Times New Roman" w:hAnsi="Palatino Linotype" w:cs="Arial"/>
          <w:bCs/>
          <w:i/>
          <w:sz w:val="20"/>
          <w:szCs w:val="20"/>
          <w:lang w:eastAsia="es-ES"/>
        </w:rPr>
        <w:t>, sin una definición de su sección transversal, (…)</w:t>
      </w:r>
    </w:p>
    <w:p w:rsidR="000F7733" w:rsidRDefault="007B439D" w:rsidP="00E7010C">
      <w:pPr>
        <w:spacing w:after="240"/>
        <w:ind w:firstLine="708"/>
        <w:jc w:val="both"/>
        <w:rPr>
          <w:rFonts w:ascii="Palatino Linotype" w:eastAsia="Times New Roman" w:hAnsi="Palatino Linotype" w:cs="Arial"/>
          <w:bCs/>
          <w:i/>
          <w:sz w:val="20"/>
          <w:szCs w:val="20"/>
          <w:lang w:eastAsia="es-ES"/>
        </w:rPr>
      </w:pPr>
      <w:r w:rsidRPr="007B439D">
        <w:rPr>
          <w:rFonts w:ascii="Palatino Linotype" w:eastAsia="Times New Roman" w:hAnsi="Palatino Linotype" w:cs="Arial"/>
          <w:bCs/>
          <w:sz w:val="20"/>
          <w:szCs w:val="20"/>
          <w:lang w:eastAsia="es-ES"/>
        </w:rPr>
        <w:t>La Empresa Pública Metropolitana de Agua Potable y Saneamiento con Oficio No. EPMAPS-GTI-2022-0229-O de</w:t>
      </w:r>
      <w:r w:rsidR="00723BB5">
        <w:rPr>
          <w:rFonts w:ascii="Palatino Linotype" w:eastAsia="Times New Roman" w:hAnsi="Palatino Linotype" w:cs="Arial"/>
          <w:bCs/>
          <w:sz w:val="20"/>
          <w:szCs w:val="20"/>
          <w:lang w:eastAsia="es-ES"/>
        </w:rPr>
        <w:t>l 23 de agosto de 2022</w:t>
      </w:r>
      <w:r w:rsidRPr="007B439D">
        <w:rPr>
          <w:rFonts w:ascii="Palatino Linotype" w:eastAsia="Times New Roman" w:hAnsi="Palatino Linotype" w:cs="Arial"/>
          <w:bCs/>
          <w:sz w:val="20"/>
          <w:szCs w:val="20"/>
          <w:lang w:eastAsia="es-ES"/>
        </w:rPr>
        <w:t xml:space="preserve">, comunica: </w:t>
      </w:r>
      <w:r w:rsidRPr="00723BB5">
        <w:rPr>
          <w:rFonts w:ascii="Palatino Linotype" w:eastAsia="Times New Roman" w:hAnsi="Palatino Linotype" w:cs="Arial"/>
          <w:bCs/>
          <w:i/>
          <w:sz w:val="20"/>
          <w:szCs w:val="20"/>
          <w:lang w:eastAsia="es-ES"/>
        </w:rPr>
        <w:t xml:space="preserve">“… los estudios y diseños del alcantarillado fueron elaborados por el Consultor Ing. Xavier Mendoza en julio de 2003, supervisados por el Ing. Alberto Campuzano de la EPMAPS y construidos por la Unidad Ejecutora La MICA QUITO SUR; redes que fueron construidas e interconectadas a la red existente aproximadamente desde el año 2000, como consta en el plano de diseño No. 7 de 28 en los pozos PE8 a Pe2. Estos diseños se los realizó de acuerdo a las necesidades técnicas del proyecto en esa época, con el trazado vial existente. No se dispone del permiso de servidumbre y se ratifica que las redes </w:t>
      </w:r>
      <w:r w:rsidRPr="00723BB5">
        <w:rPr>
          <w:rFonts w:ascii="Palatino Linotype" w:eastAsia="Times New Roman" w:hAnsi="Palatino Linotype" w:cs="Arial"/>
          <w:bCs/>
          <w:i/>
          <w:sz w:val="20"/>
          <w:szCs w:val="20"/>
          <w:lang w:eastAsia="es-ES"/>
        </w:rPr>
        <w:lastRenderedPageBreak/>
        <w:t>construidas hace 20 años fueron las necesarias. Si se requiere construir redes adicionales, estas deberán contar con la aprobación previa de sus diseños por parte de la EPMAPS.”</w:t>
      </w:r>
    </w:p>
    <w:p w:rsidR="000C38C8" w:rsidRDefault="006462E1" w:rsidP="00E7010C">
      <w:pPr>
        <w:spacing w:after="240"/>
        <w:ind w:firstLine="708"/>
        <w:jc w:val="both"/>
        <w:rPr>
          <w:rFonts w:ascii="Palatino Linotype" w:eastAsia="Times New Roman" w:hAnsi="Palatino Linotype" w:cs="Arial"/>
          <w:bCs/>
          <w:sz w:val="20"/>
          <w:szCs w:val="20"/>
          <w:lang w:eastAsia="es-ES"/>
        </w:rPr>
      </w:pPr>
      <w:bookmarkStart w:id="0" w:name="_GoBack"/>
      <w:bookmarkEnd w:id="0"/>
      <w:r>
        <w:rPr>
          <w:rFonts w:ascii="Palatino Linotype" w:eastAsia="Times New Roman" w:hAnsi="Palatino Linotype" w:cs="Arial"/>
          <w:bCs/>
          <w:sz w:val="20"/>
          <w:szCs w:val="20"/>
          <w:lang w:eastAsia="es-ES"/>
        </w:rPr>
        <w:t>Por lo antes señalado se desprende que, el Municipio Metropolitano de Quito a través de sus diferentes Empresas Publicas Metropolitanas ha realizado obras en la Urbanización denominada “Tréboles del Sur” las cuales modificaron el trazado vial del sector; e</w:t>
      </w:r>
      <w:r w:rsidR="00F57A6E">
        <w:rPr>
          <w:rFonts w:ascii="Palatino Linotype" w:eastAsia="Times New Roman" w:hAnsi="Palatino Linotype" w:cs="Arial"/>
          <w:bCs/>
          <w:sz w:val="20"/>
          <w:szCs w:val="20"/>
          <w:lang w:eastAsia="es-ES"/>
        </w:rPr>
        <w:t xml:space="preserve">n tal virtud, se presenta el proyecto </w:t>
      </w:r>
      <w:r w:rsidR="00E7010C">
        <w:rPr>
          <w:rFonts w:ascii="Palatino Linotype" w:eastAsia="Times New Roman" w:hAnsi="Palatino Linotype" w:cs="Arial"/>
          <w:bCs/>
          <w:sz w:val="20"/>
          <w:szCs w:val="20"/>
          <w:lang w:eastAsia="es-ES"/>
        </w:rPr>
        <w:t xml:space="preserve">reformatorio </w:t>
      </w:r>
      <w:r w:rsidR="00F57A6E">
        <w:rPr>
          <w:rFonts w:ascii="Palatino Linotype" w:eastAsia="Times New Roman" w:hAnsi="Palatino Linotype" w:cs="Arial"/>
          <w:bCs/>
          <w:sz w:val="20"/>
          <w:szCs w:val="20"/>
          <w:lang w:eastAsia="es-ES"/>
        </w:rPr>
        <w:t xml:space="preserve">de </w:t>
      </w:r>
      <w:r w:rsidR="00E7010C">
        <w:rPr>
          <w:rFonts w:ascii="Palatino Linotype" w:eastAsia="Times New Roman" w:hAnsi="Palatino Linotype" w:cs="Arial"/>
          <w:bCs/>
          <w:sz w:val="20"/>
          <w:szCs w:val="20"/>
          <w:lang w:eastAsia="es-ES"/>
        </w:rPr>
        <w:t>la U</w:t>
      </w:r>
      <w:r w:rsidR="00F57A6E">
        <w:rPr>
          <w:rFonts w:ascii="Palatino Linotype" w:eastAsia="Times New Roman" w:hAnsi="Palatino Linotype" w:cs="Arial"/>
          <w:bCs/>
          <w:sz w:val="20"/>
          <w:szCs w:val="20"/>
          <w:lang w:eastAsia="es-ES"/>
        </w:rPr>
        <w:t xml:space="preserve">rbanización </w:t>
      </w:r>
      <w:r w:rsidR="00F57A6E" w:rsidRPr="00BC3B08">
        <w:rPr>
          <w:rFonts w:ascii="Palatino Linotype" w:eastAsia="Times New Roman" w:hAnsi="Palatino Linotype" w:cs="Arial"/>
          <w:bCs/>
          <w:sz w:val="20"/>
          <w:szCs w:val="20"/>
          <w:lang w:eastAsia="es-ES"/>
        </w:rPr>
        <w:t>de</w:t>
      </w:r>
      <w:r w:rsidR="00E7010C">
        <w:rPr>
          <w:rFonts w:ascii="Palatino Linotype" w:eastAsia="Times New Roman" w:hAnsi="Palatino Linotype" w:cs="Arial"/>
          <w:bCs/>
          <w:sz w:val="20"/>
          <w:szCs w:val="20"/>
          <w:lang w:eastAsia="es-ES"/>
        </w:rPr>
        <w:t>nominada “Tréboles del Sur”, para los fines legales pertinentes.</w:t>
      </w:r>
    </w:p>
    <w:p w:rsidR="001800EF" w:rsidRPr="004F3E69" w:rsidRDefault="000F7733" w:rsidP="004F3E69">
      <w:pPr>
        <w:spacing w:after="240"/>
        <w:ind w:firstLine="708"/>
        <w:jc w:val="both"/>
        <w:rPr>
          <w:rFonts w:ascii="Palatino Linotype" w:eastAsia="Times New Roman" w:hAnsi="Palatino Linotype" w:cs="Arial"/>
          <w:bCs/>
          <w:sz w:val="20"/>
          <w:szCs w:val="20"/>
          <w:lang w:eastAsia="es-ES"/>
        </w:rPr>
      </w:pPr>
    </w:p>
    <w:sectPr w:rsidR="001800EF" w:rsidRPr="004F3E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043E3"/>
    <w:multiLevelType w:val="hybridMultilevel"/>
    <w:tmpl w:val="60C857C2"/>
    <w:lvl w:ilvl="0" w:tplc="300A0001">
      <w:start w:val="1"/>
      <w:numFmt w:val="bullet"/>
      <w:lvlText w:val=""/>
      <w:lvlJc w:val="left"/>
      <w:pPr>
        <w:ind w:left="287" w:hanging="360"/>
      </w:pPr>
      <w:rPr>
        <w:rFonts w:ascii="Symbol" w:hAnsi="Symbol" w:hint="default"/>
      </w:rPr>
    </w:lvl>
    <w:lvl w:ilvl="1" w:tplc="300A0003" w:tentative="1">
      <w:start w:val="1"/>
      <w:numFmt w:val="bullet"/>
      <w:lvlText w:val="o"/>
      <w:lvlJc w:val="left"/>
      <w:pPr>
        <w:ind w:left="1007" w:hanging="360"/>
      </w:pPr>
      <w:rPr>
        <w:rFonts w:ascii="Courier New" w:hAnsi="Courier New" w:cs="Courier New" w:hint="default"/>
      </w:rPr>
    </w:lvl>
    <w:lvl w:ilvl="2" w:tplc="300A0005" w:tentative="1">
      <w:start w:val="1"/>
      <w:numFmt w:val="bullet"/>
      <w:lvlText w:val=""/>
      <w:lvlJc w:val="left"/>
      <w:pPr>
        <w:ind w:left="1727" w:hanging="360"/>
      </w:pPr>
      <w:rPr>
        <w:rFonts w:ascii="Wingdings" w:hAnsi="Wingdings" w:hint="default"/>
      </w:rPr>
    </w:lvl>
    <w:lvl w:ilvl="3" w:tplc="300A0001" w:tentative="1">
      <w:start w:val="1"/>
      <w:numFmt w:val="bullet"/>
      <w:lvlText w:val=""/>
      <w:lvlJc w:val="left"/>
      <w:pPr>
        <w:ind w:left="2447" w:hanging="360"/>
      </w:pPr>
      <w:rPr>
        <w:rFonts w:ascii="Symbol" w:hAnsi="Symbol" w:hint="default"/>
      </w:rPr>
    </w:lvl>
    <w:lvl w:ilvl="4" w:tplc="300A0003" w:tentative="1">
      <w:start w:val="1"/>
      <w:numFmt w:val="bullet"/>
      <w:lvlText w:val="o"/>
      <w:lvlJc w:val="left"/>
      <w:pPr>
        <w:ind w:left="3167" w:hanging="360"/>
      </w:pPr>
      <w:rPr>
        <w:rFonts w:ascii="Courier New" w:hAnsi="Courier New" w:cs="Courier New" w:hint="default"/>
      </w:rPr>
    </w:lvl>
    <w:lvl w:ilvl="5" w:tplc="300A0005" w:tentative="1">
      <w:start w:val="1"/>
      <w:numFmt w:val="bullet"/>
      <w:lvlText w:val=""/>
      <w:lvlJc w:val="left"/>
      <w:pPr>
        <w:ind w:left="3887" w:hanging="360"/>
      </w:pPr>
      <w:rPr>
        <w:rFonts w:ascii="Wingdings" w:hAnsi="Wingdings" w:hint="default"/>
      </w:rPr>
    </w:lvl>
    <w:lvl w:ilvl="6" w:tplc="300A0001" w:tentative="1">
      <w:start w:val="1"/>
      <w:numFmt w:val="bullet"/>
      <w:lvlText w:val=""/>
      <w:lvlJc w:val="left"/>
      <w:pPr>
        <w:ind w:left="4607" w:hanging="360"/>
      </w:pPr>
      <w:rPr>
        <w:rFonts w:ascii="Symbol" w:hAnsi="Symbol" w:hint="default"/>
      </w:rPr>
    </w:lvl>
    <w:lvl w:ilvl="7" w:tplc="300A0003" w:tentative="1">
      <w:start w:val="1"/>
      <w:numFmt w:val="bullet"/>
      <w:lvlText w:val="o"/>
      <w:lvlJc w:val="left"/>
      <w:pPr>
        <w:ind w:left="5327" w:hanging="360"/>
      </w:pPr>
      <w:rPr>
        <w:rFonts w:ascii="Courier New" w:hAnsi="Courier New" w:cs="Courier New" w:hint="default"/>
      </w:rPr>
    </w:lvl>
    <w:lvl w:ilvl="8" w:tplc="300A0005" w:tentative="1">
      <w:start w:val="1"/>
      <w:numFmt w:val="bullet"/>
      <w:lvlText w:val=""/>
      <w:lvlJc w:val="left"/>
      <w:pPr>
        <w:ind w:left="6047" w:hanging="360"/>
      </w:pPr>
      <w:rPr>
        <w:rFonts w:ascii="Wingdings" w:hAnsi="Wingdings" w:hint="default"/>
      </w:rPr>
    </w:lvl>
  </w:abstractNum>
  <w:abstractNum w:abstractNumId="1" w15:restartNumberingAfterBreak="0">
    <w:nsid w:val="6E8C3EA8"/>
    <w:multiLevelType w:val="hybridMultilevel"/>
    <w:tmpl w:val="E4147552"/>
    <w:lvl w:ilvl="0" w:tplc="FE1E7584">
      <w:start w:val="750"/>
      <w:numFmt w:val="bullet"/>
      <w:lvlText w:val="-"/>
      <w:lvlJc w:val="left"/>
      <w:pPr>
        <w:ind w:left="218" w:hanging="360"/>
      </w:pPr>
      <w:rPr>
        <w:rFonts w:ascii="Tahoma" w:eastAsia="Calibri" w:hAnsi="Tahoma" w:cs="Tahoma" w:hint="default"/>
      </w:rPr>
    </w:lvl>
    <w:lvl w:ilvl="1" w:tplc="300A0003" w:tentative="1">
      <w:start w:val="1"/>
      <w:numFmt w:val="bullet"/>
      <w:lvlText w:val="o"/>
      <w:lvlJc w:val="left"/>
      <w:pPr>
        <w:ind w:left="938" w:hanging="360"/>
      </w:pPr>
      <w:rPr>
        <w:rFonts w:ascii="Courier New" w:hAnsi="Courier New" w:cs="Courier New" w:hint="default"/>
      </w:rPr>
    </w:lvl>
    <w:lvl w:ilvl="2" w:tplc="300A0005" w:tentative="1">
      <w:start w:val="1"/>
      <w:numFmt w:val="bullet"/>
      <w:lvlText w:val=""/>
      <w:lvlJc w:val="left"/>
      <w:pPr>
        <w:ind w:left="1658" w:hanging="360"/>
      </w:pPr>
      <w:rPr>
        <w:rFonts w:ascii="Wingdings" w:hAnsi="Wingdings" w:hint="default"/>
      </w:rPr>
    </w:lvl>
    <w:lvl w:ilvl="3" w:tplc="300A0001" w:tentative="1">
      <w:start w:val="1"/>
      <w:numFmt w:val="bullet"/>
      <w:lvlText w:val=""/>
      <w:lvlJc w:val="left"/>
      <w:pPr>
        <w:ind w:left="2378" w:hanging="360"/>
      </w:pPr>
      <w:rPr>
        <w:rFonts w:ascii="Symbol" w:hAnsi="Symbol" w:hint="default"/>
      </w:rPr>
    </w:lvl>
    <w:lvl w:ilvl="4" w:tplc="300A0003" w:tentative="1">
      <w:start w:val="1"/>
      <w:numFmt w:val="bullet"/>
      <w:lvlText w:val="o"/>
      <w:lvlJc w:val="left"/>
      <w:pPr>
        <w:ind w:left="3098" w:hanging="360"/>
      </w:pPr>
      <w:rPr>
        <w:rFonts w:ascii="Courier New" w:hAnsi="Courier New" w:cs="Courier New" w:hint="default"/>
      </w:rPr>
    </w:lvl>
    <w:lvl w:ilvl="5" w:tplc="300A0005" w:tentative="1">
      <w:start w:val="1"/>
      <w:numFmt w:val="bullet"/>
      <w:lvlText w:val=""/>
      <w:lvlJc w:val="left"/>
      <w:pPr>
        <w:ind w:left="3818" w:hanging="360"/>
      </w:pPr>
      <w:rPr>
        <w:rFonts w:ascii="Wingdings" w:hAnsi="Wingdings" w:hint="default"/>
      </w:rPr>
    </w:lvl>
    <w:lvl w:ilvl="6" w:tplc="300A0001" w:tentative="1">
      <w:start w:val="1"/>
      <w:numFmt w:val="bullet"/>
      <w:lvlText w:val=""/>
      <w:lvlJc w:val="left"/>
      <w:pPr>
        <w:ind w:left="4538" w:hanging="360"/>
      </w:pPr>
      <w:rPr>
        <w:rFonts w:ascii="Symbol" w:hAnsi="Symbol" w:hint="default"/>
      </w:rPr>
    </w:lvl>
    <w:lvl w:ilvl="7" w:tplc="300A0003" w:tentative="1">
      <w:start w:val="1"/>
      <w:numFmt w:val="bullet"/>
      <w:lvlText w:val="o"/>
      <w:lvlJc w:val="left"/>
      <w:pPr>
        <w:ind w:left="5258" w:hanging="360"/>
      </w:pPr>
      <w:rPr>
        <w:rFonts w:ascii="Courier New" w:hAnsi="Courier New" w:cs="Courier New" w:hint="default"/>
      </w:rPr>
    </w:lvl>
    <w:lvl w:ilvl="8" w:tplc="300A0005" w:tentative="1">
      <w:start w:val="1"/>
      <w:numFmt w:val="bullet"/>
      <w:lvlText w:val=""/>
      <w:lvlJc w:val="left"/>
      <w:pPr>
        <w:ind w:left="59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C8"/>
    <w:rsid w:val="00002D6E"/>
    <w:rsid w:val="00013F37"/>
    <w:rsid w:val="000C38C8"/>
    <w:rsid w:val="000F7733"/>
    <w:rsid w:val="002917FE"/>
    <w:rsid w:val="002C270A"/>
    <w:rsid w:val="002D1E3A"/>
    <w:rsid w:val="004F3E69"/>
    <w:rsid w:val="006462E1"/>
    <w:rsid w:val="00723BB5"/>
    <w:rsid w:val="007B439D"/>
    <w:rsid w:val="00A25F59"/>
    <w:rsid w:val="00A96171"/>
    <w:rsid w:val="00B90A17"/>
    <w:rsid w:val="00CA222C"/>
    <w:rsid w:val="00CD576A"/>
    <w:rsid w:val="00DF1714"/>
    <w:rsid w:val="00E46919"/>
    <w:rsid w:val="00E7010C"/>
    <w:rsid w:val="00F20F2D"/>
    <w:rsid w:val="00F57A6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E5274-FBF5-4B18-A58F-81820A02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8C8"/>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1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5097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del Carmen Ortiz Pesantez</dc:creator>
  <cp:keywords/>
  <dc:description/>
  <cp:lastModifiedBy>Elizabeth del Carmen Ortiz Pesantez</cp:lastModifiedBy>
  <cp:revision>3</cp:revision>
  <dcterms:created xsi:type="dcterms:W3CDTF">2022-08-29T23:48:00Z</dcterms:created>
  <dcterms:modified xsi:type="dcterms:W3CDTF">2022-08-30T13:37:00Z</dcterms:modified>
</cp:coreProperties>
</file>