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6734E7"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6734E7">
        <w:rPr>
          <w:rFonts w:ascii="Palatino Linotype" w:eastAsiaTheme="minorHAnsi" w:hAnsi="Palatino Linotype"/>
          <w:b/>
          <w:sz w:val="22"/>
          <w:szCs w:val="22"/>
          <w:lang w:eastAsia="en-US"/>
        </w:rPr>
        <w:t>EL CONCEJO METROPOLITANO DE QUITO</w:t>
      </w:r>
    </w:p>
    <w:p w:rsidR="000113AC" w:rsidRPr="006734E7"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6734E7"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6734E7">
        <w:rPr>
          <w:rFonts w:ascii="Palatino Linotype" w:eastAsiaTheme="minorHAnsi" w:hAnsi="Palatino Linotype"/>
          <w:b/>
          <w:sz w:val="22"/>
          <w:szCs w:val="22"/>
          <w:lang w:eastAsia="en-US"/>
        </w:rPr>
        <w:t>CONSIDERANDO:</w:t>
      </w:r>
    </w:p>
    <w:p w:rsidR="000113AC" w:rsidRPr="006734E7"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6734E7">
        <w:rPr>
          <w:rFonts w:ascii="Palatino Linotype" w:eastAsiaTheme="minorHAnsi" w:hAnsi="Palatino Linotype"/>
          <w:b/>
          <w:bCs/>
          <w:sz w:val="22"/>
          <w:szCs w:val="22"/>
          <w:lang w:eastAsia="en-US"/>
        </w:rPr>
        <w:t>Que</w:t>
      </w:r>
      <w:r w:rsidRPr="006734E7">
        <w:rPr>
          <w:rFonts w:ascii="Palatino Linotype" w:eastAsiaTheme="minorHAnsi" w:hAnsi="Palatino Linotype"/>
          <w:sz w:val="22"/>
          <w:szCs w:val="22"/>
          <w:lang w:eastAsia="en-US"/>
        </w:rPr>
        <w:t xml:space="preserve">, </w:t>
      </w:r>
      <w:r w:rsidRPr="006734E7">
        <w:rPr>
          <w:rFonts w:ascii="Palatino Linotype" w:eastAsiaTheme="minorHAnsi" w:hAnsi="Palatino Linotype"/>
          <w:sz w:val="22"/>
          <w:szCs w:val="22"/>
          <w:lang w:eastAsia="en-US"/>
        </w:rPr>
        <w:tab/>
        <w:t xml:space="preserve"> el artículo 240 de la Constitución de República del Ecuador, en adelante Constitución, establece: “</w:t>
      </w:r>
      <w:r w:rsidRPr="006734E7">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w:t>
      </w:r>
      <w:r w:rsidRPr="006734E7">
        <w:rPr>
          <w:rFonts w:ascii="Palatino Linotype" w:eastAsiaTheme="minorHAnsi" w:hAnsi="Palatino Linotype"/>
          <w:sz w:val="22"/>
          <w:szCs w:val="22"/>
          <w:lang w:eastAsia="en-US"/>
        </w:rPr>
        <w:tab/>
        <w:t xml:space="preserve">la Constitución de la República del Ecuador en su artículo 266, determina: </w:t>
      </w:r>
      <w:r w:rsidRPr="006734E7">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6734E7">
        <w:rPr>
          <w:rFonts w:ascii="Palatino Linotype" w:eastAsiaTheme="minorHAnsi" w:hAnsi="Palatino Linotype"/>
          <w:sz w:val="22"/>
          <w:szCs w:val="22"/>
          <w:lang w:eastAsia="en-US"/>
        </w:rPr>
        <w:t>;</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6734E7">
        <w:rPr>
          <w:rFonts w:ascii="Palatino Linotype" w:eastAsiaTheme="minorHAnsi" w:hAnsi="Palatino Linotype"/>
          <w:b/>
          <w:bCs/>
          <w:sz w:val="22"/>
          <w:szCs w:val="22"/>
          <w:lang w:eastAsia="en-US"/>
        </w:rPr>
        <w:t>Que,</w:t>
      </w:r>
      <w:r w:rsidRPr="006734E7">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6734E7">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w:t>
      </w:r>
      <w:r w:rsidRPr="006734E7">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w:t>
      </w:r>
      <w:r w:rsidRPr="006734E7">
        <w:rPr>
          <w:rFonts w:ascii="Palatino Linotype" w:eastAsiaTheme="minorHAnsi" w:hAnsi="Palatino Linotype"/>
          <w:sz w:val="22"/>
          <w:szCs w:val="22"/>
          <w:lang w:eastAsia="en-US"/>
        </w:rPr>
        <w:tab/>
        <w:t xml:space="preserve">conforme establece el artículo 87, literal v) del COOTAD, al Concejo Metropolitano le corresponde: </w:t>
      </w:r>
      <w:r w:rsidRPr="006734E7">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6734E7">
        <w:rPr>
          <w:rFonts w:ascii="Palatino Linotype" w:eastAsiaTheme="minorHAnsi" w:hAnsi="Palatino Linotype"/>
          <w:sz w:val="22"/>
          <w:szCs w:val="22"/>
          <w:lang w:eastAsia="en-US"/>
        </w:rPr>
        <w:t xml:space="preserve">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6734E7">
        <w:rPr>
          <w:rFonts w:ascii="Palatino Linotype" w:eastAsiaTheme="minorHAnsi" w:hAnsi="Palatino Linotype"/>
          <w:sz w:val="22"/>
          <w:szCs w:val="22"/>
          <w:lang w:eastAsia="en-US"/>
        </w:rPr>
        <w:t xml:space="preserve">Que, </w:t>
      </w:r>
      <w:r w:rsidRPr="006734E7">
        <w:rPr>
          <w:rFonts w:ascii="Palatino Linotype" w:eastAsiaTheme="minorHAnsi" w:hAnsi="Palatino Linotype"/>
          <w:sz w:val="22"/>
          <w:szCs w:val="22"/>
          <w:lang w:eastAsia="en-US"/>
        </w:rPr>
        <w:tab/>
        <w:t>el artículo 323 del COOTAD establece: “</w:t>
      </w:r>
      <w:r w:rsidRPr="006734E7">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6734E7">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el artículo 424 del COOTAD señala: </w:t>
      </w:r>
      <w:r w:rsidRPr="006734E7">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el artículo 472 del COOTAD señala que: </w:t>
      </w:r>
      <w:r w:rsidRPr="006734E7">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6734E7">
        <w:rPr>
          <w:rFonts w:ascii="Palatino Linotype" w:eastAsiaTheme="minorHAnsi" w:hAnsi="Palatino Linotype"/>
          <w:sz w:val="22"/>
          <w:szCs w:val="22"/>
          <w:lang w:eastAsia="en-US"/>
        </w:rPr>
        <w:t>;</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el artículo 2410 del el Código Civil Ecuatoriano determina que: </w:t>
      </w:r>
      <w:r w:rsidRPr="006734E7">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jc w:val="both"/>
        <w:rPr>
          <w:rFonts w:ascii="Palatino Linotype" w:hAnsi="Palatino Linotype"/>
          <w:sz w:val="22"/>
          <w:szCs w:val="22"/>
        </w:rPr>
      </w:pPr>
    </w:p>
    <w:p w:rsidR="000113AC" w:rsidRPr="006734E7"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6734E7">
        <w:rPr>
          <w:rFonts w:ascii="Palatino Linotype" w:eastAsiaTheme="minorHAnsi" w:hAnsi="Palatino Linotype"/>
          <w:sz w:val="22"/>
          <w:szCs w:val="22"/>
          <w:lang w:eastAsia="en-US"/>
        </w:rPr>
        <w:lastRenderedPageBreak/>
        <w:t>Que,</w:t>
      </w:r>
      <w:r w:rsidRPr="006734E7">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6734E7">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6734E7">
        <w:rPr>
          <w:rFonts w:ascii="Palatino Linotype" w:eastAsiaTheme="minorHAnsi" w:hAnsi="Palatino Linotype"/>
          <w:sz w:val="22"/>
          <w:szCs w:val="22"/>
          <w:lang w:eastAsia="en-US"/>
        </w:rPr>
        <w:t>;</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w:t>
      </w:r>
      <w:r w:rsidRPr="006734E7">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6734E7">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6734E7">
        <w:rPr>
          <w:rFonts w:ascii="Palatino Linotype" w:hAnsi="Palatino Linotype"/>
          <w:i/>
          <w:sz w:val="22"/>
          <w:szCs w:val="22"/>
        </w:rPr>
        <w:t>”</w:t>
      </w:r>
      <w:r w:rsidRPr="006734E7">
        <w:rPr>
          <w:rFonts w:ascii="Palatino Linotype" w:hAnsi="Palatino Linotype"/>
          <w:sz w:val="22"/>
          <w:szCs w:val="22"/>
        </w:rPr>
        <w:t xml:space="preserve">; </w:t>
      </w:r>
    </w:p>
    <w:p w:rsidR="000113AC" w:rsidRPr="006734E7"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w:t>
      </w:r>
      <w:r w:rsidRPr="006734E7">
        <w:rPr>
          <w:rFonts w:ascii="Palatino Linotype" w:eastAsiaTheme="minorHAnsi" w:hAnsi="Palatino Linotype"/>
          <w:sz w:val="22"/>
          <w:szCs w:val="22"/>
          <w:lang w:eastAsia="en-US"/>
        </w:rPr>
        <w:tab/>
        <w:t xml:space="preserve">el Código Municipal en su artículo 2171, establece: </w:t>
      </w:r>
      <w:r w:rsidRPr="006734E7">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6734E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113AC" w:rsidRPr="006734E7" w:rsidRDefault="000113AC" w:rsidP="008A5370">
      <w:pPr>
        <w:autoSpaceDE w:val="0"/>
        <w:autoSpaceDN w:val="0"/>
        <w:adjustRightInd w:val="0"/>
        <w:ind w:left="708" w:right="49" w:hanging="708"/>
        <w:jc w:val="both"/>
        <w:rPr>
          <w:rFonts w:ascii="Palatino Linotype" w:hAnsi="Palatino Linotype"/>
          <w:i/>
          <w:sz w:val="22"/>
          <w:szCs w:val="22"/>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w:t>
      </w:r>
      <w:r w:rsidRPr="006734E7">
        <w:rPr>
          <w:rFonts w:ascii="Palatino Linotype" w:eastAsiaTheme="minorHAnsi" w:hAnsi="Palatino Linotype"/>
          <w:sz w:val="22"/>
          <w:szCs w:val="22"/>
          <w:lang w:eastAsia="en-US"/>
        </w:rPr>
        <w:tab/>
      </w:r>
      <w:r w:rsidR="0007713A" w:rsidRPr="006734E7">
        <w:rPr>
          <w:rFonts w:ascii="Palatino Linotype" w:hAnsi="Palatino Linotype"/>
          <w:sz w:val="22"/>
          <w:szCs w:val="22"/>
          <w:lang w:val="es-ES"/>
        </w:rPr>
        <w:t xml:space="preserve">en el </w:t>
      </w:r>
      <w:r w:rsidR="0007713A" w:rsidRPr="006734E7">
        <w:rPr>
          <w:rFonts w:ascii="Palatino Linotype" w:hAnsi="Palatino Linotype"/>
          <w:sz w:val="22"/>
          <w:szCs w:val="22"/>
        </w:rPr>
        <w:t>juicio No. 20</w:t>
      </w:r>
      <w:r w:rsidR="0007713A" w:rsidRPr="006734E7">
        <w:rPr>
          <w:rFonts w:ascii="Palatino Linotype" w:hAnsi="Palatino Linotype"/>
          <w:sz w:val="22"/>
          <w:szCs w:val="22"/>
        </w:rPr>
        <w:t>13-0484 de 22 de marzo del 2016,</w:t>
      </w:r>
      <w:r w:rsidR="0007713A" w:rsidRPr="006734E7">
        <w:rPr>
          <w:rFonts w:ascii="Palatino Linotype" w:hAnsi="Palatino Linotype"/>
          <w:sz w:val="22"/>
          <w:szCs w:val="22"/>
        </w:rPr>
        <w:t xml:space="preserve"> de la Unidad Judicial Civil con sede en el Distrito Metropolitano de Quito, provincia de Pichincha, </w:t>
      </w:r>
      <w:r w:rsidR="0007713A" w:rsidRPr="006734E7">
        <w:rPr>
          <w:rFonts w:ascii="Palatino Linotype" w:hAnsi="Palatino Linotype"/>
          <w:sz w:val="22"/>
          <w:szCs w:val="22"/>
        </w:rPr>
        <w:t>la Jueza</w:t>
      </w:r>
      <w:r w:rsidR="0007713A" w:rsidRPr="006734E7">
        <w:rPr>
          <w:rFonts w:ascii="Palatino Linotype" w:hAnsi="Palatino Linotype"/>
          <w:sz w:val="22"/>
          <w:szCs w:val="22"/>
        </w:rPr>
        <w:t xml:space="preserve"> Susana Patíño Calero, en </w:t>
      </w:r>
      <w:r w:rsidR="0007713A" w:rsidRPr="006734E7">
        <w:rPr>
          <w:rFonts w:ascii="Palatino Linotype" w:hAnsi="Palatino Linotype"/>
          <w:sz w:val="22"/>
          <w:szCs w:val="22"/>
        </w:rPr>
        <w:t xml:space="preserve">la </w:t>
      </w:r>
      <w:r w:rsidR="0007713A" w:rsidRPr="006734E7">
        <w:rPr>
          <w:rFonts w:ascii="Palatino Linotype" w:hAnsi="Palatino Linotype"/>
          <w:sz w:val="22"/>
          <w:szCs w:val="22"/>
        </w:rPr>
        <w:t xml:space="preserve">parte pertinente, DECISIÓN, textualmente señala: </w:t>
      </w:r>
      <w:r w:rsidR="0007713A" w:rsidRPr="006734E7">
        <w:rPr>
          <w:rFonts w:ascii="Palatino Linotype" w:hAnsi="Palatino Linotype"/>
          <w:i/>
          <w:sz w:val="22"/>
          <w:szCs w:val="22"/>
        </w:rPr>
        <w:t>"(...) se acepta· la demanda y se declara la Prescripción Adquisitiva Extraordinaria de Dominio a favor de los señores. GALUD ELIZABETH HINOJOSA CONSTANTE y GLODI RODOLFO TUFIÑO ALMEIDA; respecto del inmueble ubicado a 60 mts. De la calle 24 de mayo, barrio Gualo, parroquia Llano Chico de este Distrito Metropolitano de Quito, provincia de Pichincha, circunscrito dentro de los siguiente linderos: Norte: En 22.44 m, con P. Sra. María Mercedes Narváez- Sur: En 21.13 m., con pasaje- Este: En 27.22m con P. Luis Aníbal Hinojosa Tufiño – Oeste: En 27.64m, con P. Mauro Aloberhes Hinojosa Tufiño; Área 613.26 m2 medidas tomados en situ (...)".</w:t>
      </w:r>
    </w:p>
    <w:p w:rsidR="0026176F" w:rsidRPr="006734E7" w:rsidRDefault="0026176F" w:rsidP="00F45FE9">
      <w:pPr>
        <w:autoSpaceDE w:val="0"/>
        <w:autoSpaceDN w:val="0"/>
        <w:adjustRightInd w:val="0"/>
        <w:ind w:left="708" w:right="626" w:hanging="708"/>
        <w:jc w:val="both"/>
        <w:rPr>
          <w:rFonts w:ascii="Palatino Linotype" w:hAnsi="Palatino Linotype"/>
          <w:sz w:val="22"/>
          <w:szCs w:val="22"/>
        </w:rPr>
      </w:pPr>
    </w:p>
    <w:p w:rsidR="00F45FE9" w:rsidRPr="006734E7" w:rsidRDefault="00F45FE9" w:rsidP="00F45FE9">
      <w:pPr>
        <w:autoSpaceDE w:val="0"/>
        <w:autoSpaceDN w:val="0"/>
        <w:adjustRightInd w:val="0"/>
        <w:ind w:left="708" w:right="626" w:hanging="708"/>
        <w:jc w:val="both"/>
        <w:rPr>
          <w:rFonts w:ascii="Palatino Linotype" w:hAnsi="Palatino Linotype"/>
          <w:sz w:val="22"/>
          <w:szCs w:val="22"/>
        </w:rPr>
      </w:pPr>
    </w:p>
    <w:p w:rsidR="000113AC" w:rsidRPr="006734E7" w:rsidRDefault="000113AC" w:rsidP="000113AC">
      <w:pPr>
        <w:autoSpaceDE w:val="0"/>
        <w:autoSpaceDN w:val="0"/>
        <w:adjustRightInd w:val="0"/>
        <w:ind w:left="708" w:hanging="708"/>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Que,</w:t>
      </w:r>
      <w:r w:rsidRPr="006734E7">
        <w:rPr>
          <w:rFonts w:ascii="Palatino Linotype" w:eastAsiaTheme="minorHAnsi" w:hAnsi="Palatino Linotype"/>
          <w:sz w:val="22"/>
          <w:szCs w:val="22"/>
          <w:lang w:eastAsia="en-US"/>
        </w:rPr>
        <w:t xml:space="preserve"> mediante oficio Nro.</w:t>
      </w:r>
      <w:r w:rsidRPr="006734E7">
        <w:rPr>
          <w:rFonts w:ascii="Palatino Linotype" w:hAnsi="Palatino Linotype"/>
          <w:sz w:val="22"/>
          <w:szCs w:val="22"/>
        </w:rPr>
        <w:t xml:space="preserve"> 2950-2010 de 31 de octubre de 2011</w:t>
      </w:r>
      <w:r w:rsidR="00690B41">
        <w:rPr>
          <w:rFonts w:ascii="Palatino Linotype" w:hAnsi="Palatino Linotype"/>
          <w:sz w:val="22"/>
          <w:szCs w:val="22"/>
        </w:rPr>
        <w:t>,</w:t>
      </w:r>
      <w:bookmarkStart w:id="0" w:name="_GoBack"/>
      <w:bookmarkEnd w:id="0"/>
      <w:r w:rsidRPr="006734E7">
        <w:rPr>
          <w:rFonts w:ascii="Palatino Linotype" w:eastAsiaTheme="minorHAnsi" w:hAnsi="Palatino Linotype"/>
          <w:sz w:val="22"/>
          <w:szCs w:val="22"/>
          <w:lang w:eastAsia="en-US"/>
        </w:rPr>
        <w:t xml:space="preserve"> la Procuraduría Metropolitana emitió un </w:t>
      </w:r>
      <w:r w:rsidRPr="006734E7">
        <w:rPr>
          <w:rFonts w:ascii="Palatino Linotype" w:hAnsi="Palatino Linotype"/>
          <w:sz w:val="22"/>
          <w:szCs w:val="22"/>
        </w:rPr>
        <w:t xml:space="preserve">pronunciamiento en forma general, respecto al marco legal </w:t>
      </w:r>
      <w:r w:rsidRPr="006734E7">
        <w:rPr>
          <w:rFonts w:ascii="Palatino Linotype" w:hAnsi="Palatino Linotype"/>
          <w:sz w:val="22"/>
          <w:szCs w:val="22"/>
        </w:rPr>
        <w:lastRenderedPageBreak/>
        <w:t xml:space="preserve">y operativo para todos los casos de </w:t>
      </w:r>
      <w:r w:rsidRPr="006734E7">
        <w:rPr>
          <w:rFonts w:ascii="Palatino Linotype" w:eastAsiaTheme="minorHAnsi" w:hAnsi="Palatino Linotype"/>
          <w:sz w:val="22"/>
          <w:szCs w:val="22"/>
          <w:lang w:eastAsia="en-US"/>
        </w:rPr>
        <w:t>prescripción extraordinaria adquisitiva de dominio;</w:t>
      </w:r>
    </w:p>
    <w:p w:rsidR="007E218C" w:rsidRPr="006734E7" w:rsidRDefault="007E218C" w:rsidP="000113AC">
      <w:pPr>
        <w:autoSpaceDE w:val="0"/>
        <w:autoSpaceDN w:val="0"/>
        <w:adjustRightInd w:val="0"/>
        <w:ind w:left="708" w:hanging="708"/>
        <w:jc w:val="both"/>
        <w:rPr>
          <w:rFonts w:ascii="Palatino Linotype" w:eastAsiaTheme="minorHAnsi" w:hAnsi="Palatino Linotype"/>
          <w:sz w:val="22"/>
          <w:szCs w:val="22"/>
          <w:lang w:eastAsia="en-US"/>
        </w:rPr>
      </w:pPr>
    </w:p>
    <w:p w:rsidR="007E218C" w:rsidRPr="006734E7" w:rsidRDefault="007E218C" w:rsidP="007E218C">
      <w:pPr>
        <w:pStyle w:val="Default"/>
        <w:ind w:left="708" w:hanging="708"/>
        <w:jc w:val="both"/>
        <w:rPr>
          <w:sz w:val="22"/>
          <w:szCs w:val="22"/>
        </w:rPr>
      </w:pPr>
      <w:r w:rsidRPr="006734E7">
        <w:rPr>
          <w:b/>
          <w:sz w:val="22"/>
          <w:szCs w:val="22"/>
        </w:rPr>
        <w:t>Que,</w:t>
      </w:r>
      <w:r w:rsidRPr="006734E7">
        <w:rPr>
          <w:sz w:val="22"/>
          <w:szCs w:val="22"/>
        </w:rPr>
        <w:t xml:space="preserve"> mediante oficio GADDMQ-PM-2021-0396-O de 29 de enero de 2021, el Dr. Edison Yépez Vinueza, Subprocurador Metropolitano, señala: </w:t>
      </w:r>
    </w:p>
    <w:p w:rsidR="007E218C" w:rsidRPr="006734E7" w:rsidRDefault="007E218C" w:rsidP="007E218C">
      <w:pPr>
        <w:tabs>
          <w:tab w:val="left" w:pos="426"/>
        </w:tabs>
        <w:ind w:left="1416" w:right="566"/>
        <w:jc w:val="both"/>
        <w:rPr>
          <w:rFonts w:ascii="Palatino Linotype" w:hAnsi="Palatino Linotype"/>
          <w:i/>
          <w:sz w:val="22"/>
          <w:szCs w:val="22"/>
        </w:rPr>
      </w:pPr>
    </w:p>
    <w:p w:rsidR="007E218C" w:rsidRPr="006734E7" w:rsidRDefault="007E218C" w:rsidP="007E218C">
      <w:pPr>
        <w:tabs>
          <w:tab w:val="left" w:pos="284"/>
        </w:tabs>
        <w:ind w:left="708"/>
        <w:jc w:val="both"/>
        <w:rPr>
          <w:rFonts w:ascii="Palatino Linotype" w:hAnsi="Palatino Linotype"/>
          <w:i/>
          <w:sz w:val="22"/>
          <w:szCs w:val="22"/>
        </w:rPr>
      </w:pPr>
      <w:r w:rsidRPr="006734E7">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7E218C" w:rsidRPr="006734E7" w:rsidRDefault="007E218C" w:rsidP="007E218C">
      <w:pPr>
        <w:tabs>
          <w:tab w:val="left" w:pos="284"/>
        </w:tabs>
        <w:ind w:left="708"/>
        <w:jc w:val="both"/>
        <w:rPr>
          <w:rFonts w:ascii="Palatino Linotype" w:hAnsi="Palatino Linotype"/>
          <w:i/>
          <w:sz w:val="22"/>
          <w:szCs w:val="22"/>
        </w:rPr>
      </w:pPr>
      <w:r w:rsidRPr="006734E7">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7E218C" w:rsidRPr="006734E7" w:rsidRDefault="007E218C" w:rsidP="007E218C">
      <w:pPr>
        <w:tabs>
          <w:tab w:val="left" w:pos="284"/>
        </w:tabs>
        <w:ind w:left="708"/>
        <w:jc w:val="both"/>
        <w:rPr>
          <w:rFonts w:ascii="Palatino Linotype" w:hAnsi="Palatino Linotype"/>
          <w:i/>
          <w:sz w:val="22"/>
          <w:szCs w:val="22"/>
        </w:rPr>
      </w:pPr>
      <w:r w:rsidRPr="006734E7">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7E218C" w:rsidRPr="006734E7" w:rsidRDefault="007E218C" w:rsidP="007E218C">
      <w:pPr>
        <w:tabs>
          <w:tab w:val="left" w:pos="284"/>
        </w:tabs>
        <w:ind w:left="708"/>
        <w:jc w:val="both"/>
        <w:rPr>
          <w:rFonts w:ascii="Palatino Linotype" w:hAnsi="Palatino Linotype"/>
          <w:i/>
          <w:sz w:val="22"/>
          <w:szCs w:val="22"/>
        </w:rPr>
      </w:pPr>
      <w:r w:rsidRPr="006734E7">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7E218C" w:rsidRPr="006734E7" w:rsidRDefault="007E218C" w:rsidP="007E218C">
      <w:pPr>
        <w:pStyle w:val="Default"/>
        <w:jc w:val="both"/>
        <w:rPr>
          <w:b/>
          <w:i/>
          <w:sz w:val="22"/>
          <w:szCs w:val="22"/>
        </w:rPr>
      </w:pPr>
    </w:p>
    <w:p w:rsidR="008B53A7" w:rsidRPr="006734E7" w:rsidRDefault="005A184C" w:rsidP="00DC2A7D">
      <w:pPr>
        <w:autoSpaceDE w:val="0"/>
        <w:autoSpaceDN w:val="0"/>
        <w:adjustRightInd w:val="0"/>
        <w:ind w:left="708" w:hanging="708"/>
        <w:jc w:val="both"/>
        <w:rPr>
          <w:rFonts w:ascii="Palatino Linotype" w:hAnsi="Palatino Linotype"/>
          <w:sz w:val="22"/>
          <w:szCs w:val="22"/>
        </w:rPr>
      </w:pPr>
      <w:r w:rsidRPr="006734E7">
        <w:rPr>
          <w:rFonts w:ascii="Palatino Linotype" w:hAnsi="Palatino Linotype"/>
          <w:b/>
          <w:sz w:val="22"/>
          <w:szCs w:val="22"/>
        </w:rPr>
        <w:t xml:space="preserve">Que, </w:t>
      </w:r>
      <w:r w:rsidR="008B53A7" w:rsidRPr="006734E7">
        <w:rPr>
          <w:rFonts w:ascii="Palatino Linotype" w:hAnsi="Palatino Linotype"/>
          <w:sz w:val="22"/>
          <w:szCs w:val="22"/>
        </w:rPr>
        <w:t>m</w:t>
      </w:r>
      <w:r w:rsidR="008B53A7" w:rsidRPr="006734E7">
        <w:rPr>
          <w:rFonts w:ascii="Palatino Linotype" w:hAnsi="Palatino Linotype"/>
          <w:sz w:val="22"/>
          <w:szCs w:val="22"/>
        </w:rPr>
        <w:t xml:space="preserve">ediante memorando Nro. GADDMQ-STHV-DMC-UGT-AZC-2022-0063-M de 07 de marzo de 2022, la Srta. Ing. Nancy Maribel Calapaqui Chiliquinga Jefa Zonal de Catastro de la Administración Zonal Calderón señala: </w:t>
      </w:r>
    </w:p>
    <w:p w:rsidR="008B53A7" w:rsidRPr="006734E7" w:rsidRDefault="008B53A7" w:rsidP="00DC2A7D">
      <w:pPr>
        <w:autoSpaceDE w:val="0"/>
        <w:autoSpaceDN w:val="0"/>
        <w:adjustRightInd w:val="0"/>
        <w:ind w:left="708" w:hanging="708"/>
        <w:jc w:val="both"/>
        <w:rPr>
          <w:rFonts w:ascii="Palatino Linotype" w:hAnsi="Palatino Linotype"/>
          <w:sz w:val="22"/>
          <w:szCs w:val="22"/>
        </w:rPr>
      </w:pPr>
    </w:p>
    <w:p w:rsidR="008B53A7" w:rsidRPr="006734E7" w:rsidRDefault="008B53A7" w:rsidP="008B53A7">
      <w:pPr>
        <w:autoSpaceDE w:val="0"/>
        <w:autoSpaceDN w:val="0"/>
        <w:adjustRightInd w:val="0"/>
        <w:ind w:left="708"/>
        <w:jc w:val="both"/>
        <w:rPr>
          <w:rFonts w:ascii="Palatino Linotype" w:hAnsi="Palatino Linotype"/>
          <w:i/>
          <w:sz w:val="22"/>
          <w:szCs w:val="22"/>
        </w:rPr>
      </w:pPr>
      <w:r w:rsidRPr="006734E7">
        <w:rPr>
          <w:rFonts w:ascii="Palatino Linotype" w:hAnsi="Palatino Linotype"/>
          <w:i/>
          <w:sz w:val="22"/>
          <w:szCs w:val="22"/>
        </w:rPr>
        <w:t xml:space="preserve">“(…) De la base legal expuesta, me permito informar que, es competencia de la Dirección Metropolitana de Catastro ingresar al sistema de Catastro las sentencias de Prescripción Adquisitiva de Dominio y generar número de predio, una vez ingresado al Sistema de Licencias Metropolitanas SLUM, más no la de generar valor alguno sobre compensaciones monetarias por la contribución del 15% del área útil prescrita. </w:t>
      </w:r>
    </w:p>
    <w:p w:rsidR="008B53A7" w:rsidRPr="006734E7" w:rsidRDefault="008B53A7" w:rsidP="008B53A7">
      <w:pPr>
        <w:autoSpaceDE w:val="0"/>
        <w:autoSpaceDN w:val="0"/>
        <w:adjustRightInd w:val="0"/>
        <w:ind w:left="708"/>
        <w:jc w:val="both"/>
        <w:rPr>
          <w:rFonts w:ascii="Palatino Linotype" w:hAnsi="Palatino Linotype"/>
          <w:i/>
          <w:sz w:val="22"/>
          <w:szCs w:val="22"/>
        </w:rPr>
      </w:pPr>
    </w:p>
    <w:p w:rsidR="007D7C83" w:rsidRPr="006734E7" w:rsidRDefault="008B53A7" w:rsidP="008B53A7">
      <w:pPr>
        <w:autoSpaceDE w:val="0"/>
        <w:autoSpaceDN w:val="0"/>
        <w:adjustRightInd w:val="0"/>
        <w:ind w:left="708"/>
        <w:jc w:val="both"/>
        <w:rPr>
          <w:rFonts w:ascii="Palatino Linotype" w:eastAsiaTheme="minorHAnsi" w:hAnsi="Palatino Linotype"/>
          <w:i/>
          <w:sz w:val="22"/>
          <w:szCs w:val="22"/>
          <w:lang w:val="es-ES" w:eastAsia="en-US"/>
        </w:rPr>
      </w:pPr>
      <w:r w:rsidRPr="006734E7">
        <w:rPr>
          <w:rFonts w:ascii="Palatino Linotype" w:hAnsi="Palatino Linotype"/>
          <w:i/>
          <w:sz w:val="22"/>
          <w:szCs w:val="22"/>
        </w:rPr>
        <w:t xml:space="preserve">Por tanto, revisado el sistema de registro catastral SIREC-Q a la presente fecha, el inmueble identificado con </w:t>
      </w:r>
      <w:r w:rsidRPr="006734E7">
        <w:rPr>
          <w:rFonts w:ascii="Palatino Linotype" w:hAnsi="Palatino Linotype"/>
          <w:b/>
          <w:i/>
          <w:sz w:val="22"/>
          <w:szCs w:val="22"/>
        </w:rPr>
        <w:t>Predio</w:t>
      </w:r>
      <w:r w:rsidRPr="006734E7">
        <w:rPr>
          <w:rFonts w:ascii="Palatino Linotype" w:hAnsi="Palatino Linotype"/>
          <w:i/>
          <w:sz w:val="22"/>
          <w:szCs w:val="22"/>
        </w:rPr>
        <w:t xml:space="preserve"> 1273303, Clave Catastral 1221407027, ubicado en la parroquia Llano Chico y catastrado a nombre de </w:t>
      </w:r>
      <w:r w:rsidRPr="006734E7">
        <w:rPr>
          <w:rFonts w:ascii="Palatino Linotype" w:hAnsi="Palatino Linotype"/>
          <w:b/>
          <w:i/>
          <w:sz w:val="22"/>
          <w:szCs w:val="22"/>
        </w:rPr>
        <w:t>HINOJOSA SALAZAR FRANCISCO Y OTROS</w:t>
      </w:r>
      <w:r w:rsidR="007E218C" w:rsidRPr="006734E7">
        <w:rPr>
          <w:rFonts w:ascii="Palatino Linotype" w:hAnsi="Palatino Linotype"/>
          <w:i/>
          <w:sz w:val="22"/>
          <w:szCs w:val="22"/>
        </w:rPr>
        <w:t xml:space="preserve"> C.I.</w:t>
      </w:r>
      <w:r w:rsidRPr="006734E7">
        <w:rPr>
          <w:rFonts w:ascii="Palatino Linotype" w:hAnsi="Palatino Linotype"/>
          <w:i/>
          <w:sz w:val="22"/>
          <w:szCs w:val="22"/>
        </w:rPr>
        <w:t>: 1700440553, registra los siguientes datos técnicos:</w:t>
      </w:r>
    </w:p>
    <w:p w:rsidR="007D7C83" w:rsidRPr="006734E7" w:rsidRDefault="007D7C83" w:rsidP="007D7C83">
      <w:pPr>
        <w:tabs>
          <w:tab w:val="left" w:pos="284"/>
        </w:tabs>
        <w:jc w:val="both"/>
        <w:rPr>
          <w:rFonts w:ascii="Palatino Linotype" w:eastAsiaTheme="minorHAnsi" w:hAnsi="Palatino Linotype"/>
          <w:b/>
          <w:bCs/>
          <w:i/>
          <w:sz w:val="22"/>
          <w:szCs w:val="22"/>
          <w:lang w:val="es-ES" w:eastAsia="en-US"/>
        </w:rPr>
      </w:pPr>
    </w:p>
    <w:tbl>
      <w:tblPr>
        <w:tblpPr w:leftFromText="141" w:rightFromText="141" w:vertAnchor="text" w:tblpX="146" w:tblpY="286"/>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80"/>
        <w:gridCol w:w="2235"/>
        <w:gridCol w:w="2010"/>
      </w:tblGrid>
      <w:tr w:rsidR="007D7C83" w:rsidRPr="006734E7" w:rsidTr="00EA11E2">
        <w:trPr>
          <w:trHeight w:val="322"/>
        </w:trPr>
        <w:tc>
          <w:tcPr>
            <w:tcW w:w="2760" w:type="dxa"/>
          </w:tcPr>
          <w:p w:rsidR="007D7C83" w:rsidRPr="006734E7" w:rsidRDefault="007D7C83" w:rsidP="00EA11E2">
            <w:pPr>
              <w:tabs>
                <w:tab w:val="left" w:pos="284"/>
              </w:tabs>
              <w:jc w:val="both"/>
              <w:rPr>
                <w:rFonts w:ascii="Palatino Linotype" w:eastAsiaTheme="minorHAnsi" w:hAnsi="Palatino Linotype"/>
                <w:b/>
                <w:bCs/>
                <w:i/>
                <w:sz w:val="22"/>
                <w:szCs w:val="22"/>
                <w:lang w:val="es-ES" w:eastAsia="en-US"/>
              </w:rPr>
            </w:pPr>
            <w:r w:rsidRPr="006734E7">
              <w:rPr>
                <w:rFonts w:ascii="Palatino Linotype" w:eastAsiaTheme="minorHAnsi" w:hAnsi="Palatino Linotype"/>
                <w:b/>
                <w:bCs/>
                <w:i/>
                <w:sz w:val="22"/>
                <w:szCs w:val="22"/>
                <w:lang w:val="es-ES" w:eastAsia="en-US"/>
              </w:rPr>
              <w:t>AIVA</w:t>
            </w:r>
          </w:p>
        </w:tc>
        <w:tc>
          <w:tcPr>
            <w:tcW w:w="1680" w:type="dxa"/>
          </w:tcPr>
          <w:p w:rsidR="007D7C83" w:rsidRPr="006734E7" w:rsidRDefault="007D7C83" w:rsidP="00EA11E2">
            <w:pPr>
              <w:tabs>
                <w:tab w:val="left" w:pos="284"/>
              </w:tabs>
              <w:ind w:left="335"/>
              <w:jc w:val="both"/>
              <w:rPr>
                <w:rFonts w:ascii="Palatino Linotype" w:eastAsiaTheme="minorHAnsi" w:hAnsi="Palatino Linotype"/>
                <w:b/>
                <w:bCs/>
                <w:i/>
                <w:sz w:val="22"/>
                <w:szCs w:val="22"/>
                <w:lang w:val="es-ES" w:eastAsia="en-US"/>
              </w:rPr>
            </w:pPr>
            <w:r w:rsidRPr="006734E7">
              <w:rPr>
                <w:rFonts w:ascii="Palatino Linotype" w:eastAsiaTheme="minorHAnsi" w:hAnsi="Palatino Linotype"/>
                <w:b/>
                <w:bCs/>
                <w:i/>
                <w:sz w:val="22"/>
                <w:szCs w:val="22"/>
                <w:lang w:val="es-ES" w:eastAsia="en-US"/>
              </w:rPr>
              <w:t>AREA</w:t>
            </w:r>
          </w:p>
        </w:tc>
        <w:tc>
          <w:tcPr>
            <w:tcW w:w="2235" w:type="dxa"/>
          </w:tcPr>
          <w:p w:rsidR="007D7C83" w:rsidRPr="006734E7" w:rsidRDefault="007D7C83" w:rsidP="00EA11E2">
            <w:pPr>
              <w:tabs>
                <w:tab w:val="left" w:pos="284"/>
              </w:tabs>
              <w:jc w:val="both"/>
              <w:rPr>
                <w:rFonts w:ascii="Palatino Linotype" w:eastAsiaTheme="minorHAnsi" w:hAnsi="Palatino Linotype"/>
                <w:b/>
                <w:bCs/>
                <w:i/>
                <w:sz w:val="22"/>
                <w:szCs w:val="22"/>
                <w:lang w:val="es-ES" w:eastAsia="en-US"/>
              </w:rPr>
            </w:pPr>
            <w:r w:rsidRPr="006734E7">
              <w:rPr>
                <w:rFonts w:ascii="Palatino Linotype" w:eastAsiaTheme="minorHAnsi" w:hAnsi="Palatino Linotype"/>
                <w:b/>
                <w:bCs/>
                <w:i/>
                <w:sz w:val="22"/>
                <w:szCs w:val="22"/>
                <w:lang w:val="es-ES" w:eastAsia="en-US"/>
              </w:rPr>
              <w:t xml:space="preserve">     VALOR/m2</w:t>
            </w:r>
          </w:p>
          <w:p w:rsidR="007D7C83" w:rsidRPr="006734E7" w:rsidRDefault="007D7C83" w:rsidP="00EA11E2">
            <w:pPr>
              <w:tabs>
                <w:tab w:val="left" w:pos="284"/>
              </w:tabs>
              <w:ind w:left="610"/>
              <w:jc w:val="both"/>
              <w:rPr>
                <w:rFonts w:ascii="Palatino Linotype" w:eastAsiaTheme="minorHAnsi" w:hAnsi="Palatino Linotype"/>
                <w:b/>
                <w:bCs/>
                <w:i/>
                <w:sz w:val="22"/>
                <w:szCs w:val="22"/>
                <w:lang w:val="es-ES" w:eastAsia="en-US"/>
              </w:rPr>
            </w:pPr>
          </w:p>
        </w:tc>
        <w:tc>
          <w:tcPr>
            <w:tcW w:w="2010" w:type="dxa"/>
          </w:tcPr>
          <w:p w:rsidR="007D7C83" w:rsidRPr="006734E7" w:rsidRDefault="007D7C83" w:rsidP="00EA11E2">
            <w:pPr>
              <w:tabs>
                <w:tab w:val="left" w:pos="284"/>
              </w:tabs>
              <w:jc w:val="both"/>
              <w:rPr>
                <w:rFonts w:ascii="Palatino Linotype" w:eastAsiaTheme="minorHAnsi" w:hAnsi="Palatino Linotype"/>
                <w:b/>
                <w:bCs/>
                <w:i/>
                <w:sz w:val="22"/>
                <w:szCs w:val="22"/>
                <w:lang w:val="es-ES" w:eastAsia="en-US"/>
              </w:rPr>
            </w:pPr>
            <w:r w:rsidRPr="006734E7">
              <w:rPr>
                <w:rFonts w:ascii="Palatino Linotype" w:eastAsiaTheme="minorHAnsi" w:hAnsi="Palatino Linotype"/>
                <w:b/>
                <w:bCs/>
                <w:i/>
                <w:sz w:val="22"/>
                <w:szCs w:val="22"/>
                <w:lang w:val="es-ES" w:eastAsia="en-US"/>
              </w:rPr>
              <w:lastRenderedPageBreak/>
              <w:t>Avalúo de terreno</w:t>
            </w:r>
          </w:p>
          <w:p w:rsidR="007D7C83" w:rsidRPr="006734E7" w:rsidRDefault="007D7C83" w:rsidP="00EA11E2">
            <w:pPr>
              <w:tabs>
                <w:tab w:val="left" w:pos="284"/>
              </w:tabs>
              <w:jc w:val="both"/>
              <w:rPr>
                <w:rFonts w:ascii="Palatino Linotype" w:eastAsiaTheme="minorHAnsi" w:hAnsi="Palatino Linotype"/>
                <w:b/>
                <w:bCs/>
                <w:i/>
                <w:sz w:val="22"/>
                <w:szCs w:val="22"/>
                <w:lang w:val="es-ES" w:eastAsia="en-US"/>
              </w:rPr>
            </w:pPr>
          </w:p>
        </w:tc>
      </w:tr>
      <w:tr w:rsidR="007D7C83" w:rsidRPr="006734E7" w:rsidTr="00EA11E2">
        <w:trPr>
          <w:trHeight w:val="1215"/>
        </w:trPr>
        <w:tc>
          <w:tcPr>
            <w:tcW w:w="2760" w:type="dxa"/>
          </w:tcPr>
          <w:p w:rsidR="007D7C83" w:rsidRPr="006734E7" w:rsidRDefault="00CB1AC8" w:rsidP="00EA11E2">
            <w:pPr>
              <w:tabs>
                <w:tab w:val="left" w:pos="284"/>
              </w:tabs>
              <w:jc w:val="both"/>
              <w:rPr>
                <w:rFonts w:ascii="Palatino Linotype" w:eastAsiaTheme="minorHAnsi" w:hAnsi="Palatino Linotype"/>
                <w:i/>
                <w:sz w:val="22"/>
                <w:szCs w:val="22"/>
                <w:lang w:val="es-ES" w:eastAsia="en-US"/>
              </w:rPr>
            </w:pPr>
            <w:r w:rsidRPr="006734E7">
              <w:rPr>
                <w:rFonts w:ascii="Palatino Linotype" w:hAnsi="Palatino Linotype"/>
                <w:i/>
                <w:sz w:val="22"/>
                <w:szCs w:val="22"/>
              </w:rPr>
              <w:lastRenderedPageBreak/>
              <w:t>08650006 GUALO - URBANO</w:t>
            </w:r>
          </w:p>
        </w:tc>
        <w:tc>
          <w:tcPr>
            <w:tcW w:w="1680" w:type="dxa"/>
          </w:tcPr>
          <w:p w:rsidR="007D7C83" w:rsidRPr="006734E7"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6734E7"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6734E7" w:rsidRDefault="00CB1AC8" w:rsidP="00EA11E2">
            <w:pPr>
              <w:tabs>
                <w:tab w:val="left" w:pos="284"/>
              </w:tabs>
              <w:jc w:val="both"/>
              <w:rPr>
                <w:rFonts w:ascii="Palatino Linotype" w:eastAsiaTheme="minorHAnsi" w:hAnsi="Palatino Linotype"/>
                <w:b/>
                <w:bCs/>
                <w:i/>
                <w:sz w:val="22"/>
                <w:szCs w:val="22"/>
                <w:lang w:val="es-ES" w:eastAsia="en-US"/>
              </w:rPr>
            </w:pPr>
            <w:r w:rsidRPr="006734E7">
              <w:rPr>
                <w:rFonts w:ascii="Palatino Linotype" w:hAnsi="Palatino Linotype"/>
                <w:i/>
                <w:sz w:val="22"/>
                <w:szCs w:val="22"/>
              </w:rPr>
              <w:t>2079,13m2</w:t>
            </w:r>
          </w:p>
        </w:tc>
        <w:tc>
          <w:tcPr>
            <w:tcW w:w="2235" w:type="dxa"/>
          </w:tcPr>
          <w:p w:rsidR="007D7C83" w:rsidRPr="006734E7"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6734E7"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6734E7" w:rsidRDefault="00CB1AC8" w:rsidP="00EA11E2">
            <w:pPr>
              <w:tabs>
                <w:tab w:val="left" w:pos="284"/>
              </w:tabs>
              <w:jc w:val="both"/>
              <w:rPr>
                <w:rFonts w:ascii="Palatino Linotype" w:eastAsiaTheme="minorHAnsi" w:hAnsi="Palatino Linotype"/>
                <w:b/>
                <w:bCs/>
                <w:i/>
                <w:sz w:val="22"/>
                <w:szCs w:val="22"/>
                <w:lang w:val="es-ES" w:eastAsia="en-US"/>
              </w:rPr>
            </w:pPr>
            <w:r w:rsidRPr="006734E7">
              <w:rPr>
                <w:rFonts w:ascii="Palatino Linotype" w:hAnsi="Palatino Linotype"/>
                <w:i/>
                <w:sz w:val="22"/>
                <w:szCs w:val="22"/>
              </w:rPr>
              <w:t>109,00usd</w:t>
            </w:r>
          </w:p>
        </w:tc>
        <w:tc>
          <w:tcPr>
            <w:tcW w:w="2010" w:type="dxa"/>
          </w:tcPr>
          <w:p w:rsidR="007D7C83" w:rsidRPr="006734E7"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6734E7"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6734E7" w:rsidRDefault="00CB1AC8" w:rsidP="00EA11E2">
            <w:pPr>
              <w:tabs>
                <w:tab w:val="left" w:pos="284"/>
              </w:tabs>
              <w:jc w:val="both"/>
              <w:rPr>
                <w:rFonts w:ascii="Palatino Linotype" w:eastAsiaTheme="minorHAnsi" w:hAnsi="Palatino Linotype"/>
                <w:b/>
                <w:bCs/>
                <w:i/>
                <w:sz w:val="22"/>
                <w:szCs w:val="22"/>
                <w:lang w:val="es-ES" w:eastAsia="en-US"/>
              </w:rPr>
            </w:pPr>
            <w:r w:rsidRPr="006734E7">
              <w:rPr>
                <w:rFonts w:ascii="Palatino Linotype" w:hAnsi="Palatino Linotype"/>
                <w:i/>
                <w:sz w:val="22"/>
                <w:szCs w:val="22"/>
              </w:rPr>
              <w:t>127.114,06usd</w:t>
            </w:r>
          </w:p>
        </w:tc>
      </w:tr>
      <w:tr w:rsidR="007D7C83" w:rsidRPr="006734E7" w:rsidTr="00EA11E2">
        <w:trPr>
          <w:trHeight w:val="1995"/>
        </w:trPr>
        <w:tc>
          <w:tcPr>
            <w:tcW w:w="8685" w:type="dxa"/>
            <w:gridSpan w:val="4"/>
          </w:tcPr>
          <w:p w:rsidR="007D7C83" w:rsidRPr="006734E7" w:rsidRDefault="004F6D04" w:rsidP="0097523B">
            <w:pPr>
              <w:tabs>
                <w:tab w:val="left" w:pos="284"/>
              </w:tabs>
              <w:jc w:val="both"/>
              <w:rPr>
                <w:rFonts w:ascii="Palatino Linotype" w:eastAsiaTheme="minorHAnsi" w:hAnsi="Palatino Linotype"/>
                <w:b/>
                <w:bCs/>
                <w:i/>
                <w:sz w:val="22"/>
                <w:szCs w:val="22"/>
                <w:lang w:val="es-ES" w:eastAsia="en-US"/>
              </w:rPr>
            </w:pPr>
            <w:r w:rsidRPr="006734E7">
              <w:rPr>
                <w:rFonts w:ascii="Palatino Linotype" w:hAnsi="Palatino Linotype"/>
                <w:b/>
                <w:sz w:val="22"/>
                <w:szCs w:val="22"/>
              </w:rPr>
              <w:t>Base Legal:</w:t>
            </w:r>
            <w:r w:rsidRPr="006734E7">
              <w:rPr>
                <w:rFonts w:ascii="Palatino Linotype" w:hAnsi="Palatino Linotype"/>
                <w:sz w:val="22"/>
                <w:szCs w:val="22"/>
              </w:rPr>
              <w:t xml:space="preserve"> ORDENANZA METROPOLITANA Nro. 27-2021 MODIFICATORIA DEL CAPÍTULO I" VALORACIÓN INMOBILIARIA", DEL TÍTULO III " DE LAS NORMAS PARA EL PAGO DE IMPUESTOS" DEL LIBRO III.5 DEL EJE ECONÓMICO DEL CÓDIGO MUNICIPAL PARA EL DISTRITO METROPOLITANO DE QUITO, con la cual se aprueba el plano del valor de la tierra de los predios urbanos y rurales del Distrito Metropolitano de Quito a regir para el bienio 2022-2023.</w:t>
            </w:r>
          </w:p>
        </w:tc>
      </w:tr>
    </w:tbl>
    <w:p w:rsidR="007D7C83" w:rsidRPr="006734E7" w:rsidRDefault="007D7C83" w:rsidP="007D7C83">
      <w:pPr>
        <w:tabs>
          <w:tab w:val="left" w:pos="284"/>
        </w:tabs>
        <w:jc w:val="both"/>
        <w:rPr>
          <w:rFonts w:ascii="Palatino Linotype" w:eastAsiaTheme="minorHAnsi" w:hAnsi="Palatino Linotype"/>
          <w:b/>
          <w:bCs/>
          <w:sz w:val="22"/>
          <w:szCs w:val="22"/>
          <w:lang w:val="es-ES" w:eastAsia="en-US"/>
        </w:rPr>
      </w:pPr>
    </w:p>
    <w:p w:rsidR="007E218C" w:rsidRPr="006734E7" w:rsidRDefault="007E218C" w:rsidP="007E218C">
      <w:pPr>
        <w:autoSpaceDE w:val="0"/>
        <w:autoSpaceDN w:val="0"/>
        <w:adjustRightInd w:val="0"/>
        <w:ind w:left="708" w:hanging="708"/>
        <w:jc w:val="both"/>
        <w:rPr>
          <w:rFonts w:ascii="Palatino Linotype" w:hAnsi="Palatino Linotype"/>
          <w:sz w:val="22"/>
          <w:szCs w:val="22"/>
        </w:rPr>
      </w:pPr>
      <w:r w:rsidRPr="006734E7">
        <w:rPr>
          <w:rFonts w:ascii="Palatino Linotype" w:hAnsi="Palatino Linotype"/>
          <w:b/>
          <w:sz w:val="22"/>
          <w:szCs w:val="22"/>
        </w:rPr>
        <w:t xml:space="preserve">Que, </w:t>
      </w:r>
      <w:r w:rsidRPr="006734E7">
        <w:rPr>
          <w:rFonts w:ascii="Palatino Linotype" w:hAnsi="Palatino Linotype"/>
          <w:sz w:val="22"/>
          <w:szCs w:val="22"/>
        </w:rPr>
        <w:t xml:space="preserve">mediante Informe Técnico AZCA-DGT-GU- 2022-016 de 21 de marzo de 2022, el Jefe de Gestión Urbana, señala: </w:t>
      </w:r>
    </w:p>
    <w:p w:rsidR="007E218C" w:rsidRPr="006734E7" w:rsidRDefault="007E218C" w:rsidP="007E218C">
      <w:pPr>
        <w:autoSpaceDE w:val="0"/>
        <w:autoSpaceDN w:val="0"/>
        <w:adjustRightInd w:val="0"/>
        <w:ind w:left="708" w:hanging="708"/>
        <w:jc w:val="both"/>
        <w:rPr>
          <w:rFonts w:ascii="Palatino Linotype" w:hAnsi="Palatino Linotype"/>
          <w:sz w:val="22"/>
          <w:szCs w:val="22"/>
        </w:rPr>
      </w:pPr>
    </w:p>
    <w:p w:rsidR="007E218C" w:rsidRPr="006734E7" w:rsidRDefault="007E218C" w:rsidP="007E218C">
      <w:pPr>
        <w:autoSpaceDE w:val="0"/>
        <w:autoSpaceDN w:val="0"/>
        <w:adjustRightInd w:val="0"/>
        <w:ind w:left="708"/>
        <w:jc w:val="both"/>
        <w:rPr>
          <w:rFonts w:ascii="Palatino Linotype" w:eastAsiaTheme="minorHAnsi" w:hAnsi="Palatino Linotype" w:cs="Calibri"/>
          <w:i/>
          <w:sz w:val="22"/>
          <w:szCs w:val="22"/>
          <w:lang w:val="es-ES" w:eastAsia="en-US"/>
        </w:rPr>
      </w:pPr>
      <w:r w:rsidRPr="006734E7">
        <w:rPr>
          <w:rFonts w:ascii="Palatino Linotype" w:hAnsi="Palatino Linotype"/>
          <w:i/>
          <w:sz w:val="22"/>
          <w:szCs w:val="22"/>
        </w:rPr>
        <w:t>“(…) Del análisis técnico se desprende que, la Prescripción Adquisitiva de Dominio de una parte del predio Nro. 1273303, Cumple con el ¨Lote mínimo¨, el área prescrita corresponde a 597.01 m2 mayor que la establecida en la zonificación vigente, pero, no tiene frente hacia una vía pública, por lo que NO CUMPLE con el ¨frente mínimo¨, afectando las condiciones de zonificación metropolitana vigente establecida para la zona, razón por la que se emite INFORME TÉCNICO DESFAVORABLE”.</w:t>
      </w:r>
    </w:p>
    <w:p w:rsidR="00DF169C" w:rsidRPr="006734E7" w:rsidRDefault="00DF169C" w:rsidP="005C1445">
      <w:pPr>
        <w:pStyle w:val="Default"/>
        <w:ind w:left="708" w:hanging="708"/>
        <w:jc w:val="both"/>
        <w:rPr>
          <w:rFonts w:cs="Calibri"/>
          <w:i/>
          <w:sz w:val="22"/>
          <w:szCs w:val="22"/>
        </w:rPr>
      </w:pPr>
    </w:p>
    <w:p w:rsidR="00921CD9" w:rsidRPr="006734E7" w:rsidRDefault="007E218C" w:rsidP="00645C2D">
      <w:pPr>
        <w:pStyle w:val="Default"/>
        <w:jc w:val="both"/>
        <w:rPr>
          <w:sz w:val="22"/>
          <w:szCs w:val="22"/>
        </w:rPr>
      </w:pPr>
      <w:r w:rsidRPr="006734E7">
        <w:rPr>
          <w:b/>
          <w:sz w:val="22"/>
          <w:szCs w:val="22"/>
        </w:rPr>
        <w:t xml:space="preserve">Que, </w:t>
      </w:r>
      <w:r w:rsidRPr="006734E7">
        <w:rPr>
          <w:sz w:val="22"/>
          <w:szCs w:val="22"/>
        </w:rPr>
        <w:t>m</w:t>
      </w:r>
      <w:r w:rsidRPr="006734E7">
        <w:rPr>
          <w:sz w:val="22"/>
          <w:szCs w:val="22"/>
        </w:rPr>
        <w:t xml:space="preserve">ediante memorando Nro. GADDMQ-AZCA-DAJ-2022-0148-M de 24 de marzo de 2022, la abogada Lorena Elizabeth Donoso Rivera, Subprocuradora Zonal de la Administración Zonal Calderón, señala: </w:t>
      </w:r>
    </w:p>
    <w:p w:rsidR="00921CD9" w:rsidRPr="006734E7" w:rsidRDefault="00921CD9" w:rsidP="00645C2D">
      <w:pPr>
        <w:pStyle w:val="Default"/>
        <w:jc w:val="both"/>
        <w:rPr>
          <w:sz w:val="22"/>
          <w:szCs w:val="22"/>
        </w:rPr>
      </w:pPr>
    </w:p>
    <w:p w:rsidR="007E218C" w:rsidRPr="006734E7" w:rsidRDefault="007E218C" w:rsidP="00921CD9">
      <w:pPr>
        <w:pStyle w:val="Default"/>
        <w:ind w:left="708"/>
        <w:jc w:val="both"/>
        <w:rPr>
          <w:b/>
          <w:i/>
          <w:sz w:val="22"/>
          <w:szCs w:val="22"/>
        </w:rPr>
      </w:pPr>
      <w:r w:rsidRPr="006734E7">
        <w:rPr>
          <w:i/>
          <w:sz w:val="22"/>
          <w:szCs w:val="22"/>
        </w:rPr>
        <w:t>“</w:t>
      </w:r>
      <w:r w:rsidR="00921CD9" w:rsidRPr="006734E7">
        <w:rPr>
          <w:i/>
          <w:sz w:val="22"/>
          <w:szCs w:val="22"/>
        </w:rPr>
        <w:t xml:space="preserve">(…) </w:t>
      </w:r>
      <w:r w:rsidRPr="006734E7">
        <w:rPr>
          <w:i/>
          <w:sz w:val="22"/>
          <w:szCs w:val="22"/>
        </w:rPr>
        <w:t>Por lo expuesto, esta Dirección Jurídica acogiendo el informe técnico AZCA-DGT</w:t>
      </w:r>
      <w:r w:rsidRPr="006734E7">
        <w:rPr>
          <w:i/>
          <w:sz w:val="22"/>
          <w:szCs w:val="22"/>
        </w:rPr>
        <w:t>GU-2022-016 de 21 de marzo de 2022, del Jefe de Gestión Urbana y aprobado por la Directora de Gestión Territorial de la Administración Zonal Calderón con memorando Nro. GADDMQ-AZCA-DGT-2022-0524-M de 22 de marzo de 2022, en el que indica</w:t>
      </w:r>
      <w:r w:rsidR="00921CD9" w:rsidRPr="006734E7">
        <w:rPr>
          <w:i/>
          <w:sz w:val="22"/>
          <w:szCs w:val="22"/>
        </w:rPr>
        <w:t xml:space="preserve"> </w:t>
      </w:r>
      <w:r w:rsidR="00921CD9" w:rsidRPr="006734E7">
        <w:rPr>
          <w:i/>
          <w:sz w:val="22"/>
          <w:szCs w:val="22"/>
        </w:rPr>
        <w:t>que la prescripción adquisitiva de dominio de una parte del predio Nro. 1273303, Cumple con el ¨Lote mínimo¨, el área prescrita corresponde a 597.01 m2 mayor que la establecida en la zonificación vigente, pero, no tiene frente hacia una vía pública, por lo que NO CUMPLE con el ¨frente mínimo¨, afectando las condiciones de zonificación metropolitana vigente; además no tiene frente hacia una vía aprobada, en este sentido, se deberá proceder conforme lo establece en el COOTAD y la Ordenanza 001. Así mismo, en lo referente al área verde, se ceñirá a lo establecido en el artículo 2171 de la Ordenanza 001.</w:t>
      </w:r>
      <w:r w:rsidR="00921CD9" w:rsidRPr="006734E7">
        <w:rPr>
          <w:i/>
          <w:sz w:val="22"/>
          <w:szCs w:val="22"/>
        </w:rPr>
        <w:t>”</w:t>
      </w:r>
    </w:p>
    <w:p w:rsidR="007E218C" w:rsidRPr="006734E7" w:rsidRDefault="007E218C" w:rsidP="00645C2D">
      <w:pPr>
        <w:pStyle w:val="Default"/>
        <w:jc w:val="both"/>
        <w:rPr>
          <w:b/>
          <w:sz w:val="22"/>
          <w:szCs w:val="22"/>
        </w:rPr>
      </w:pPr>
    </w:p>
    <w:p w:rsidR="00983254" w:rsidRPr="006734E7" w:rsidRDefault="00983254" w:rsidP="00983254">
      <w:pPr>
        <w:pStyle w:val="Default"/>
        <w:ind w:left="708" w:hanging="708"/>
        <w:jc w:val="both"/>
        <w:rPr>
          <w:b/>
          <w:sz w:val="22"/>
          <w:szCs w:val="22"/>
        </w:rPr>
      </w:pPr>
    </w:p>
    <w:p w:rsidR="000113AC" w:rsidRPr="006734E7" w:rsidRDefault="000113AC" w:rsidP="000113AC">
      <w:pPr>
        <w:pStyle w:val="Default"/>
        <w:ind w:left="708" w:hanging="708"/>
        <w:jc w:val="both"/>
        <w:rPr>
          <w:sz w:val="22"/>
          <w:szCs w:val="22"/>
        </w:rPr>
      </w:pPr>
      <w:r w:rsidRPr="006734E7">
        <w:rPr>
          <w:b/>
          <w:sz w:val="22"/>
          <w:szCs w:val="22"/>
        </w:rPr>
        <w:lastRenderedPageBreak/>
        <w:t xml:space="preserve">Que, </w:t>
      </w:r>
      <w:r w:rsidRPr="006734E7">
        <w:rPr>
          <w:sz w:val="22"/>
          <w:szCs w:val="22"/>
        </w:rPr>
        <w:tab/>
        <w:t>la Comisión de Uso de Su</w:t>
      </w:r>
      <w:r w:rsidR="003B4FCB" w:rsidRPr="006734E7">
        <w:rPr>
          <w:sz w:val="22"/>
          <w:szCs w:val="22"/>
        </w:rPr>
        <w:t>elo en sesión ordinaria Nro. 142</w:t>
      </w:r>
      <w:r w:rsidRPr="006734E7">
        <w:rPr>
          <w:sz w:val="22"/>
          <w:szCs w:val="22"/>
        </w:rPr>
        <w:t xml:space="preserve">, de </w:t>
      </w:r>
      <w:r w:rsidR="003B4FCB" w:rsidRPr="006734E7">
        <w:rPr>
          <w:sz w:val="22"/>
          <w:szCs w:val="22"/>
        </w:rPr>
        <w:t xml:space="preserve">11 </w:t>
      </w:r>
      <w:r w:rsidRPr="006734E7">
        <w:rPr>
          <w:sz w:val="22"/>
          <w:szCs w:val="22"/>
        </w:rPr>
        <w:t xml:space="preserve">de </w:t>
      </w:r>
      <w:r w:rsidR="001F757E" w:rsidRPr="006734E7">
        <w:rPr>
          <w:sz w:val="22"/>
          <w:szCs w:val="22"/>
        </w:rPr>
        <w:t>abril de 2022</w:t>
      </w:r>
      <w:r w:rsidRPr="006734E7">
        <w:rPr>
          <w:sz w:val="22"/>
          <w:szCs w:val="22"/>
        </w:rPr>
        <w:t>, analizó los informes técnicos y legales, que reposan e</w:t>
      </w:r>
      <w:r w:rsidR="001F757E" w:rsidRPr="006734E7">
        <w:rPr>
          <w:sz w:val="22"/>
          <w:szCs w:val="22"/>
        </w:rPr>
        <w:t>n el expediente</w:t>
      </w:r>
      <w:r w:rsidRPr="006734E7">
        <w:rPr>
          <w:sz w:val="22"/>
          <w:szCs w:val="22"/>
        </w:rPr>
        <w:t xml:space="preserve">,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113AC" w:rsidRPr="006734E7"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6734E7">
        <w:rPr>
          <w:rFonts w:ascii="Palatino Linotype" w:eastAsiaTheme="minorHAnsi" w:hAnsi="Palatino Linotype"/>
          <w:sz w:val="22"/>
          <w:szCs w:val="22"/>
          <w:lang w:eastAsia="en-US"/>
        </w:rPr>
        <w:t xml:space="preserve">Que, </w:t>
      </w:r>
      <w:r w:rsidRPr="006734E7">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1F757E" w:rsidRPr="006734E7">
        <w:rPr>
          <w:rFonts w:ascii="Palatino Linotype" w:eastAsiaTheme="minorHAnsi" w:hAnsi="Palatino Linotype"/>
          <w:sz w:val="22"/>
          <w:szCs w:val="22"/>
          <w:lang w:eastAsia="en-US"/>
        </w:rPr>
        <w:t>2</w:t>
      </w:r>
      <w:r w:rsidR="007A32EC" w:rsidRPr="006734E7">
        <w:rPr>
          <w:rFonts w:ascii="Palatino Linotype" w:eastAsiaTheme="minorHAnsi" w:hAnsi="Palatino Linotype"/>
          <w:sz w:val="22"/>
          <w:szCs w:val="22"/>
          <w:lang w:eastAsia="en-US"/>
        </w:rPr>
        <w:t>-</w:t>
      </w:r>
      <w:r w:rsidR="003B4FCB" w:rsidRPr="006734E7">
        <w:rPr>
          <w:rFonts w:ascii="Palatino Linotype" w:eastAsiaTheme="minorHAnsi" w:hAnsi="Palatino Linotype"/>
          <w:sz w:val="22"/>
          <w:szCs w:val="22"/>
          <w:lang w:eastAsia="en-US"/>
        </w:rPr>
        <w:t>049</w:t>
      </w:r>
      <w:r w:rsidRPr="006734E7">
        <w:rPr>
          <w:rFonts w:ascii="Palatino Linotype" w:eastAsiaTheme="minorHAnsi" w:hAnsi="Palatino Linotype"/>
          <w:sz w:val="22"/>
          <w:szCs w:val="22"/>
          <w:lang w:eastAsia="en-US"/>
        </w:rPr>
        <w:t xml:space="preserve">, emitido por la Comisión de Uso de Suelo; </w:t>
      </w:r>
    </w:p>
    <w:p w:rsidR="000113AC" w:rsidRPr="006734E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6734E7">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6734E7"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6734E7"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6734E7">
        <w:rPr>
          <w:rFonts w:ascii="Palatino Linotype" w:eastAsiaTheme="minorHAnsi" w:hAnsi="Palatino Linotype"/>
          <w:b/>
          <w:bCs/>
          <w:sz w:val="22"/>
          <w:szCs w:val="22"/>
          <w:lang w:eastAsia="en-US"/>
        </w:rPr>
        <w:t>RESUELVE:</w:t>
      </w:r>
    </w:p>
    <w:p w:rsidR="000113AC" w:rsidRPr="006734E7" w:rsidRDefault="000113AC" w:rsidP="000113AC">
      <w:pPr>
        <w:autoSpaceDE w:val="0"/>
        <w:autoSpaceDN w:val="0"/>
        <w:adjustRightInd w:val="0"/>
        <w:spacing w:line="276" w:lineRule="auto"/>
        <w:jc w:val="center"/>
        <w:rPr>
          <w:rFonts w:ascii="Palatino Linotype" w:hAnsi="Palatino Linotype"/>
          <w:sz w:val="22"/>
          <w:szCs w:val="22"/>
        </w:rPr>
      </w:pPr>
    </w:p>
    <w:p w:rsidR="000113AC" w:rsidRPr="006734E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Artículo 1.-</w:t>
      </w:r>
      <w:r w:rsidRPr="006734E7">
        <w:rPr>
          <w:rFonts w:ascii="Palatino Linotype" w:eastAsiaTheme="minorHAnsi" w:hAnsi="Palatino Linotype"/>
          <w:sz w:val="22"/>
          <w:szCs w:val="22"/>
          <w:lang w:eastAsia="en-US"/>
        </w:rPr>
        <w:t xml:space="preserve"> Ac</w:t>
      </w:r>
      <w:r w:rsidR="001F757E" w:rsidRPr="006734E7">
        <w:rPr>
          <w:rFonts w:ascii="Palatino Linotype" w:eastAsiaTheme="minorHAnsi" w:hAnsi="Palatino Linotype"/>
          <w:sz w:val="22"/>
          <w:szCs w:val="22"/>
          <w:lang w:eastAsia="en-US"/>
        </w:rPr>
        <w:t>oger el informe Nro. IC-CUS-2022</w:t>
      </w:r>
      <w:r w:rsidRPr="006734E7">
        <w:rPr>
          <w:rFonts w:ascii="Palatino Linotype" w:eastAsiaTheme="minorHAnsi" w:hAnsi="Palatino Linotype"/>
          <w:sz w:val="22"/>
          <w:szCs w:val="22"/>
          <w:lang w:eastAsia="en-US"/>
        </w:rPr>
        <w:t>-</w:t>
      </w:r>
      <w:r w:rsidR="00465411" w:rsidRPr="006734E7">
        <w:rPr>
          <w:rFonts w:ascii="Palatino Linotype" w:eastAsiaTheme="minorHAnsi" w:hAnsi="Palatino Linotype"/>
          <w:sz w:val="22"/>
          <w:szCs w:val="22"/>
          <w:lang w:eastAsia="en-US"/>
        </w:rPr>
        <w:t>049</w:t>
      </w:r>
      <w:r w:rsidRPr="006734E7">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p>
    <w:p w:rsidR="000113AC" w:rsidRPr="006734E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DA446F" w:rsidRPr="006734E7" w:rsidRDefault="000113AC" w:rsidP="00DA446F">
      <w:pPr>
        <w:autoSpaceDE w:val="0"/>
        <w:autoSpaceDN w:val="0"/>
        <w:adjustRightInd w:val="0"/>
        <w:spacing w:line="276" w:lineRule="auto"/>
        <w:jc w:val="both"/>
        <w:rPr>
          <w:rFonts w:ascii="Palatino Linotype" w:eastAsiaTheme="minorHAnsi" w:hAnsi="Palatino Linotype"/>
          <w:sz w:val="22"/>
          <w:szCs w:val="22"/>
          <w:lang w:eastAsia="en-US"/>
        </w:rPr>
      </w:pPr>
      <w:r w:rsidRPr="006734E7">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465411" w:rsidRPr="006734E7">
        <w:rPr>
          <w:rFonts w:ascii="Palatino Linotype" w:hAnsi="Palatino Linotype"/>
          <w:iCs/>
          <w:sz w:val="22"/>
          <w:szCs w:val="22"/>
          <w:lang w:val="es-ES"/>
        </w:rPr>
        <w:t xml:space="preserve">los señores </w:t>
      </w:r>
      <w:r w:rsidR="00465411" w:rsidRPr="006734E7">
        <w:rPr>
          <w:rFonts w:ascii="Palatino Linotype" w:hAnsi="Palatino Linotype"/>
          <w:sz w:val="22"/>
          <w:szCs w:val="22"/>
        </w:rPr>
        <w:t>Glodí Rodolfo Tufiño Almeida y Gálud Elízabeth Hinojosa Constante</w:t>
      </w:r>
      <w:r w:rsidRPr="006734E7">
        <w:rPr>
          <w:rFonts w:ascii="Palatino Linotype" w:eastAsiaTheme="minorHAnsi" w:hAnsi="Palatino Linotype"/>
          <w:sz w:val="22"/>
          <w:szCs w:val="22"/>
          <w:lang w:eastAsia="en-US"/>
        </w:rPr>
        <w:t>, deberá</w:t>
      </w:r>
      <w:r w:rsidR="003F5A01" w:rsidRPr="006734E7">
        <w:rPr>
          <w:rFonts w:ascii="Palatino Linotype" w:eastAsiaTheme="minorHAnsi" w:hAnsi="Palatino Linotype"/>
          <w:sz w:val="22"/>
          <w:szCs w:val="22"/>
          <w:lang w:eastAsia="en-US"/>
        </w:rPr>
        <w:t>n</w:t>
      </w:r>
      <w:r w:rsidR="00DA446F" w:rsidRPr="006734E7">
        <w:rPr>
          <w:rFonts w:ascii="Palatino Linotype" w:eastAsiaTheme="minorHAnsi" w:hAnsi="Palatino Linotype"/>
          <w:sz w:val="22"/>
          <w:szCs w:val="22"/>
          <w:lang w:eastAsia="en-US"/>
        </w:rPr>
        <w:t xml:space="preserve"> compensar en valor monetario,</w:t>
      </w:r>
      <w:r w:rsidR="00DA446F" w:rsidRPr="006734E7">
        <w:rPr>
          <w:rFonts w:ascii="Palatino Linotype" w:eastAsiaTheme="minorHAnsi" w:hAnsi="Palatino Linotype"/>
          <w:sz w:val="22"/>
          <w:szCs w:val="22"/>
          <w:lang w:eastAsia="en-US"/>
        </w:rPr>
        <w:t xml:space="preserve"> la contribución del 15% del área útil adjudicada, que, de acuerdo al cálculo realizado por la Administración Zonal, corresponde al valor </w:t>
      </w:r>
      <w:r w:rsidR="00DA446F" w:rsidRPr="006734E7">
        <w:rPr>
          <w:rFonts w:ascii="Palatino Linotype" w:hAnsi="Palatino Linotype"/>
          <w:sz w:val="22"/>
          <w:szCs w:val="22"/>
        </w:rPr>
        <w:t>de</w:t>
      </w:r>
      <w:r w:rsidR="00DA446F" w:rsidRPr="006734E7">
        <w:rPr>
          <w:rFonts w:ascii="Palatino Linotype" w:hAnsi="Palatino Linotype"/>
          <w:i/>
          <w:sz w:val="22"/>
          <w:szCs w:val="22"/>
        </w:rPr>
        <w:t xml:space="preserve"> </w:t>
      </w:r>
      <w:r w:rsidR="00DA446F" w:rsidRPr="006734E7">
        <w:rPr>
          <w:rFonts w:ascii="Palatino Linotype" w:hAnsi="Palatino Linotype"/>
          <w:sz w:val="22"/>
          <w:szCs w:val="22"/>
        </w:rPr>
        <w:t xml:space="preserve">USD </w:t>
      </w:r>
      <w:r w:rsidR="0068656C" w:rsidRPr="006734E7">
        <w:rPr>
          <w:rFonts w:ascii="Palatino Linotype" w:hAnsi="Palatino Linotype"/>
          <w:sz w:val="22"/>
          <w:szCs w:val="22"/>
        </w:rPr>
        <w:t>5.475,01</w:t>
      </w:r>
      <w:r w:rsidR="00DA446F" w:rsidRPr="006734E7">
        <w:rPr>
          <w:rFonts w:ascii="Palatino Linotype" w:hAnsi="Palatino Linotype"/>
          <w:sz w:val="22"/>
          <w:szCs w:val="22"/>
        </w:rPr>
        <w:t xml:space="preserve"> </w:t>
      </w:r>
      <w:r w:rsidR="008B39BF" w:rsidRPr="006734E7">
        <w:rPr>
          <w:rFonts w:ascii="Palatino Linotype" w:hAnsi="Palatino Linotype"/>
          <w:sz w:val="22"/>
          <w:szCs w:val="22"/>
        </w:rPr>
        <w:t xml:space="preserve">dólares. </w:t>
      </w:r>
    </w:p>
    <w:p w:rsidR="000113AC" w:rsidRPr="006734E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 xml:space="preserve">Artículo 2.- </w:t>
      </w:r>
      <w:r w:rsidRPr="006734E7">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6734E7"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6734E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6734E7">
        <w:rPr>
          <w:rFonts w:ascii="Palatino Linotype" w:eastAsiaTheme="minorHAnsi" w:hAnsi="Palatino Linotype"/>
          <w:b/>
          <w:sz w:val="22"/>
          <w:szCs w:val="22"/>
          <w:lang w:eastAsia="en-US"/>
        </w:rPr>
        <w:t>Disposición Final.-</w:t>
      </w:r>
      <w:r w:rsidRPr="006734E7">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6734E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6734E7" w:rsidRDefault="000113AC" w:rsidP="000113AC">
      <w:pPr>
        <w:spacing w:line="276" w:lineRule="auto"/>
        <w:ind w:left="-5"/>
        <w:jc w:val="both"/>
        <w:rPr>
          <w:rFonts w:ascii="Palatino Linotype" w:hAnsi="Palatino Linotype"/>
          <w:sz w:val="22"/>
          <w:szCs w:val="22"/>
        </w:rPr>
      </w:pPr>
      <w:r w:rsidRPr="006734E7">
        <w:rPr>
          <w:rFonts w:ascii="Palatino Linotype" w:hAnsi="Palatino Linotype"/>
          <w:sz w:val="22"/>
          <w:szCs w:val="22"/>
        </w:rPr>
        <w:t xml:space="preserve">Dada en la sesión del Concejo Metropolitano de Quito, el ……….. </w:t>
      </w:r>
    </w:p>
    <w:p w:rsidR="000113AC" w:rsidRPr="006734E7" w:rsidRDefault="000113AC" w:rsidP="000113AC">
      <w:pPr>
        <w:spacing w:line="276" w:lineRule="auto"/>
        <w:ind w:left="-5"/>
        <w:jc w:val="both"/>
        <w:rPr>
          <w:rFonts w:ascii="Palatino Linotype" w:hAnsi="Palatino Linotype"/>
          <w:sz w:val="22"/>
          <w:szCs w:val="22"/>
        </w:rPr>
      </w:pPr>
    </w:p>
    <w:p w:rsidR="000113AC" w:rsidRPr="006734E7" w:rsidRDefault="000113AC" w:rsidP="000113AC">
      <w:pPr>
        <w:spacing w:line="276" w:lineRule="auto"/>
        <w:ind w:left="-5" w:right="-143"/>
        <w:jc w:val="both"/>
        <w:rPr>
          <w:rFonts w:ascii="Palatino Linotype" w:hAnsi="Palatino Linotype"/>
          <w:sz w:val="22"/>
          <w:szCs w:val="22"/>
        </w:rPr>
      </w:pPr>
      <w:r w:rsidRPr="006734E7">
        <w:rPr>
          <w:rFonts w:ascii="Palatino Linotype" w:hAnsi="Palatino Linotype"/>
          <w:b/>
          <w:sz w:val="22"/>
          <w:szCs w:val="22"/>
        </w:rPr>
        <w:t xml:space="preserve">Alcaldía del Distrito Metropolitano. - </w:t>
      </w:r>
      <w:r w:rsidRPr="006734E7">
        <w:rPr>
          <w:rFonts w:ascii="Palatino Linotype" w:hAnsi="Palatino Linotype"/>
          <w:sz w:val="22"/>
          <w:szCs w:val="22"/>
        </w:rPr>
        <w:t>Distrito Metropolitano de Quito, ………..</w:t>
      </w:r>
    </w:p>
    <w:p w:rsidR="000113AC" w:rsidRPr="006734E7" w:rsidRDefault="000113AC" w:rsidP="000113AC">
      <w:pPr>
        <w:spacing w:line="276" w:lineRule="auto"/>
        <w:jc w:val="both"/>
        <w:rPr>
          <w:rFonts w:ascii="Palatino Linotype" w:hAnsi="Palatino Linotype"/>
          <w:sz w:val="22"/>
          <w:szCs w:val="22"/>
        </w:rPr>
      </w:pPr>
    </w:p>
    <w:p w:rsidR="000113AC" w:rsidRPr="006734E7" w:rsidRDefault="000113AC" w:rsidP="000113AC">
      <w:pPr>
        <w:spacing w:line="276" w:lineRule="auto"/>
        <w:jc w:val="center"/>
        <w:rPr>
          <w:rFonts w:ascii="Palatino Linotype" w:hAnsi="Palatino Linotype"/>
          <w:sz w:val="22"/>
          <w:szCs w:val="22"/>
        </w:rPr>
      </w:pPr>
      <w:r w:rsidRPr="006734E7">
        <w:rPr>
          <w:rFonts w:ascii="Palatino Linotype" w:hAnsi="Palatino Linotype"/>
          <w:b/>
          <w:sz w:val="22"/>
          <w:szCs w:val="22"/>
        </w:rPr>
        <w:t>EJECÚTESE:</w:t>
      </w:r>
    </w:p>
    <w:p w:rsidR="000113AC" w:rsidRPr="006734E7" w:rsidRDefault="000113AC" w:rsidP="000113AC">
      <w:pPr>
        <w:spacing w:line="276" w:lineRule="auto"/>
        <w:ind w:left="51"/>
        <w:jc w:val="center"/>
        <w:rPr>
          <w:rFonts w:ascii="Palatino Linotype" w:hAnsi="Palatino Linotype"/>
          <w:sz w:val="22"/>
          <w:szCs w:val="22"/>
        </w:rPr>
      </w:pPr>
    </w:p>
    <w:p w:rsidR="000113AC" w:rsidRPr="006734E7" w:rsidRDefault="000113AC" w:rsidP="000113AC">
      <w:pPr>
        <w:spacing w:line="276" w:lineRule="auto"/>
        <w:ind w:left="51"/>
        <w:jc w:val="center"/>
        <w:rPr>
          <w:rFonts w:ascii="Palatino Linotype" w:hAnsi="Palatino Linotype"/>
          <w:sz w:val="22"/>
          <w:szCs w:val="22"/>
        </w:rPr>
      </w:pPr>
    </w:p>
    <w:p w:rsidR="000113AC" w:rsidRPr="006734E7" w:rsidRDefault="000113AC" w:rsidP="000113AC">
      <w:pPr>
        <w:spacing w:line="276" w:lineRule="auto"/>
        <w:ind w:left="51"/>
        <w:jc w:val="center"/>
        <w:rPr>
          <w:rFonts w:ascii="Palatino Linotype" w:hAnsi="Palatino Linotype"/>
          <w:sz w:val="22"/>
          <w:szCs w:val="22"/>
        </w:rPr>
      </w:pPr>
    </w:p>
    <w:p w:rsidR="000113AC" w:rsidRPr="006734E7" w:rsidRDefault="000113AC" w:rsidP="000113AC">
      <w:pPr>
        <w:spacing w:line="276" w:lineRule="auto"/>
        <w:ind w:left="51"/>
        <w:jc w:val="center"/>
        <w:rPr>
          <w:rFonts w:ascii="Palatino Linotype" w:hAnsi="Palatino Linotype"/>
          <w:sz w:val="22"/>
          <w:szCs w:val="22"/>
        </w:rPr>
      </w:pPr>
      <w:r w:rsidRPr="006734E7">
        <w:rPr>
          <w:rFonts w:ascii="Palatino Linotype" w:hAnsi="Palatino Linotype"/>
          <w:sz w:val="22"/>
          <w:szCs w:val="22"/>
        </w:rPr>
        <w:t>Dr. Santiago Guarderas Izquierdo</w:t>
      </w:r>
    </w:p>
    <w:p w:rsidR="000113AC" w:rsidRPr="006734E7"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6734E7">
        <w:rPr>
          <w:rFonts w:ascii="Palatino Linotype" w:eastAsia="Palatino Linotype" w:hAnsi="Palatino Linotype" w:cs="Palatino Linotype"/>
          <w:b/>
          <w:color w:val="000000"/>
          <w:sz w:val="22"/>
          <w:szCs w:val="22"/>
          <w:lang w:eastAsia="es-EC"/>
        </w:rPr>
        <w:t>ALCALDE DEL DISTRITO METROPOLITANO DE QUITO</w:t>
      </w:r>
    </w:p>
    <w:p w:rsidR="000113AC" w:rsidRPr="006734E7" w:rsidRDefault="000113AC" w:rsidP="000113AC">
      <w:pPr>
        <w:spacing w:line="276" w:lineRule="auto"/>
        <w:jc w:val="center"/>
        <w:rPr>
          <w:rFonts w:ascii="Palatino Linotype" w:hAnsi="Palatino Linotype"/>
          <w:sz w:val="22"/>
          <w:szCs w:val="22"/>
        </w:rPr>
      </w:pPr>
    </w:p>
    <w:p w:rsidR="000113AC" w:rsidRPr="006734E7" w:rsidRDefault="000113AC" w:rsidP="000113AC">
      <w:pPr>
        <w:spacing w:line="276" w:lineRule="auto"/>
        <w:ind w:left="-5"/>
        <w:jc w:val="both"/>
        <w:rPr>
          <w:rFonts w:ascii="Palatino Linotype" w:hAnsi="Palatino Linotype"/>
          <w:sz w:val="22"/>
          <w:szCs w:val="22"/>
        </w:rPr>
      </w:pPr>
      <w:r w:rsidRPr="006734E7">
        <w:rPr>
          <w:rFonts w:ascii="Palatino Linotype" w:hAnsi="Palatino Linotype"/>
          <w:b/>
          <w:sz w:val="22"/>
          <w:szCs w:val="22"/>
        </w:rPr>
        <w:t>CERTIFICO,</w:t>
      </w:r>
      <w:r w:rsidRPr="006734E7">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6734E7" w:rsidRDefault="000113AC" w:rsidP="000113AC">
      <w:pPr>
        <w:spacing w:line="276" w:lineRule="auto"/>
        <w:jc w:val="both"/>
        <w:rPr>
          <w:rFonts w:ascii="Palatino Linotype" w:hAnsi="Palatino Linotype"/>
          <w:sz w:val="22"/>
          <w:szCs w:val="22"/>
        </w:rPr>
      </w:pPr>
      <w:r w:rsidRPr="006734E7">
        <w:rPr>
          <w:rFonts w:ascii="Palatino Linotype" w:hAnsi="Palatino Linotype"/>
          <w:b/>
          <w:sz w:val="22"/>
          <w:szCs w:val="22"/>
        </w:rPr>
        <w:t xml:space="preserve"> </w:t>
      </w:r>
    </w:p>
    <w:p w:rsidR="000113AC" w:rsidRPr="006734E7" w:rsidRDefault="000113AC" w:rsidP="000113AC">
      <w:pPr>
        <w:spacing w:line="276" w:lineRule="auto"/>
        <w:ind w:left="-5"/>
        <w:jc w:val="both"/>
        <w:rPr>
          <w:rFonts w:ascii="Palatino Linotype" w:hAnsi="Palatino Linotype"/>
          <w:sz w:val="22"/>
          <w:szCs w:val="22"/>
          <w:highlight w:val="yellow"/>
        </w:rPr>
      </w:pPr>
      <w:r w:rsidRPr="006734E7">
        <w:rPr>
          <w:rFonts w:ascii="Palatino Linotype" w:hAnsi="Palatino Linotype"/>
          <w:b/>
          <w:sz w:val="22"/>
          <w:szCs w:val="22"/>
        </w:rPr>
        <w:t xml:space="preserve">Lo certifico. - </w:t>
      </w:r>
      <w:r w:rsidR="00754E1F" w:rsidRPr="006734E7">
        <w:rPr>
          <w:rFonts w:ascii="Palatino Linotype" w:hAnsi="Palatino Linotype"/>
          <w:sz w:val="22"/>
          <w:szCs w:val="22"/>
        </w:rPr>
        <w:t>Distrito Metropolitano de Quito</w:t>
      </w:r>
      <w:r w:rsidRPr="006734E7">
        <w:rPr>
          <w:rFonts w:ascii="Palatino Linotype" w:hAnsi="Palatino Linotype"/>
          <w:sz w:val="22"/>
          <w:szCs w:val="22"/>
        </w:rPr>
        <w:t xml:space="preserve">. </w:t>
      </w:r>
    </w:p>
    <w:p w:rsidR="000113AC" w:rsidRPr="006734E7" w:rsidRDefault="000113AC" w:rsidP="000113AC">
      <w:pPr>
        <w:spacing w:line="276" w:lineRule="auto"/>
        <w:jc w:val="both"/>
        <w:rPr>
          <w:rFonts w:ascii="Palatino Linotype" w:hAnsi="Palatino Linotype"/>
          <w:sz w:val="22"/>
          <w:szCs w:val="22"/>
          <w:highlight w:val="yellow"/>
        </w:rPr>
      </w:pPr>
      <w:r w:rsidRPr="006734E7">
        <w:rPr>
          <w:rFonts w:ascii="Palatino Linotype" w:hAnsi="Palatino Linotype"/>
          <w:sz w:val="22"/>
          <w:szCs w:val="22"/>
          <w:highlight w:val="yellow"/>
        </w:rPr>
        <w:t xml:space="preserve"> </w:t>
      </w:r>
    </w:p>
    <w:p w:rsidR="000113AC" w:rsidRPr="006734E7" w:rsidRDefault="000113AC" w:rsidP="000113AC">
      <w:pPr>
        <w:spacing w:line="276" w:lineRule="auto"/>
        <w:jc w:val="both"/>
        <w:rPr>
          <w:rFonts w:ascii="Palatino Linotype" w:hAnsi="Palatino Linotype"/>
          <w:sz w:val="22"/>
          <w:szCs w:val="22"/>
          <w:highlight w:val="yellow"/>
        </w:rPr>
      </w:pPr>
    </w:p>
    <w:p w:rsidR="000113AC" w:rsidRPr="006734E7" w:rsidRDefault="000113AC" w:rsidP="000113AC">
      <w:pPr>
        <w:spacing w:line="276" w:lineRule="auto"/>
        <w:jc w:val="both"/>
        <w:rPr>
          <w:rFonts w:ascii="Palatino Linotype" w:hAnsi="Palatino Linotype"/>
          <w:sz w:val="22"/>
          <w:szCs w:val="22"/>
          <w:highlight w:val="yellow"/>
        </w:rPr>
      </w:pPr>
      <w:r w:rsidRPr="006734E7">
        <w:rPr>
          <w:rFonts w:ascii="Palatino Linotype" w:hAnsi="Palatino Linotype"/>
          <w:sz w:val="22"/>
          <w:szCs w:val="22"/>
          <w:highlight w:val="yellow"/>
        </w:rPr>
        <w:t xml:space="preserve"> </w:t>
      </w:r>
    </w:p>
    <w:p w:rsidR="000113AC" w:rsidRPr="006734E7" w:rsidRDefault="000113AC" w:rsidP="000113AC">
      <w:pPr>
        <w:spacing w:line="276" w:lineRule="auto"/>
        <w:jc w:val="both"/>
        <w:rPr>
          <w:rFonts w:ascii="Palatino Linotype" w:hAnsi="Palatino Linotype"/>
          <w:sz w:val="22"/>
          <w:szCs w:val="22"/>
          <w:highlight w:val="yellow"/>
        </w:rPr>
      </w:pPr>
      <w:r w:rsidRPr="006734E7">
        <w:rPr>
          <w:rFonts w:ascii="Palatino Linotype" w:hAnsi="Palatino Linotype"/>
          <w:sz w:val="22"/>
          <w:szCs w:val="22"/>
          <w:highlight w:val="yellow"/>
        </w:rPr>
        <w:t xml:space="preserve"> </w:t>
      </w:r>
    </w:p>
    <w:p w:rsidR="000113AC" w:rsidRPr="006734E7" w:rsidRDefault="000113AC" w:rsidP="000113AC">
      <w:pPr>
        <w:spacing w:line="276" w:lineRule="auto"/>
        <w:jc w:val="center"/>
        <w:rPr>
          <w:rFonts w:ascii="Palatino Linotype" w:hAnsi="Palatino Linotype"/>
          <w:sz w:val="22"/>
          <w:szCs w:val="22"/>
        </w:rPr>
      </w:pPr>
      <w:r w:rsidRPr="006734E7">
        <w:rPr>
          <w:rFonts w:ascii="Palatino Linotype" w:hAnsi="Palatino Linotype"/>
          <w:sz w:val="22"/>
          <w:szCs w:val="22"/>
        </w:rPr>
        <w:t>Abg. Pablo Santillán Paredes</w:t>
      </w:r>
    </w:p>
    <w:p w:rsidR="000113AC" w:rsidRPr="006734E7" w:rsidRDefault="000113AC" w:rsidP="000113AC">
      <w:pPr>
        <w:spacing w:line="276" w:lineRule="auto"/>
        <w:jc w:val="center"/>
        <w:rPr>
          <w:rFonts w:ascii="Palatino Linotype" w:eastAsia="Calibri" w:hAnsi="Palatino Linotype"/>
          <w:b/>
          <w:sz w:val="22"/>
          <w:szCs w:val="22"/>
          <w:lang w:eastAsia="en-US"/>
        </w:rPr>
      </w:pPr>
      <w:r w:rsidRPr="006734E7">
        <w:rPr>
          <w:rFonts w:ascii="Palatino Linotype" w:eastAsia="Calibri" w:hAnsi="Palatino Linotype"/>
          <w:b/>
          <w:sz w:val="22"/>
          <w:szCs w:val="22"/>
          <w:lang w:eastAsia="en-US"/>
        </w:rPr>
        <w:t>SECRETARIO GENERAL DEL CONCEJO METROPOLITANO DE QUITO</w:t>
      </w:r>
    </w:p>
    <w:p w:rsidR="000113AC" w:rsidRPr="006734E7" w:rsidRDefault="000113AC" w:rsidP="000113AC">
      <w:pPr>
        <w:pStyle w:val="Sinespaciado"/>
        <w:jc w:val="center"/>
        <w:rPr>
          <w:rFonts w:ascii="Palatino Linotype" w:hAnsi="Palatino Linotype"/>
          <w:b/>
          <w:sz w:val="22"/>
          <w:szCs w:val="22"/>
        </w:rPr>
      </w:pPr>
    </w:p>
    <w:p w:rsidR="000113AC" w:rsidRPr="006734E7" w:rsidRDefault="000113AC" w:rsidP="000113AC">
      <w:pPr>
        <w:rPr>
          <w:rFonts w:ascii="Palatino Linotype" w:hAnsi="Palatino Linotype"/>
          <w:sz w:val="22"/>
          <w:szCs w:val="22"/>
        </w:rPr>
      </w:pPr>
    </w:p>
    <w:p w:rsidR="000113AC" w:rsidRPr="006734E7" w:rsidRDefault="000113AC" w:rsidP="000113AC">
      <w:pPr>
        <w:rPr>
          <w:rFonts w:ascii="Palatino Linotype" w:hAnsi="Palatino Linotype"/>
          <w:sz w:val="22"/>
          <w:szCs w:val="22"/>
        </w:rPr>
      </w:pPr>
    </w:p>
    <w:p w:rsidR="00A70E2E" w:rsidRPr="006734E7" w:rsidRDefault="00A70E2E">
      <w:pPr>
        <w:rPr>
          <w:rFonts w:ascii="Palatino Linotype" w:hAnsi="Palatino Linotype"/>
          <w:sz w:val="22"/>
          <w:szCs w:val="22"/>
        </w:rPr>
      </w:pPr>
    </w:p>
    <w:sectPr w:rsidR="00A70E2E" w:rsidRPr="006734E7"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75" w:rsidRDefault="00111A75">
      <w:r>
        <w:separator/>
      </w:r>
    </w:p>
  </w:endnote>
  <w:endnote w:type="continuationSeparator" w:id="0">
    <w:p w:rsidR="00111A75" w:rsidRDefault="0011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690B41">
              <w:rPr>
                <w:rFonts w:ascii="Palatino Linotype" w:hAnsi="Palatino Linotype"/>
                <w:b/>
                <w:bCs/>
                <w:noProof/>
                <w:sz w:val="20"/>
                <w:szCs w:val="20"/>
              </w:rPr>
              <w:t>4</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690B41">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111A75">
            <w:pPr>
              <w:pStyle w:val="Piedepgina"/>
              <w:jc w:val="right"/>
              <w:rPr>
                <w:rFonts w:ascii="Palatino Linotype" w:hAnsi="Palatino Linotype"/>
                <w:sz w:val="20"/>
                <w:szCs w:val="20"/>
              </w:rPr>
            </w:pPr>
          </w:p>
        </w:sdtContent>
      </w:sdt>
    </w:sdtContent>
  </w:sdt>
  <w:p w:rsidR="005D2467" w:rsidRPr="008479FB" w:rsidRDefault="00111A75">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75" w:rsidRDefault="00111A75">
      <w:r>
        <w:separator/>
      </w:r>
    </w:p>
  </w:footnote>
  <w:footnote w:type="continuationSeparator" w:id="0">
    <w:p w:rsidR="00111A75" w:rsidRDefault="00111A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111A75"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111A75"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111A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113AC"/>
    <w:rsid w:val="000320FA"/>
    <w:rsid w:val="000350C3"/>
    <w:rsid w:val="0007713A"/>
    <w:rsid w:val="000F0D3B"/>
    <w:rsid w:val="00111A75"/>
    <w:rsid w:val="00196CE7"/>
    <w:rsid w:val="001A476E"/>
    <w:rsid w:val="001F18A5"/>
    <w:rsid w:val="001F757E"/>
    <w:rsid w:val="00244EE3"/>
    <w:rsid w:val="0026176F"/>
    <w:rsid w:val="003057C1"/>
    <w:rsid w:val="00311483"/>
    <w:rsid w:val="00372B0E"/>
    <w:rsid w:val="003B4FCB"/>
    <w:rsid w:val="003F5A01"/>
    <w:rsid w:val="00462DF6"/>
    <w:rsid w:val="00465411"/>
    <w:rsid w:val="0049515C"/>
    <w:rsid w:val="004A1894"/>
    <w:rsid w:val="004F6D04"/>
    <w:rsid w:val="005168D0"/>
    <w:rsid w:val="005839EA"/>
    <w:rsid w:val="005A184C"/>
    <w:rsid w:val="005A6319"/>
    <w:rsid w:val="005C1445"/>
    <w:rsid w:val="005D7A61"/>
    <w:rsid w:val="0060538D"/>
    <w:rsid w:val="00630C41"/>
    <w:rsid w:val="00645C2D"/>
    <w:rsid w:val="006734E7"/>
    <w:rsid w:val="0068242E"/>
    <w:rsid w:val="0068656C"/>
    <w:rsid w:val="00690B41"/>
    <w:rsid w:val="00694D54"/>
    <w:rsid w:val="006951E8"/>
    <w:rsid w:val="006A4203"/>
    <w:rsid w:val="006C019F"/>
    <w:rsid w:val="006F2BAD"/>
    <w:rsid w:val="00704417"/>
    <w:rsid w:val="00754E1F"/>
    <w:rsid w:val="00757FA6"/>
    <w:rsid w:val="007A32EC"/>
    <w:rsid w:val="007D7C83"/>
    <w:rsid w:val="007E218C"/>
    <w:rsid w:val="0085024D"/>
    <w:rsid w:val="008532E8"/>
    <w:rsid w:val="008A5370"/>
    <w:rsid w:val="008B39BF"/>
    <w:rsid w:val="008B53A7"/>
    <w:rsid w:val="00921CD9"/>
    <w:rsid w:val="0097523B"/>
    <w:rsid w:val="00983254"/>
    <w:rsid w:val="009906BE"/>
    <w:rsid w:val="009C08B4"/>
    <w:rsid w:val="009C7AA1"/>
    <w:rsid w:val="009D3508"/>
    <w:rsid w:val="00A43B85"/>
    <w:rsid w:val="00A666D4"/>
    <w:rsid w:val="00A70E2E"/>
    <w:rsid w:val="00A93225"/>
    <w:rsid w:val="00AA301D"/>
    <w:rsid w:val="00C17F7D"/>
    <w:rsid w:val="00C31F94"/>
    <w:rsid w:val="00C70B8C"/>
    <w:rsid w:val="00CB1AC8"/>
    <w:rsid w:val="00CD56D1"/>
    <w:rsid w:val="00CE3827"/>
    <w:rsid w:val="00D27676"/>
    <w:rsid w:val="00DA446F"/>
    <w:rsid w:val="00DC2A7D"/>
    <w:rsid w:val="00DC7143"/>
    <w:rsid w:val="00DF169C"/>
    <w:rsid w:val="00DF190B"/>
    <w:rsid w:val="00EA3F70"/>
    <w:rsid w:val="00EB28B4"/>
    <w:rsid w:val="00ED0FE0"/>
    <w:rsid w:val="00EF6013"/>
    <w:rsid w:val="00F23370"/>
    <w:rsid w:val="00F45FE9"/>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333A"/>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2336</Words>
  <Characters>12849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90</cp:revision>
  <dcterms:created xsi:type="dcterms:W3CDTF">2022-08-17T20:37:00Z</dcterms:created>
  <dcterms:modified xsi:type="dcterms:W3CDTF">2022-09-07T19:23:00Z</dcterms:modified>
</cp:coreProperties>
</file>