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4E0B8F"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bookmarkStart w:id="0" w:name="_GoBack"/>
      <w:r w:rsidRPr="004E0B8F">
        <w:rPr>
          <w:rFonts w:ascii="Palatino Linotype" w:eastAsiaTheme="minorHAnsi" w:hAnsi="Palatino Linotype"/>
          <w:b/>
          <w:sz w:val="22"/>
          <w:szCs w:val="22"/>
          <w:lang w:eastAsia="en-US"/>
        </w:rPr>
        <w:t>EL CONCEJO METROPOLITANO DE QUITO</w:t>
      </w:r>
    </w:p>
    <w:p w:rsidR="000113AC" w:rsidRPr="004E0B8F"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4E0B8F"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4E0B8F">
        <w:rPr>
          <w:rFonts w:ascii="Palatino Linotype" w:eastAsiaTheme="minorHAnsi" w:hAnsi="Palatino Linotype"/>
          <w:b/>
          <w:sz w:val="22"/>
          <w:szCs w:val="22"/>
          <w:lang w:eastAsia="en-US"/>
        </w:rPr>
        <w:t>CONSIDERANDO:</w:t>
      </w:r>
    </w:p>
    <w:p w:rsidR="000113AC" w:rsidRPr="004E0B8F"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4E0B8F">
        <w:rPr>
          <w:rFonts w:ascii="Palatino Linotype" w:eastAsiaTheme="minorHAnsi" w:hAnsi="Palatino Linotype"/>
          <w:b/>
          <w:bCs/>
          <w:sz w:val="22"/>
          <w:szCs w:val="22"/>
          <w:lang w:eastAsia="en-US"/>
        </w:rPr>
        <w:t>Que</w:t>
      </w:r>
      <w:r w:rsidRPr="004E0B8F">
        <w:rPr>
          <w:rFonts w:ascii="Palatino Linotype" w:eastAsiaTheme="minorHAnsi" w:hAnsi="Palatino Linotype"/>
          <w:sz w:val="22"/>
          <w:szCs w:val="22"/>
          <w:lang w:eastAsia="en-US"/>
        </w:rPr>
        <w:t xml:space="preserve">, </w:t>
      </w:r>
      <w:r w:rsidRPr="004E0B8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4E0B8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w:t>
      </w:r>
      <w:r w:rsidRPr="004E0B8F">
        <w:rPr>
          <w:rFonts w:ascii="Palatino Linotype" w:eastAsiaTheme="minorHAnsi" w:hAnsi="Palatino Linotype"/>
          <w:sz w:val="22"/>
          <w:szCs w:val="22"/>
          <w:lang w:eastAsia="en-US"/>
        </w:rPr>
        <w:tab/>
        <w:t xml:space="preserve">la Constitución de la República del Ecuador en su artículo 266, determina: </w:t>
      </w:r>
      <w:r w:rsidRPr="004E0B8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E0B8F">
        <w:rPr>
          <w:rFonts w:ascii="Palatino Linotype" w:eastAsiaTheme="minorHAnsi" w:hAnsi="Palatino Linotype"/>
          <w:sz w:val="22"/>
          <w:szCs w:val="22"/>
          <w:lang w:eastAsia="en-US"/>
        </w:rPr>
        <w:t>;</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4E0B8F">
        <w:rPr>
          <w:rFonts w:ascii="Palatino Linotype" w:eastAsiaTheme="minorHAnsi" w:hAnsi="Palatino Linotype"/>
          <w:b/>
          <w:bCs/>
          <w:sz w:val="22"/>
          <w:szCs w:val="22"/>
          <w:lang w:eastAsia="en-US"/>
        </w:rPr>
        <w:t>Que,</w:t>
      </w:r>
      <w:r w:rsidRPr="004E0B8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4E0B8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w:t>
      </w:r>
      <w:r w:rsidRPr="004E0B8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w:t>
      </w:r>
      <w:r w:rsidRPr="004E0B8F">
        <w:rPr>
          <w:rFonts w:ascii="Palatino Linotype" w:eastAsiaTheme="minorHAnsi" w:hAnsi="Palatino Linotype"/>
          <w:sz w:val="22"/>
          <w:szCs w:val="22"/>
          <w:lang w:eastAsia="en-US"/>
        </w:rPr>
        <w:tab/>
        <w:t xml:space="preserve">conforme establece el artículo 87, literal v) del COOTAD, al Concejo Metropolitano le corresponde: </w:t>
      </w:r>
      <w:r w:rsidRPr="004E0B8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4E0B8F">
        <w:rPr>
          <w:rFonts w:ascii="Palatino Linotype" w:eastAsiaTheme="minorHAnsi" w:hAnsi="Palatino Linotype"/>
          <w:sz w:val="22"/>
          <w:szCs w:val="22"/>
          <w:lang w:eastAsia="en-US"/>
        </w:rPr>
        <w:t xml:space="preserve"> </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4E0B8F">
        <w:rPr>
          <w:rFonts w:ascii="Palatino Linotype" w:eastAsiaTheme="minorHAnsi" w:hAnsi="Palatino Linotype"/>
          <w:sz w:val="22"/>
          <w:szCs w:val="22"/>
          <w:lang w:eastAsia="en-US"/>
        </w:rPr>
        <w:t xml:space="preserve">Que, </w:t>
      </w:r>
      <w:r w:rsidRPr="004E0B8F">
        <w:rPr>
          <w:rFonts w:ascii="Palatino Linotype" w:eastAsiaTheme="minorHAnsi" w:hAnsi="Palatino Linotype"/>
          <w:sz w:val="22"/>
          <w:szCs w:val="22"/>
          <w:lang w:eastAsia="en-US"/>
        </w:rPr>
        <w:tab/>
        <w:t>el artículo 323 del COOTAD establece: “</w:t>
      </w:r>
      <w:r w:rsidRPr="004E0B8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4E0B8F">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el artículo 424 del COOTAD señala: </w:t>
      </w:r>
      <w:r w:rsidRPr="004E0B8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el artículo 472 del COOTAD señala que: </w:t>
      </w:r>
      <w:r w:rsidRPr="004E0B8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4E0B8F">
        <w:rPr>
          <w:rFonts w:ascii="Palatino Linotype" w:eastAsiaTheme="minorHAnsi" w:hAnsi="Palatino Linotype"/>
          <w:sz w:val="22"/>
          <w:szCs w:val="22"/>
          <w:lang w:eastAsia="en-US"/>
        </w:rPr>
        <w:t>;</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el artículo 2410 del el Código Civil Ecuatoriano determina que: </w:t>
      </w:r>
      <w:r w:rsidRPr="004E0B8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jc w:val="both"/>
        <w:rPr>
          <w:rFonts w:ascii="Palatino Linotype" w:hAnsi="Palatino Linotype"/>
          <w:sz w:val="22"/>
          <w:szCs w:val="22"/>
        </w:rPr>
      </w:pPr>
    </w:p>
    <w:p w:rsidR="000113AC" w:rsidRPr="004E0B8F"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4E0B8F">
        <w:rPr>
          <w:rFonts w:ascii="Palatino Linotype" w:eastAsiaTheme="minorHAnsi" w:hAnsi="Palatino Linotype"/>
          <w:sz w:val="22"/>
          <w:szCs w:val="22"/>
          <w:lang w:eastAsia="en-US"/>
        </w:rPr>
        <w:lastRenderedPageBreak/>
        <w:t>Que,</w:t>
      </w:r>
      <w:r w:rsidRPr="004E0B8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4E0B8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E0B8F">
        <w:rPr>
          <w:rFonts w:ascii="Palatino Linotype" w:eastAsiaTheme="minorHAnsi" w:hAnsi="Palatino Linotype"/>
          <w:sz w:val="22"/>
          <w:szCs w:val="22"/>
          <w:lang w:eastAsia="en-US"/>
        </w:rPr>
        <w:t>;</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w:t>
      </w:r>
      <w:r w:rsidRPr="004E0B8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4E0B8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4E0B8F">
        <w:rPr>
          <w:rFonts w:ascii="Palatino Linotype" w:hAnsi="Palatino Linotype"/>
          <w:i/>
          <w:sz w:val="22"/>
          <w:szCs w:val="22"/>
        </w:rPr>
        <w:t>”</w:t>
      </w:r>
      <w:r w:rsidRPr="004E0B8F">
        <w:rPr>
          <w:rFonts w:ascii="Palatino Linotype" w:hAnsi="Palatino Linotype"/>
          <w:sz w:val="22"/>
          <w:szCs w:val="22"/>
        </w:rPr>
        <w:t xml:space="preserve">; </w:t>
      </w:r>
    </w:p>
    <w:p w:rsidR="000113AC" w:rsidRPr="004E0B8F"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w:t>
      </w:r>
      <w:r w:rsidRPr="004E0B8F">
        <w:rPr>
          <w:rFonts w:ascii="Palatino Linotype" w:eastAsiaTheme="minorHAnsi" w:hAnsi="Palatino Linotype"/>
          <w:sz w:val="22"/>
          <w:szCs w:val="22"/>
          <w:lang w:eastAsia="en-US"/>
        </w:rPr>
        <w:tab/>
        <w:t xml:space="preserve">el Código Municipal en su artículo 2171, establece: </w:t>
      </w:r>
      <w:r w:rsidRPr="004E0B8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4E0B8F"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3144EF" w:rsidRPr="004E0B8F" w:rsidRDefault="000113AC" w:rsidP="00D3132D">
      <w:pPr>
        <w:autoSpaceDE w:val="0"/>
        <w:autoSpaceDN w:val="0"/>
        <w:adjustRightInd w:val="0"/>
        <w:ind w:left="708" w:hanging="708"/>
        <w:jc w:val="both"/>
        <w:rPr>
          <w:rFonts w:ascii="Palatino Linotype" w:hAnsi="Palatino Linotype"/>
          <w:sz w:val="22"/>
          <w:szCs w:val="22"/>
        </w:rPr>
      </w:pPr>
      <w:r w:rsidRPr="004E0B8F">
        <w:rPr>
          <w:rFonts w:ascii="Palatino Linotype" w:eastAsiaTheme="minorHAnsi" w:hAnsi="Palatino Linotype"/>
          <w:b/>
          <w:sz w:val="22"/>
          <w:szCs w:val="22"/>
          <w:lang w:eastAsia="en-US"/>
        </w:rPr>
        <w:t>Que,</w:t>
      </w:r>
      <w:r w:rsidR="004E4064" w:rsidRPr="004E0B8F">
        <w:rPr>
          <w:rFonts w:ascii="Palatino Linotype" w:eastAsiaTheme="minorHAnsi" w:hAnsi="Palatino Linotype"/>
          <w:sz w:val="22"/>
          <w:szCs w:val="22"/>
          <w:lang w:eastAsia="en-US"/>
        </w:rPr>
        <w:t xml:space="preserve"> </w:t>
      </w:r>
      <w:r w:rsidR="00D3132D" w:rsidRPr="004E0B8F">
        <w:rPr>
          <w:rFonts w:ascii="Palatino Linotype" w:hAnsi="Palatino Linotype"/>
          <w:sz w:val="22"/>
          <w:szCs w:val="22"/>
        </w:rPr>
        <w:t>l</w:t>
      </w:r>
      <w:r w:rsidR="00D3132D" w:rsidRPr="004E0B8F">
        <w:rPr>
          <w:rFonts w:ascii="Palatino Linotype" w:hAnsi="Palatino Linotype"/>
          <w:sz w:val="22"/>
          <w:szCs w:val="22"/>
        </w:rPr>
        <w:t>os Jueces de la Corte Superior de Justicia de Quito, el 02 de junio de 2017, conceden la prescripción adquisitiva extraordinaria de dominio de una parcela de terreno, ubicado en el sector denominado Tulipe, situado en la parroquia de Gualea, Cantón Quito, provincia de Pichincha, con una cabida aproximada de ochocientos metros cuadrados(800.00m2) metros cuadrados y que se halla comprendido dentro de los siguientes linderos : NORTE, Propiedad del señor Euclides Miño; SUR, Propiedad del señor Raúl Serrano; ESTE Rio Tulipe; y, OESTE, con terrenos del señor Euclides Miño. Cúmplase con los requisitos municipales propios para el traspaso de dominio, así como de ser necesario se aplicará lo estipulado en el Art. 473 del Código Orgánico de Organización Territorial, Autonomía y Descentralización, también como los requeridos en el Registro de la Propiedad, conforme se desprende del Informe Técnico No. 024-UZGT-2021.</w:t>
      </w:r>
    </w:p>
    <w:p w:rsidR="001E3ECB" w:rsidRPr="004E0B8F" w:rsidRDefault="001E3ECB" w:rsidP="00D3132D">
      <w:pPr>
        <w:autoSpaceDE w:val="0"/>
        <w:autoSpaceDN w:val="0"/>
        <w:adjustRightInd w:val="0"/>
        <w:ind w:left="708" w:hanging="708"/>
        <w:jc w:val="both"/>
        <w:rPr>
          <w:rFonts w:ascii="Palatino Linotype" w:hAnsi="Palatino Linotype"/>
          <w:color w:val="000000" w:themeColor="text1"/>
          <w:sz w:val="22"/>
          <w:szCs w:val="22"/>
          <w:lang w:val="es-ES"/>
        </w:rPr>
      </w:pPr>
    </w:p>
    <w:p w:rsidR="003144EF" w:rsidRPr="004E0B8F" w:rsidRDefault="003144EF" w:rsidP="003144EF">
      <w:pPr>
        <w:autoSpaceDE w:val="0"/>
        <w:autoSpaceDN w:val="0"/>
        <w:adjustRightInd w:val="0"/>
        <w:ind w:left="708" w:hanging="708"/>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Que,</w:t>
      </w:r>
      <w:r w:rsidRPr="004E0B8F">
        <w:rPr>
          <w:rFonts w:ascii="Palatino Linotype" w:eastAsiaTheme="minorHAnsi" w:hAnsi="Palatino Linotype"/>
          <w:sz w:val="22"/>
          <w:szCs w:val="22"/>
          <w:lang w:eastAsia="en-US"/>
        </w:rPr>
        <w:t xml:space="preserve"> mediante oficio Nro.</w:t>
      </w:r>
      <w:r w:rsidRPr="004E0B8F">
        <w:rPr>
          <w:rFonts w:ascii="Palatino Linotype" w:hAnsi="Palatino Linotype"/>
          <w:sz w:val="22"/>
          <w:szCs w:val="22"/>
        </w:rPr>
        <w:t xml:space="preserve"> 2950-2010 de 31 de octubre de 2011</w:t>
      </w:r>
      <w:r w:rsidRPr="004E0B8F">
        <w:rPr>
          <w:rFonts w:ascii="Palatino Linotype" w:eastAsiaTheme="minorHAnsi" w:hAnsi="Palatino Linotype"/>
          <w:sz w:val="22"/>
          <w:szCs w:val="22"/>
          <w:lang w:eastAsia="en-US"/>
        </w:rPr>
        <w:t xml:space="preserve"> la Procuraduría Metropolitana emitió un </w:t>
      </w:r>
      <w:r w:rsidRPr="004E0B8F">
        <w:rPr>
          <w:rFonts w:ascii="Palatino Linotype" w:hAnsi="Palatino Linotype"/>
          <w:sz w:val="22"/>
          <w:szCs w:val="22"/>
        </w:rPr>
        <w:t xml:space="preserve">pronunciamiento en forma general, respecto al marco legal </w:t>
      </w:r>
      <w:r w:rsidRPr="004E0B8F">
        <w:rPr>
          <w:rFonts w:ascii="Palatino Linotype" w:hAnsi="Palatino Linotype"/>
          <w:sz w:val="22"/>
          <w:szCs w:val="22"/>
        </w:rPr>
        <w:lastRenderedPageBreak/>
        <w:t xml:space="preserve">y operativo para todos los casos de </w:t>
      </w:r>
      <w:r w:rsidRPr="004E0B8F">
        <w:rPr>
          <w:rFonts w:ascii="Palatino Linotype" w:eastAsiaTheme="minorHAnsi" w:hAnsi="Palatino Linotype"/>
          <w:sz w:val="22"/>
          <w:szCs w:val="22"/>
          <w:lang w:eastAsia="en-US"/>
        </w:rPr>
        <w:t>prescripción extraordinaria adquisitiva de dominio;</w:t>
      </w:r>
    </w:p>
    <w:p w:rsidR="00372B0E" w:rsidRPr="004E0B8F" w:rsidRDefault="00372B0E" w:rsidP="00372B0E">
      <w:pPr>
        <w:autoSpaceDE w:val="0"/>
        <w:autoSpaceDN w:val="0"/>
        <w:adjustRightInd w:val="0"/>
        <w:spacing w:line="276" w:lineRule="auto"/>
        <w:ind w:left="708" w:hanging="708"/>
        <w:jc w:val="both"/>
        <w:rPr>
          <w:rFonts w:ascii="Palatino Linotype" w:hAnsi="Palatino Linotype"/>
          <w:i/>
          <w:sz w:val="22"/>
          <w:szCs w:val="22"/>
        </w:rPr>
      </w:pPr>
    </w:p>
    <w:p w:rsidR="00F70463" w:rsidRPr="004E0B8F" w:rsidRDefault="00D24C41" w:rsidP="00F70463">
      <w:pPr>
        <w:autoSpaceDE w:val="0"/>
        <w:autoSpaceDN w:val="0"/>
        <w:adjustRightInd w:val="0"/>
        <w:ind w:left="708" w:hanging="708"/>
        <w:jc w:val="both"/>
        <w:rPr>
          <w:rFonts w:ascii="Palatino Linotype" w:hAnsi="Palatino Linotype"/>
          <w:sz w:val="22"/>
          <w:szCs w:val="22"/>
        </w:rPr>
      </w:pPr>
      <w:r w:rsidRPr="004E0B8F">
        <w:rPr>
          <w:rFonts w:ascii="Palatino Linotype" w:hAnsi="Palatino Linotype"/>
          <w:b/>
          <w:sz w:val="22"/>
          <w:szCs w:val="22"/>
        </w:rPr>
        <w:t xml:space="preserve">Que, </w:t>
      </w:r>
      <w:r w:rsidR="00F70463" w:rsidRPr="004E0B8F">
        <w:rPr>
          <w:rFonts w:ascii="Palatino Linotype" w:hAnsi="Palatino Linotype"/>
          <w:sz w:val="22"/>
          <w:szCs w:val="22"/>
        </w:rPr>
        <w:t>m</w:t>
      </w:r>
      <w:r w:rsidR="00F70463" w:rsidRPr="004E0B8F">
        <w:rPr>
          <w:rFonts w:ascii="Palatino Linotype" w:hAnsi="Palatino Linotype"/>
          <w:sz w:val="22"/>
          <w:szCs w:val="22"/>
        </w:rPr>
        <w:t xml:space="preserve">ediante Informe Técnico No. No. 024-UZGT-2021, la arquitecta Gladys Arroyo, de la Unidad de Gestión Urbana de la Administración La Delicia, señala: </w:t>
      </w:r>
    </w:p>
    <w:p w:rsidR="00F70463" w:rsidRPr="004E0B8F" w:rsidRDefault="00F70463" w:rsidP="00F70463">
      <w:pPr>
        <w:autoSpaceDE w:val="0"/>
        <w:autoSpaceDN w:val="0"/>
        <w:adjustRightInd w:val="0"/>
        <w:ind w:left="708" w:hanging="708"/>
        <w:jc w:val="both"/>
        <w:rPr>
          <w:rFonts w:ascii="Palatino Linotype" w:hAnsi="Palatino Linotype"/>
          <w:sz w:val="22"/>
          <w:szCs w:val="22"/>
        </w:rPr>
      </w:pPr>
    </w:p>
    <w:p w:rsidR="00F70463" w:rsidRPr="004E0B8F" w:rsidRDefault="00F70463" w:rsidP="00F70463">
      <w:pPr>
        <w:autoSpaceDE w:val="0"/>
        <w:autoSpaceDN w:val="0"/>
        <w:adjustRightInd w:val="0"/>
        <w:ind w:left="708" w:hanging="708"/>
        <w:jc w:val="both"/>
        <w:rPr>
          <w:rFonts w:ascii="Palatino Linotype" w:hAnsi="Palatino Linotype"/>
          <w:i/>
          <w:sz w:val="22"/>
          <w:szCs w:val="22"/>
        </w:rPr>
      </w:pPr>
      <w:r w:rsidRPr="004E0B8F">
        <w:rPr>
          <w:rFonts w:ascii="Palatino Linotype" w:hAnsi="Palatino Linotype"/>
          <w:i/>
          <w:sz w:val="22"/>
          <w:szCs w:val="22"/>
        </w:rPr>
        <w:tab/>
      </w:r>
      <w:r w:rsidRPr="004E0B8F">
        <w:rPr>
          <w:rFonts w:ascii="Palatino Linotype" w:hAnsi="Palatino Linotype"/>
          <w:b/>
          <w:i/>
          <w:sz w:val="22"/>
          <w:szCs w:val="22"/>
        </w:rPr>
        <w:t>“CONCLUSIONES:</w:t>
      </w:r>
      <w:r w:rsidRPr="004E0B8F">
        <w:rPr>
          <w:rFonts w:ascii="Palatino Linotype" w:hAnsi="Palatino Linotype"/>
          <w:i/>
          <w:sz w:val="22"/>
          <w:szCs w:val="22"/>
        </w:rPr>
        <w:t xml:space="preserve"> </w:t>
      </w:r>
    </w:p>
    <w:p w:rsidR="00F70463" w:rsidRPr="004E0B8F" w:rsidRDefault="00F70463" w:rsidP="00F70463">
      <w:pPr>
        <w:autoSpaceDE w:val="0"/>
        <w:autoSpaceDN w:val="0"/>
        <w:adjustRightInd w:val="0"/>
        <w:ind w:left="708" w:hanging="708"/>
        <w:jc w:val="both"/>
        <w:rPr>
          <w:rFonts w:ascii="Palatino Linotype" w:hAnsi="Palatino Linotype"/>
          <w:i/>
          <w:sz w:val="22"/>
          <w:szCs w:val="22"/>
        </w:rPr>
      </w:pPr>
    </w:p>
    <w:p w:rsidR="00D90E77" w:rsidRPr="004E0B8F" w:rsidRDefault="00F70463" w:rsidP="00F70463">
      <w:pPr>
        <w:autoSpaceDE w:val="0"/>
        <w:autoSpaceDN w:val="0"/>
        <w:adjustRightInd w:val="0"/>
        <w:ind w:left="708"/>
        <w:jc w:val="both"/>
        <w:rPr>
          <w:rFonts w:ascii="Palatino Linotype" w:hAnsi="Palatino Linotype"/>
          <w:i/>
          <w:sz w:val="22"/>
          <w:szCs w:val="22"/>
        </w:rPr>
      </w:pPr>
      <w:r w:rsidRPr="004E0B8F">
        <w:rPr>
          <w:rFonts w:ascii="Palatino Linotype" w:hAnsi="Palatino Linotype"/>
          <w:i/>
          <w:sz w:val="22"/>
          <w:szCs w:val="22"/>
        </w:rPr>
        <w:t xml:space="preserve">De la sentencia se desprende que el área útil que se subdivide es de 800,00m2 por lo que conforme la zonificación del lote, la resolución propuesta </w:t>
      </w:r>
      <w:r w:rsidRPr="004E0B8F">
        <w:rPr>
          <w:rFonts w:ascii="Palatino Linotype" w:hAnsi="Palatino Linotype"/>
          <w:b/>
          <w:i/>
          <w:sz w:val="22"/>
          <w:szCs w:val="22"/>
        </w:rPr>
        <w:t>NO CUMPLE</w:t>
      </w:r>
      <w:r w:rsidRPr="004E0B8F">
        <w:rPr>
          <w:rFonts w:ascii="Palatino Linotype" w:hAnsi="Palatino Linotype"/>
          <w:i/>
          <w:sz w:val="22"/>
          <w:szCs w:val="22"/>
        </w:rPr>
        <w:t xml:space="preserve"> con los parámetros de habilitación vigentes respecto a lote mínimo, según Informe de regulación Metropolitana No. 740415, las zonificaciones asignadas al área de prescripción son:A7(A50002-1), Lote mínimo: 50000m2, Frente mínimo: 125m, Uso de Suelo: (RN/PS) Recursos Naturales/Producción Sostenible, Clasificación del suelo: (SRU) Suelo Rural; y A31 (PQ), Lote mínimo 0m2, Frente mínimo: 0 m, Uso de Suelo: (PE/CPN) Protección Ecológica/Conservación del Patrimonio Natural, Clasificación del suelo: (SRU) Suelo Rural, en el predio N° 5300084.</w:t>
      </w:r>
    </w:p>
    <w:p w:rsidR="00F1475B" w:rsidRPr="004E0B8F" w:rsidRDefault="00F1475B" w:rsidP="00E31911">
      <w:pPr>
        <w:autoSpaceDE w:val="0"/>
        <w:autoSpaceDN w:val="0"/>
        <w:adjustRightInd w:val="0"/>
        <w:ind w:left="708" w:hanging="708"/>
        <w:jc w:val="both"/>
        <w:rPr>
          <w:rFonts w:ascii="Palatino Linotype" w:hAnsi="Palatino Linotype"/>
          <w:b/>
          <w:bCs/>
          <w:i/>
          <w:color w:val="000000" w:themeColor="text1"/>
          <w:sz w:val="22"/>
          <w:szCs w:val="22"/>
          <w:lang w:val="es-ES"/>
        </w:rPr>
      </w:pPr>
    </w:p>
    <w:p w:rsidR="00F70463" w:rsidRPr="004E0B8F" w:rsidRDefault="00F70463" w:rsidP="00F70463">
      <w:pPr>
        <w:autoSpaceDE w:val="0"/>
        <w:autoSpaceDN w:val="0"/>
        <w:adjustRightInd w:val="0"/>
        <w:ind w:left="708"/>
        <w:jc w:val="both"/>
        <w:rPr>
          <w:rFonts w:ascii="Palatino Linotype" w:hAnsi="Palatino Linotype"/>
          <w:b/>
          <w:bCs/>
          <w:i/>
          <w:color w:val="000000" w:themeColor="text1"/>
          <w:sz w:val="22"/>
          <w:szCs w:val="22"/>
          <w:lang w:val="es-ES"/>
        </w:rPr>
      </w:pPr>
      <w:r w:rsidRPr="004E0B8F">
        <w:rPr>
          <w:rFonts w:ascii="Palatino Linotype" w:hAnsi="Palatino Linotype"/>
          <w:i/>
          <w:sz w:val="22"/>
          <w:szCs w:val="22"/>
        </w:rPr>
        <w:t>No obstante se requiere que el Concejo Metropolitano, en cumplimiento de la sentencia emitida por la Corte Superior de Justicia de Quito, el 02de junio del año 2017, cambie las condiciones del predio N° 5300084en relación a los parámetros de habilitación del suelo; Lote Mínimo y Frente Mínimo. Adicionalmente dentro del proceso de subdivisión se compensará en valor monetario según el avalúo catastral actualizado, por la contribución del 15 % del área útil adquirida mediante sentencia.”</w:t>
      </w:r>
    </w:p>
    <w:p w:rsidR="00F70463" w:rsidRPr="004E0B8F" w:rsidRDefault="00F70463" w:rsidP="00E31911">
      <w:pPr>
        <w:autoSpaceDE w:val="0"/>
        <w:autoSpaceDN w:val="0"/>
        <w:adjustRightInd w:val="0"/>
        <w:ind w:left="708" w:hanging="708"/>
        <w:jc w:val="both"/>
        <w:rPr>
          <w:rFonts w:ascii="Palatino Linotype" w:hAnsi="Palatino Linotype"/>
          <w:b/>
          <w:bCs/>
          <w:i/>
          <w:color w:val="000000" w:themeColor="text1"/>
          <w:sz w:val="22"/>
          <w:szCs w:val="22"/>
          <w:lang w:val="es-ES"/>
        </w:rPr>
      </w:pPr>
    </w:p>
    <w:p w:rsidR="001745AC" w:rsidRPr="004E0B8F" w:rsidRDefault="000022D4" w:rsidP="00A11D7F">
      <w:pPr>
        <w:autoSpaceDE w:val="0"/>
        <w:autoSpaceDN w:val="0"/>
        <w:adjustRightInd w:val="0"/>
        <w:ind w:left="708" w:hanging="708"/>
        <w:jc w:val="both"/>
        <w:rPr>
          <w:rFonts w:ascii="Palatino Linotype" w:hAnsi="Palatino Linotype"/>
          <w:sz w:val="22"/>
          <w:szCs w:val="22"/>
        </w:rPr>
      </w:pPr>
      <w:r w:rsidRPr="004E0B8F">
        <w:rPr>
          <w:rFonts w:ascii="Palatino Linotype" w:hAnsi="Palatino Linotype"/>
          <w:b/>
          <w:sz w:val="22"/>
          <w:szCs w:val="22"/>
        </w:rPr>
        <w:t xml:space="preserve">Que, </w:t>
      </w:r>
      <w:r w:rsidR="001745AC" w:rsidRPr="004E0B8F">
        <w:rPr>
          <w:rFonts w:ascii="Palatino Linotype" w:hAnsi="Palatino Linotype"/>
          <w:sz w:val="22"/>
          <w:szCs w:val="22"/>
        </w:rPr>
        <w:t>m</w:t>
      </w:r>
      <w:r w:rsidR="001745AC" w:rsidRPr="004E0B8F">
        <w:rPr>
          <w:rFonts w:ascii="Palatino Linotype" w:hAnsi="Palatino Linotype"/>
          <w:sz w:val="22"/>
          <w:szCs w:val="22"/>
        </w:rPr>
        <w:t xml:space="preserve">ediante Informe Técnico No. No. 038-UZGT-2021 de 07 de julio de 2021, la Arquitecta Gladys Arroyo, Unidad de Gestión Urbana de la Administración Calderón, señala: </w:t>
      </w:r>
    </w:p>
    <w:p w:rsidR="001745AC" w:rsidRPr="004E0B8F" w:rsidRDefault="001745AC" w:rsidP="00A11D7F">
      <w:pPr>
        <w:autoSpaceDE w:val="0"/>
        <w:autoSpaceDN w:val="0"/>
        <w:adjustRightInd w:val="0"/>
        <w:ind w:left="708" w:hanging="708"/>
        <w:jc w:val="both"/>
        <w:rPr>
          <w:rFonts w:ascii="Palatino Linotype" w:hAnsi="Palatino Linotype"/>
          <w:sz w:val="22"/>
          <w:szCs w:val="22"/>
        </w:rPr>
      </w:pPr>
    </w:p>
    <w:p w:rsidR="001745AC" w:rsidRPr="004E0B8F" w:rsidRDefault="001745AC" w:rsidP="001745AC">
      <w:pPr>
        <w:autoSpaceDE w:val="0"/>
        <w:autoSpaceDN w:val="0"/>
        <w:adjustRightInd w:val="0"/>
        <w:ind w:left="708"/>
        <w:jc w:val="both"/>
        <w:rPr>
          <w:rFonts w:ascii="Palatino Linotype" w:hAnsi="Palatino Linotype"/>
          <w:i/>
          <w:sz w:val="22"/>
          <w:szCs w:val="22"/>
        </w:rPr>
      </w:pPr>
      <w:r w:rsidRPr="004E0B8F">
        <w:rPr>
          <w:rFonts w:ascii="Palatino Linotype" w:hAnsi="Palatino Linotype"/>
          <w:b/>
          <w:i/>
          <w:sz w:val="22"/>
          <w:szCs w:val="22"/>
          <w:u w:val="single"/>
        </w:rPr>
        <w:t>“CONCLUSIONES:</w:t>
      </w:r>
      <w:r w:rsidRPr="004E0B8F">
        <w:rPr>
          <w:rFonts w:ascii="Palatino Linotype" w:hAnsi="Palatino Linotype"/>
          <w:i/>
          <w:sz w:val="22"/>
          <w:szCs w:val="22"/>
        </w:rPr>
        <w:t xml:space="preserve"> </w:t>
      </w:r>
    </w:p>
    <w:p w:rsidR="001745AC" w:rsidRPr="004E0B8F" w:rsidRDefault="001745AC" w:rsidP="001745AC">
      <w:pPr>
        <w:autoSpaceDE w:val="0"/>
        <w:autoSpaceDN w:val="0"/>
        <w:adjustRightInd w:val="0"/>
        <w:ind w:left="708"/>
        <w:jc w:val="both"/>
        <w:rPr>
          <w:rFonts w:ascii="Palatino Linotype" w:hAnsi="Palatino Linotype"/>
          <w:i/>
          <w:sz w:val="22"/>
          <w:szCs w:val="22"/>
        </w:rPr>
      </w:pPr>
    </w:p>
    <w:p w:rsidR="001745AC" w:rsidRPr="004E0B8F" w:rsidRDefault="001745AC" w:rsidP="001745AC">
      <w:pPr>
        <w:autoSpaceDE w:val="0"/>
        <w:autoSpaceDN w:val="0"/>
        <w:adjustRightInd w:val="0"/>
        <w:ind w:left="708"/>
        <w:jc w:val="both"/>
        <w:rPr>
          <w:rFonts w:ascii="Palatino Linotype" w:hAnsi="Palatino Linotype"/>
          <w:i/>
          <w:sz w:val="22"/>
          <w:szCs w:val="22"/>
        </w:rPr>
      </w:pPr>
      <w:r w:rsidRPr="004E0B8F">
        <w:rPr>
          <w:rFonts w:ascii="Palatino Linotype" w:hAnsi="Palatino Linotype"/>
          <w:i/>
          <w:sz w:val="22"/>
          <w:szCs w:val="22"/>
        </w:rPr>
        <w:t xml:space="preserve">De la sentencia se desprende que el área útil que se subdivide es de 800,00m2 por lo que conforme la zonificación del lote, la resolución propuesta NO CUMPLE con los parámetros de habilitación vigentes respecto a lote mínimo, según Informe de regulación Metropolitana No. 740415, las zonificaciones asignadas al área de prescripción son:A7(A50002-1), Lote mínimo: 50000m2, Frente mínimo: 125m, Uso de Suelo: (RN/PS) Recursos Naturales/Producción Sostenible, Clasificación del suelo: (SRU) Suelo Rural; y A31 (PQ), Lote mínimo 0m2, Frente mínimo: 0 m, Uso de Suelo: (PE/CPN) Protección Ecológica/Conservación del Patrimonio Natural, Clasificación del suelo: (SRU) Suelo Rural, en el predio N° 5300084. </w:t>
      </w:r>
    </w:p>
    <w:p w:rsidR="001745AC" w:rsidRPr="004E0B8F" w:rsidRDefault="001745AC" w:rsidP="001745AC">
      <w:pPr>
        <w:autoSpaceDE w:val="0"/>
        <w:autoSpaceDN w:val="0"/>
        <w:adjustRightInd w:val="0"/>
        <w:ind w:left="708"/>
        <w:jc w:val="both"/>
        <w:rPr>
          <w:rFonts w:ascii="Palatino Linotype" w:hAnsi="Palatino Linotype"/>
          <w:i/>
          <w:sz w:val="22"/>
          <w:szCs w:val="22"/>
        </w:rPr>
      </w:pPr>
    </w:p>
    <w:p w:rsidR="001745AC" w:rsidRPr="004E0B8F" w:rsidRDefault="001745AC" w:rsidP="001745AC">
      <w:pPr>
        <w:autoSpaceDE w:val="0"/>
        <w:autoSpaceDN w:val="0"/>
        <w:adjustRightInd w:val="0"/>
        <w:ind w:left="708"/>
        <w:jc w:val="both"/>
        <w:rPr>
          <w:rFonts w:ascii="Palatino Linotype" w:hAnsi="Palatino Linotype"/>
          <w:i/>
          <w:sz w:val="22"/>
          <w:szCs w:val="22"/>
        </w:rPr>
      </w:pPr>
      <w:r w:rsidRPr="004E0B8F">
        <w:rPr>
          <w:rFonts w:ascii="Palatino Linotype" w:hAnsi="Palatino Linotype"/>
          <w:i/>
          <w:sz w:val="22"/>
          <w:szCs w:val="22"/>
        </w:rPr>
        <w:lastRenderedPageBreak/>
        <w:t xml:space="preserve">No obstante se requiere que el Concejo Metropolitano, en cumplimiento de la sentencia emitida por la Corte Superior de Justicia de Quito, el 02de junio del año 2017, cambie las condiciones del predio N° 5300084 en relación a los parámetros de habilitación del suelo; Lote Mínimo y Frente Mínimo. Adicionalmente dentro del proceso de subdivisión se compensará en valor monetario según el avalúo catastral actualizado, por la contribución del 15 % del área útil adquirida mediante sentencia. </w:t>
      </w:r>
    </w:p>
    <w:p w:rsidR="001745AC" w:rsidRPr="004E0B8F" w:rsidRDefault="001745AC" w:rsidP="001745AC">
      <w:pPr>
        <w:autoSpaceDE w:val="0"/>
        <w:autoSpaceDN w:val="0"/>
        <w:adjustRightInd w:val="0"/>
        <w:ind w:left="708"/>
        <w:jc w:val="both"/>
        <w:rPr>
          <w:rFonts w:ascii="Palatino Linotype" w:hAnsi="Palatino Linotype"/>
          <w:i/>
          <w:sz w:val="22"/>
          <w:szCs w:val="22"/>
        </w:rPr>
      </w:pPr>
    </w:p>
    <w:p w:rsidR="00AF1FF5" w:rsidRPr="004E0B8F" w:rsidRDefault="001745AC" w:rsidP="001745AC">
      <w:pPr>
        <w:autoSpaceDE w:val="0"/>
        <w:autoSpaceDN w:val="0"/>
        <w:adjustRightInd w:val="0"/>
        <w:ind w:left="708"/>
        <w:jc w:val="both"/>
        <w:rPr>
          <w:rFonts w:ascii="Palatino Linotype" w:hAnsi="Palatino Linotype"/>
          <w:i/>
          <w:color w:val="000000" w:themeColor="text1"/>
          <w:sz w:val="22"/>
          <w:szCs w:val="22"/>
        </w:rPr>
      </w:pPr>
      <w:r w:rsidRPr="004E0B8F">
        <w:rPr>
          <w:rFonts w:ascii="Palatino Linotype" w:hAnsi="Palatino Linotype"/>
          <w:i/>
          <w:sz w:val="22"/>
          <w:szCs w:val="22"/>
        </w:rPr>
        <w:t xml:space="preserve">Del Informe de Catastro, con Memorando N° GADDMQ-AZLD-DGT-UC-2021-0117- M del 23 de junio del 2021, se determina que el valor por m2 es de USD 0,36, el 15% del área útil (800,00 m2) adquirida mediante sentencia corresponde a 120,00 m2. En base a estos antecedentes, el valor monetario según el avalúo catastral actualizado, por la contribución del 15 % del área útil adquirida mediante sentencia corresponde a </w:t>
      </w:r>
      <w:r w:rsidRPr="004E0B8F">
        <w:rPr>
          <w:rFonts w:ascii="Palatino Linotype" w:hAnsi="Palatino Linotype"/>
          <w:b/>
          <w:i/>
          <w:sz w:val="22"/>
          <w:szCs w:val="22"/>
        </w:rPr>
        <w:t>USD 43,20”.</w:t>
      </w:r>
    </w:p>
    <w:p w:rsidR="000113AC" w:rsidRPr="004E0B8F" w:rsidRDefault="000113AC" w:rsidP="00C55EC2">
      <w:pPr>
        <w:autoSpaceDE w:val="0"/>
        <w:autoSpaceDN w:val="0"/>
        <w:adjustRightInd w:val="0"/>
        <w:ind w:left="708"/>
        <w:jc w:val="both"/>
        <w:rPr>
          <w:rFonts w:ascii="Palatino Linotype" w:hAnsi="Palatino Linotype"/>
          <w:b/>
          <w:sz w:val="22"/>
          <w:szCs w:val="22"/>
        </w:rPr>
      </w:pPr>
    </w:p>
    <w:p w:rsidR="000113AC" w:rsidRPr="004E0B8F" w:rsidRDefault="000113AC" w:rsidP="000113AC">
      <w:pPr>
        <w:pStyle w:val="Default"/>
        <w:ind w:left="708" w:hanging="708"/>
        <w:jc w:val="both"/>
        <w:rPr>
          <w:sz w:val="22"/>
          <w:szCs w:val="22"/>
        </w:rPr>
      </w:pPr>
      <w:r w:rsidRPr="004E0B8F">
        <w:rPr>
          <w:b/>
          <w:sz w:val="22"/>
          <w:szCs w:val="22"/>
        </w:rPr>
        <w:t>Que,</w:t>
      </w:r>
      <w:r w:rsidRPr="004E0B8F">
        <w:rPr>
          <w:sz w:val="22"/>
          <w:szCs w:val="22"/>
        </w:rPr>
        <w:t xml:space="preserve"> mediante oficio GADDMQ-PM-2021-0396-O de 29 de enero de 2021, el Dr. Edison Yépez Vinueza, Subprocurador Metropolitano, señala: </w:t>
      </w:r>
    </w:p>
    <w:p w:rsidR="000113AC" w:rsidRPr="004E0B8F" w:rsidRDefault="000113AC" w:rsidP="000113AC">
      <w:pPr>
        <w:tabs>
          <w:tab w:val="left" w:pos="426"/>
        </w:tabs>
        <w:ind w:left="1416" w:right="566"/>
        <w:jc w:val="both"/>
        <w:rPr>
          <w:rFonts w:ascii="Palatino Linotype" w:hAnsi="Palatino Linotype"/>
          <w:i/>
          <w:sz w:val="22"/>
          <w:szCs w:val="22"/>
        </w:rPr>
      </w:pPr>
    </w:p>
    <w:p w:rsidR="000113AC" w:rsidRPr="004E0B8F" w:rsidRDefault="000113AC" w:rsidP="000113AC">
      <w:pPr>
        <w:tabs>
          <w:tab w:val="left" w:pos="284"/>
        </w:tabs>
        <w:ind w:left="708"/>
        <w:jc w:val="both"/>
        <w:rPr>
          <w:rFonts w:ascii="Palatino Linotype" w:hAnsi="Palatino Linotype"/>
          <w:i/>
          <w:sz w:val="22"/>
          <w:szCs w:val="22"/>
        </w:rPr>
      </w:pPr>
      <w:r w:rsidRPr="004E0B8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4E0B8F" w:rsidRDefault="000113AC" w:rsidP="000113AC">
      <w:pPr>
        <w:tabs>
          <w:tab w:val="left" w:pos="284"/>
        </w:tabs>
        <w:ind w:left="708"/>
        <w:jc w:val="both"/>
        <w:rPr>
          <w:rFonts w:ascii="Palatino Linotype" w:hAnsi="Palatino Linotype"/>
          <w:i/>
          <w:sz w:val="22"/>
          <w:szCs w:val="22"/>
        </w:rPr>
      </w:pPr>
      <w:r w:rsidRPr="004E0B8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4E0B8F" w:rsidRDefault="00E969BE" w:rsidP="000113AC">
      <w:pPr>
        <w:tabs>
          <w:tab w:val="left" w:pos="284"/>
        </w:tabs>
        <w:ind w:left="708"/>
        <w:jc w:val="both"/>
        <w:rPr>
          <w:rFonts w:ascii="Palatino Linotype" w:hAnsi="Palatino Linotype"/>
          <w:i/>
          <w:sz w:val="22"/>
          <w:szCs w:val="22"/>
        </w:rPr>
      </w:pPr>
    </w:p>
    <w:p w:rsidR="000113AC" w:rsidRPr="004E0B8F" w:rsidRDefault="000113AC" w:rsidP="000113AC">
      <w:pPr>
        <w:tabs>
          <w:tab w:val="left" w:pos="284"/>
        </w:tabs>
        <w:ind w:left="708"/>
        <w:jc w:val="both"/>
        <w:rPr>
          <w:rFonts w:ascii="Palatino Linotype" w:hAnsi="Palatino Linotype"/>
          <w:i/>
          <w:sz w:val="22"/>
          <w:szCs w:val="22"/>
        </w:rPr>
      </w:pPr>
      <w:r w:rsidRPr="004E0B8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4E0B8F" w:rsidRDefault="00E969BE" w:rsidP="000113AC">
      <w:pPr>
        <w:tabs>
          <w:tab w:val="left" w:pos="284"/>
        </w:tabs>
        <w:ind w:left="708"/>
        <w:jc w:val="both"/>
        <w:rPr>
          <w:rFonts w:ascii="Palatino Linotype" w:hAnsi="Palatino Linotype"/>
          <w:i/>
          <w:sz w:val="22"/>
          <w:szCs w:val="22"/>
        </w:rPr>
      </w:pPr>
    </w:p>
    <w:p w:rsidR="000113AC" w:rsidRPr="004E0B8F" w:rsidRDefault="000113AC" w:rsidP="000113AC">
      <w:pPr>
        <w:tabs>
          <w:tab w:val="left" w:pos="284"/>
        </w:tabs>
        <w:ind w:left="708"/>
        <w:jc w:val="both"/>
        <w:rPr>
          <w:rFonts w:ascii="Palatino Linotype" w:hAnsi="Palatino Linotype"/>
          <w:i/>
          <w:sz w:val="22"/>
          <w:szCs w:val="22"/>
        </w:rPr>
      </w:pPr>
      <w:r w:rsidRPr="004E0B8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4E0B8F">
        <w:rPr>
          <w:rFonts w:ascii="Palatino Linotype" w:hAnsi="Palatino Linotype"/>
          <w:i/>
          <w:sz w:val="22"/>
          <w:szCs w:val="22"/>
        </w:rPr>
        <w:t>no de los casos en particular.”;</w:t>
      </w:r>
    </w:p>
    <w:p w:rsidR="005168D0" w:rsidRPr="004E0B8F" w:rsidRDefault="005168D0" w:rsidP="000F0D3B">
      <w:pPr>
        <w:pStyle w:val="Default"/>
        <w:ind w:left="708" w:hanging="708"/>
        <w:jc w:val="both"/>
        <w:rPr>
          <w:b/>
          <w:i/>
          <w:sz w:val="22"/>
          <w:szCs w:val="22"/>
        </w:rPr>
      </w:pPr>
    </w:p>
    <w:p w:rsidR="00B64C26" w:rsidRPr="004E0B8F" w:rsidRDefault="009C7AA1" w:rsidP="00944C99">
      <w:pPr>
        <w:pStyle w:val="Default"/>
        <w:ind w:left="708" w:hanging="708"/>
        <w:jc w:val="both"/>
        <w:rPr>
          <w:sz w:val="22"/>
          <w:szCs w:val="22"/>
        </w:rPr>
      </w:pPr>
      <w:r w:rsidRPr="004E0B8F">
        <w:rPr>
          <w:b/>
          <w:sz w:val="22"/>
          <w:szCs w:val="22"/>
        </w:rPr>
        <w:t xml:space="preserve">Que, </w:t>
      </w:r>
      <w:r w:rsidR="00944C99" w:rsidRPr="004E0B8F">
        <w:rPr>
          <w:sz w:val="22"/>
          <w:szCs w:val="22"/>
        </w:rPr>
        <w:t>m</w:t>
      </w:r>
      <w:r w:rsidR="00944C99" w:rsidRPr="004E0B8F">
        <w:rPr>
          <w:sz w:val="22"/>
          <w:szCs w:val="22"/>
        </w:rPr>
        <w:t xml:space="preserve">ediante Informe Legal DJ-AZLD-072-2021 de 03 de mayo de 2021, el Dr. Byron Flores López Director Jurídico de la Administración Zonal La Delicia, emitió su criterio jurídico el mismo que en la parte pertinente, señala: </w:t>
      </w:r>
    </w:p>
    <w:p w:rsidR="00B64C26" w:rsidRPr="004E0B8F" w:rsidRDefault="00B64C26" w:rsidP="00944C99">
      <w:pPr>
        <w:pStyle w:val="Default"/>
        <w:ind w:left="708" w:hanging="708"/>
        <w:jc w:val="both"/>
        <w:rPr>
          <w:sz w:val="22"/>
          <w:szCs w:val="22"/>
        </w:rPr>
      </w:pPr>
    </w:p>
    <w:p w:rsidR="00694D54" w:rsidRPr="004E0B8F" w:rsidRDefault="00944C99" w:rsidP="00B64C26">
      <w:pPr>
        <w:pStyle w:val="Default"/>
        <w:ind w:left="708"/>
        <w:jc w:val="both"/>
        <w:rPr>
          <w:i/>
          <w:sz w:val="22"/>
          <w:szCs w:val="22"/>
        </w:rPr>
      </w:pPr>
      <w:r w:rsidRPr="004E0B8F">
        <w:rPr>
          <w:i/>
          <w:sz w:val="22"/>
          <w:szCs w:val="22"/>
        </w:rPr>
        <w:lastRenderedPageBreak/>
        <w:t>“(…) De acuerdo a los antecedentes expuestos la sentencia de prescripción adquisitiva de dominio en el presente caso se enmarca en el escenario B, y escenario B.2.1, descrito en el Pronunciamiento de Procuraduría Metropolitana; bajo ese contexto al ser el fraccionamiento inferior a 3000.00 m2, de conformidad a lo estipulado en el artículo 424 reformado del Código Orgánico de Organización Territorial, Autonomía y Descentralización, se debe considerar la compensación en valor monetario, según el avalúo catastral actualizado; y, por tratarse de una prescripción parcial que no cumple con los parámetros de habilitación vigentes, el expediente debe ser remitido al Concejo Metropolitano, para que se proceda conforme lo establecido en el Artículo IV: 1.79 de la Ordenanza Metropolitana No. 001, que contiene al Código Municipal del Distrito Metropolitano de Quito”.</w:t>
      </w:r>
    </w:p>
    <w:p w:rsidR="00B64C26" w:rsidRPr="004E0B8F" w:rsidRDefault="00B64C26" w:rsidP="002442E7">
      <w:pPr>
        <w:pStyle w:val="Default"/>
        <w:ind w:left="708" w:hanging="708"/>
        <w:jc w:val="both"/>
        <w:rPr>
          <w:b/>
          <w:sz w:val="22"/>
          <w:szCs w:val="22"/>
        </w:rPr>
      </w:pPr>
    </w:p>
    <w:p w:rsidR="007A5150" w:rsidRPr="004E0B8F" w:rsidRDefault="009441E9" w:rsidP="006B5C6A">
      <w:pPr>
        <w:pStyle w:val="Default"/>
        <w:ind w:left="708" w:hanging="708"/>
        <w:jc w:val="both"/>
        <w:rPr>
          <w:sz w:val="22"/>
          <w:szCs w:val="22"/>
        </w:rPr>
      </w:pPr>
      <w:r w:rsidRPr="004E0B8F">
        <w:rPr>
          <w:b/>
          <w:sz w:val="22"/>
          <w:szCs w:val="22"/>
        </w:rPr>
        <w:t xml:space="preserve">Que, </w:t>
      </w:r>
      <w:r w:rsidR="006B5C6A" w:rsidRPr="004E0B8F">
        <w:rPr>
          <w:sz w:val="22"/>
          <w:szCs w:val="22"/>
        </w:rPr>
        <w:t>m</w:t>
      </w:r>
      <w:r w:rsidR="006B5C6A" w:rsidRPr="004E0B8F">
        <w:rPr>
          <w:sz w:val="22"/>
          <w:szCs w:val="22"/>
        </w:rPr>
        <w:t xml:space="preserve">ediante Informe Legal DJ-AZLD-169-2021, de 08 de diciembre de 2021, el abogado Santiago Rodríguez, Director Jurídico de la Administración Zonal La Delicia, emitió su criterio jurídico el mismo que en la parte pertinente, señala: </w:t>
      </w:r>
    </w:p>
    <w:p w:rsidR="007A5150" w:rsidRPr="004E0B8F" w:rsidRDefault="007A5150" w:rsidP="007A5150">
      <w:pPr>
        <w:pStyle w:val="Default"/>
        <w:ind w:left="708"/>
        <w:jc w:val="both"/>
        <w:rPr>
          <w:b/>
          <w:sz w:val="22"/>
          <w:szCs w:val="22"/>
        </w:rPr>
      </w:pPr>
    </w:p>
    <w:p w:rsidR="002C0724" w:rsidRPr="004E0B8F" w:rsidRDefault="006B5C6A" w:rsidP="007A5150">
      <w:pPr>
        <w:pStyle w:val="Default"/>
        <w:ind w:left="708"/>
        <w:jc w:val="both"/>
        <w:rPr>
          <w:i/>
          <w:color w:val="000000" w:themeColor="text1"/>
          <w:sz w:val="22"/>
          <w:szCs w:val="22"/>
        </w:rPr>
      </w:pPr>
      <w:r w:rsidRPr="004E0B8F">
        <w:rPr>
          <w:i/>
          <w:sz w:val="22"/>
          <w:szCs w:val="22"/>
        </w:rPr>
        <w:t>“(…) De acuerdo a los antecedentes expuestos la sentencia de prescripción adquisitiva de dominio en el presente caso se enmarca en el escenario B y escenario B.2.1, descrito en el Pronunciamiento de Procuraduría Metropolitana; bajo ese contexto al ser</w:t>
      </w:r>
      <w:r w:rsidR="007A5150" w:rsidRPr="004E0B8F">
        <w:rPr>
          <w:i/>
          <w:sz w:val="22"/>
          <w:szCs w:val="22"/>
        </w:rPr>
        <w:t xml:space="preserve"> </w:t>
      </w:r>
      <w:r w:rsidR="007A5150" w:rsidRPr="004E0B8F">
        <w:rPr>
          <w:i/>
          <w:sz w:val="22"/>
          <w:szCs w:val="22"/>
        </w:rPr>
        <w:t xml:space="preserve">el fraccionamiento inferior a 3000.00 m2, de conformidad a lo estipulado en el artículo 424 reformado del Código Orgánico de Organización Territorial, Autonomía y Descentralización, se debe considerar la compensación en valor monetario, según el avalúo catastral actualizado, en el presente caso de conformidad con el informe técnico </w:t>
      </w:r>
      <w:r w:rsidR="007A5150" w:rsidRPr="004E0B8F">
        <w:rPr>
          <w:b/>
          <w:i/>
          <w:sz w:val="22"/>
          <w:szCs w:val="22"/>
        </w:rPr>
        <w:t>No.</w:t>
      </w:r>
      <w:r w:rsidR="007A5150" w:rsidRPr="004E0B8F">
        <w:rPr>
          <w:i/>
          <w:sz w:val="22"/>
          <w:szCs w:val="22"/>
        </w:rPr>
        <w:t xml:space="preserve"> </w:t>
      </w:r>
      <w:r w:rsidR="007A5150" w:rsidRPr="004E0B8F">
        <w:rPr>
          <w:b/>
          <w:i/>
          <w:sz w:val="22"/>
          <w:szCs w:val="22"/>
        </w:rPr>
        <w:t>038-UZGT-2021</w:t>
      </w:r>
      <w:r w:rsidR="007A5150" w:rsidRPr="004E0B8F">
        <w:rPr>
          <w:i/>
          <w:sz w:val="22"/>
          <w:szCs w:val="22"/>
        </w:rPr>
        <w:t xml:space="preserve"> la contribución del 15% del área útil adquirida mediante sentencia corresponde a </w:t>
      </w:r>
      <w:r w:rsidR="007A5150" w:rsidRPr="004E0B8F">
        <w:rPr>
          <w:b/>
          <w:i/>
          <w:sz w:val="22"/>
          <w:szCs w:val="22"/>
        </w:rPr>
        <w:t>USD 43,20;</w:t>
      </w:r>
      <w:r w:rsidR="007A5150" w:rsidRPr="004E0B8F">
        <w:rPr>
          <w:i/>
          <w:sz w:val="22"/>
          <w:szCs w:val="22"/>
        </w:rPr>
        <w:t xml:space="preserve"> y, por tratarse de una prescripción parcial que no cumple con los parámetros de habilitación vigentes, el expediente debe ser remitido al Concejo Metropolitano, para que se proceda conforme lo establecido en el Artículo 2171de la Ordenanza Metropolitana No. 001 que contiene al Código Municipal del Distrito Metropolitano de Quito”.</w:t>
      </w:r>
    </w:p>
    <w:p w:rsidR="003144EF" w:rsidRPr="004E0B8F" w:rsidRDefault="003144EF" w:rsidP="003144EF">
      <w:pPr>
        <w:pStyle w:val="Default"/>
        <w:ind w:left="708" w:hanging="708"/>
        <w:jc w:val="both"/>
        <w:rPr>
          <w:b/>
          <w:sz w:val="22"/>
          <w:szCs w:val="22"/>
        </w:rPr>
      </w:pPr>
    </w:p>
    <w:p w:rsidR="000113AC" w:rsidRPr="004E0B8F" w:rsidRDefault="000113AC" w:rsidP="000113AC">
      <w:pPr>
        <w:pStyle w:val="Default"/>
        <w:ind w:left="708" w:hanging="708"/>
        <w:jc w:val="both"/>
        <w:rPr>
          <w:sz w:val="22"/>
          <w:szCs w:val="22"/>
        </w:rPr>
      </w:pPr>
      <w:r w:rsidRPr="004E0B8F">
        <w:rPr>
          <w:b/>
          <w:sz w:val="22"/>
          <w:szCs w:val="22"/>
        </w:rPr>
        <w:t xml:space="preserve">Que, </w:t>
      </w:r>
      <w:r w:rsidRPr="004E0B8F">
        <w:rPr>
          <w:sz w:val="22"/>
          <w:szCs w:val="22"/>
        </w:rPr>
        <w:tab/>
        <w:t>la Comisión de Uso de Su</w:t>
      </w:r>
      <w:r w:rsidR="00C31F94" w:rsidRPr="004E0B8F">
        <w:rPr>
          <w:sz w:val="22"/>
          <w:szCs w:val="22"/>
        </w:rPr>
        <w:t xml:space="preserve">elo en sesión ordinaria Nro. </w:t>
      </w:r>
      <w:r w:rsidR="003B1120" w:rsidRPr="004E0B8F">
        <w:rPr>
          <w:sz w:val="22"/>
          <w:szCs w:val="22"/>
        </w:rPr>
        <w:t>126</w:t>
      </w:r>
      <w:r w:rsidRPr="004E0B8F">
        <w:rPr>
          <w:sz w:val="22"/>
          <w:szCs w:val="22"/>
        </w:rPr>
        <w:t xml:space="preserve">, de </w:t>
      </w:r>
      <w:r w:rsidR="003B1120" w:rsidRPr="004E0B8F">
        <w:rPr>
          <w:sz w:val="22"/>
          <w:szCs w:val="22"/>
        </w:rPr>
        <w:t xml:space="preserve">03 </w:t>
      </w:r>
      <w:r w:rsidRPr="004E0B8F">
        <w:rPr>
          <w:sz w:val="22"/>
          <w:szCs w:val="22"/>
        </w:rPr>
        <w:t xml:space="preserve">de </w:t>
      </w:r>
      <w:r w:rsidR="00462FAA" w:rsidRPr="004E0B8F">
        <w:rPr>
          <w:sz w:val="22"/>
          <w:szCs w:val="22"/>
        </w:rPr>
        <w:t xml:space="preserve">enero </w:t>
      </w:r>
      <w:r w:rsidR="00061B14" w:rsidRPr="004E0B8F">
        <w:rPr>
          <w:sz w:val="22"/>
          <w:szCs w:val="22"/>
        </w:rPr>
        <w:t>de 2022</w:t>
      </w:r>
      <w:r w:rsidRPr="004E0B8F">
        <w:rPr>
          <w:sz w:val="22"/>
          <w:szCs w:val="22"/>
        </w:rPr>
        <w:t>, analizó los informes técnicos y legale</w:t>
      </w:r>
      <w:r w:rsidR="009D1665" w:rsidRPr="004E0B8F">
        <w:rPr>
          <w:sz w:val="22"/>
          <w:szCs w:val="22"/>
        </w:rPr>
        <w:t>s, que reposan en el expediente</w:t>
      </w:r>
      <w:r w:rsidRPr="004E0B8F">
        <w:rPr>
          <w:sz w:val="22"/>
          <w:szCs w:val="22"/>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4E0B8F">
        <w:rPr>
          <w:sz w:val="22"/>
          <w:szCs w:val="22"/>
        </w:rPr>
        <w:t>i</w:t>
      </w:r>
      <w:r w:rsidR="00E0537E" w:rsidRPr="004E0B8F">
        <w:rPr>
          <w:sz w:val="22"/>
          <w:szCs w:val="22"/>
        </w:rPr>
        <w:t xml:space="preserve">ón a las condiciones generales. </w:t>
      </w:r>
      <w:r w:rsidRPr="004E0B8F">
        <w:rPr>
          <w:sz w:val="22"/>
          <w:szCs w:val="22"/>
        </w:rPr>
        <w:t xml:space="preserve"> </w:t>
      </w:r>
    </w:p>
    <w:p w:rsidR="000113AC" w:rsidRPr="004E0B8F"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4E0B8F">
        <w:rPr>
          <w:rFonts w:ascii="Palatino Linotype" w:eastAsiaTheme="minorHAnsi" w:hAnsi="Palatino Linotype"/>
          <w:sz w:val="22"/>
          <w:szCs w:val="22"/>
          <w:lang w:eastAsia="en-US"/>
        </w:rPr>
        <w:t xml:space="preserve">Que, </w:t>
      </w:r>
      <w:r w:rsidRPr="004E0B8F">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sidRPr="004E0B8F">
        <w:rPr>
          <w:rFonts w:ascii="Palatino Linotype" w:eastAsiaTheme="minorHAnsi" w:hAnsi="Palatino Linotype"/>
          <w:sz w:val="22"/>
          <w:szCs w:val="22"/>
          <w:lang w:eastAsia="en-US"/>
        </w:rPr>
        <w:t>2</w:t>
      </w:r>
      <w:r w:rsidR="007A32EC" w:rsidRPr="004E0B8F">
        <w:rPr>
          <w:rFonts w:ascii="Palatino Linotype" w:eastAsiaTheme="minorHAnsi" w:hAnsi="Palatino Linotype"/>
          <w:sz w:val="22"/>
          <w:szCs w:val="22"/>
          <w:lang w:eastAsia="en-US"/>
        </w:rPr>
        <w:t>-</w:t>
      </w:r>
      <w:r w:rsidR="000D74D6" w:rsidRPr="004E0B8F">
        <w:rPr>
          <w:rFonts w:ascii="Palatino Linotype" w:eastAsiaTheme="minorHAnsi" w:hAnsi="Palatino Linotype"/>
          <w:sz w:val="22"/>
          <w:szCs w:val="22"/>
          <w:lang w:eastAsia="en-US"/>
        </w:rPr>
        <w:t>009</w:t>
      </w:r>
      <w:r w:rsidRPr="004E0B8F">
        <w:rPr>
          <w:rFonts w:ascii="Palatino Linotype" w:eastAsiaTheme="minorHAnsi" w:hAnsi="Palatino Linotype"/>
          <w:sz w:val="22"/>
          <w:szCs w:val="22"/>
          <w:lang w:eastAsia="en-US"/>
        </w:rPr>
        <w:t xml:space="preserve">, emitido por la Comisión de Uso de Suelo; </w:t>
      </w:r>
    </w:p>
    <w:p w:rsidR="000113AC" w:rsidRPr="004E0B8F"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4E0B8F">
        <w:rPr>
          <w:rFonts w:ascii="Palatino Linotype" w:eastAsiaTheme="minorHAnsi" w:hAnsi="Palatino Linotype"/>
          <w:b/>
          <w:bCs/>
          <w:sz w:val="22"/>
          <w:szCs w:val="22"/>
          <w:lang w:eastAsia="en-US"/>
        </w:rPr>
        <w:lastRenderedPageBreak/>
        <w:t xml:space="preserve">En ejercicio de las atribuciones previstas en el artículo 240 de la Constitución de la República; y artículos 87 literal a) y 323 del Código Orgánico de Organización Territorial, Autonomía y Descentralización. </w:t>
      </w:r>
    </w:p>
    <w:p w:rsidR="000113AC" w:rsidRPr="004E0B8F"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4E0B8F"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4E0B8F">
        <w:rPr>
          <w:rFonts w:ascii="Palatino Linotype" w:eastAsiaTheme="minorHAnsi" w:hAnsi="Palatino Linotype"/>
          <w:b/>
          <w:bCs/>
          <w:sz w:val="22"/>
          <w:szCs w:val="22"/>
          <w:lang w:eastAsia="en-US"/>
        </w:rPr>
        <w:t>RESUELVE:</w:t>
      </w:r>
    </w:p>
    <w:p w:rsidR="000113AC" w:rsidRPr="004E0B8F" w:rsidRDefault="000113AC" w:rsidP="000113AC">
      <w:pPr>
        <w:autoSpaceDE w:val="0"/>
        <w:autoSpaceDN w:val="0"/>
        <w:adjustRightInd w:val="0"/>
        <w:spacing w:line="276" w:lineRule="auto"/>
        <w:jc w:val="center"/>
        <w:rPr>
          <w:rFonts w:ascii="Palatino Linotype" w:hAnsi="Palatino Linotype"/>
          <w:sz w:val="22"/>
          <w:szCs w:val="22"/>
        </w:rPr>
      </w:pPr>
    </w:p>
    <w:p w:rsidR="000113AC" w:rsidRPr="004E0B8F"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Artículo 1.-</w:t>
      </w:r>
      <w:r w:rsidRPr="004E0B8F">
        <w:rPr>
          <w:rFonts w:ascii="Palatino Linotype" w:eastAsiaTheme="minorHAnsi" w:hAnsi="Palatino Linotype"/>
          <w:sz w:val="22"/>
          <w:szCs w:val="22"/>
          <w:lang w:eastAsia="en-US"/>
        </w:rPr>
        <w:t xml:space="preserve"> Acoger el informe Nr</w:t>
      </w:r>
      <w:r w:rsidR="00061B14" w:rsidRPr="004E0B8F">
        <w:rPr>
          <w:rFonts w:ascii="Palatino Linotype" w:eastAsiaTheme="minorHAnsi" w:hAnsi="Palatino Linotype"/>
          <w:sz w:val="22"/>
          <w:szCs w:val="22"/>
          <w:lang w:eastAsia="en-US"/>
        </w:rPr>
        <w:t>o. IC-CUS-2022</w:t>
      </w:r>
      <w:r w:rsidRPr="004E0B8F">
        <w:rPr>
          <w:rFonts w:ascii="Palatino Linotype" w:eastAsiaTheme="minorHAnsi" w:hAnsi="Palatino Linotype"/>
          <w:sz w:val="22"/>
          <w:szCs w:val="22"/>
          <w:lang w:eastAsia="en-US"/>
        </w:rPr>
        <w:t>-</w:t>
      </w:r>
      <w:r w:rsidR="00252214" w:rsidRPr="004E0B8F">
        <w:rPr>
          <w:rFonts w:ascii="Palatino Linotype" w:eastAsiaTheme="minorHAnsi" w:hAnsi="Palatino Linotype"/>
          <w:sz w:val="22"/>
          <w:szCs w:val="22"/>
          <w:lang w:eastAsia="en-US"/>
        </w:rPr>
        <w:t>009</w:t>
      </w:r>
      <w:r w:rsidRPr="004E0B8F">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4E0B8F">
        <w:rPr>
          <w:rFonts w:ascii="Palatino Linotype" w:eastAsiaTheme="minorHAnsi" w:hAnsi="Palatino Linotype"/>
          <w:sz w:val="22"/>
          <w:szCs w:val="22"/>
          <w:lang w:eastAsia="en-US"/>
        </w:rPr>
        <w:t xml:space="preserve">n a las condiciones generales. </w:t>
      </w:r>
    </w:p>
    <w:p w:rsidR="000113AC" w:rsidRPr="004E0B8F"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4E0B8F">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456158" w:rsidRPr="004E0B8F">
        <w:rPr>
          <w:rFonts w:ascii="Palatino Linotype" w:hAnsi="Palatino Linotype"/>
          <w:color w:val="000000" w:themeColor="text1"/>
          <w:sz w:val="22"/>
          <w:szCs w:val="22"/>
        </w:rPr>
        <w:t>el Municipio del Distrito Metropolitano de Quito</w:t>
      </w:r>
      <w:r w:rsidRPr="004E0B8F">
        <w:rPr>
          <w:rFonts w:ascii="Palatino Linotype" w:eastAsiaTheme="minorHAnsi" w:hAnsi="Palatino Linotype"/>
          <w:sz w:val="22"/>
          <w:szCs w:val="22"/>
          <w:lang w:eastAsia="en-US"/>
        </w:rPr>
        <w:t xml:space="preserve">, deberá compensar en valor monetario, la contribución del 15% del área útil adjudicada, que, de acuerdo al cálculo realizado por la Administración Zonal, corresponde al valor </w:t>
      </w:r>
      <w:r w:rsidR="00292297" w:rsidRPr="004E0B8F">
        <w:rPr>
          <w:rFonts w:ascii="Palatino Linotype" w:hAnsi="Palatino Linotype"/>
          <w:i/>
          <w:sz w:val="22"/>
          <w:szCs w:val="22"/>
        </w:rPr>
        <w:t xml:space="preserve">de </w:t>
      </w:r>
      <w:r w:rsidR="00B9718E" w:rsidRPr="004E0B8F">
        <w:rPr>
          <w:rFonts w:ascii="Palatino Linotype" w:hAnsi="Palatino Linotype"/>
          <w:sz w:val="22"/>
          <w:szCs w:val="22"/>
        </w:rPr>
        <w:t xml:space="preserve">USD 43,20 dólares. </w:t>
      </w:r>
    </w:p>
    <w:p w:rsidR="000113AC" w:rsidRPr="004E0B8F"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 xml:space="preserve">Artículo 2.- </w:t>
      </w:r>
      <w:r w:rsidRPr="004E0B8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4E0B8F"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4E0B8F"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4E0B8F">
        <w:rPr>
          <w:rFonts w:ascii="Palatino Linotype" w:eastAsiaTheme="minorHAnsi" w:hAnsi="Palatino Linotype"/>
          <w:b/>
          <w:sz w:val="22"/>
          <w:szCs w:val="22"/>
          <w:lang w:eastAsia="en-US"/>
        </w:rPr>
        <w:t>Disposición Final.-</w:t>
      </w:r>
      <w:r w:rsidRPr="004E0B8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4E0B8F"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4E0B8F" w:rsidRDefault="000113AC" w:rsidP="000113AC">
      <w:pPr>
        <w:spacing w:line="276" w:lineRule="auto"/>
        <w:ind w:left="-5"/>
        <w:jc w:val="both"/>
        <w:rPr>
          <w:rFonts w:ascii="Palatino Linotype" w:hAnsi="Palatino Linotype"/>
          <w:sz w:val="22"/>
          <w:szCs w:val="22"/>
        </w:rPr>
      </w:pPr>
      <w:r w:rsidRPr="004E0B8F">
        <w:rPr>
          <w:rFonts w:ascii="Palatino Linotype" w:hAnsi="Palatino Linotype"/>
          <w:sz w:val="22"/>
          <w:szCs w:val="22"/>
        </w:rPr>
        <w:t xml:space="preserve">Dada en la sesión del Concejo Metropolitano de Quito, el ……….. </w:t>
      </w:r>
    </w:p>
    <w:p w:rsidR="000113AC" w:rsidRPr="004E0B8F" w:rsidRDefault="000113AC" w:rsidP="000113AC">
      <w:pPr>
        <w:spacing w:line="276" w:lineRule="auto"/>
        <w:ind w:left="-5"/>
        <w:jc w:val="both"/>
        <w:rPr>
          <w:rFonts w:ascii="Palatino Linotype" w:hAnsi="Palatino Linotype"/>
          <w:sz w:val="22"/>
          <w:szCs w:val="22"/>
        </w:rPr>
      </w:pPr>
    </w:p>
    <w:p w:rsidR="000113AC" w:rsidRPr="004E0B8F" w:rsidRDefault="000113AC" w:rsidP="000113AC">
      <w:pPr>
        <w:spacing w:line="276" w:lineRule="auto"/>
        <w:ind w:left="-5" w:right="-143"/>
        <w:jc w:val="both"/>
        <w:rPr>
          <w:rFonts w:ascii="Palatino Linotype" w:hAnsi="Palatino Linotype"/>
          <w:sz w:val="22"/>
          <w:szCs w:val="22"/>
        </w:rPr>
      </w:pPr>
      <w:r w:rsidRPr="004E0B8F">
        <w:rPr>
          <w:rFonts w:ascii="Palatino Linotype" w:hAnsi="Palatino Linotype"/>
          <w:b/>
          <w:sz w:val="22"/>
          <w:szCs w:val="22"/>
        </w:rPr>
        <w:t xml:space="preserve">Alcaldía del Distrito Metropolitano. - </w:t>
      </w:r>
      <w:r w:rsidRPr="004E0B8F">
        <w:rPr>
          <w:rFonts w:ascii="Palatino Linotype" w:hAnsi="Palatino Linotype"/>
          <w:sz w:val="22"/>
          <w:szCs w:val="22"/>
        </w:rPr>
        <w:t>Distrito Metropolitano de Quito, ………..</w:t>
      </w:r>
    </w:p>
    <w:p w:rsidR="000113AC" w:rsidRPr="004E0B8F" w:rsidRDefault="000113AC" w:rsidP="000113AC">
      <w:pPr>
        <w:spacing w:line="276" w:lineRule="auto"/>
        <w:jc w:val="both"/>
        <w:rPr>
          <w:rFonts w:ascii="Palatino Linotype" w:hAnsi="Palatino Linotype"/>
          <w:sz w:val="22"/>
          <w:szCs w:val="22"/>
        </w:rPr>
      </w:pPr>
    </w:p>
    <w:p w:rsidR="000113AC" w:rsidRPr="004E0B8F" w:rsidRDefault="000113AC" w:rsidP="000113AC">
      <w:pPr>
        <w:spacing w:line="276" w:lineRule="auto"/>
        <w:jc w:val="center"/>
        <w:rPr>
          <w:rFonts w:ascii="Palatino Linotype" w:hAnsi="Palatino Linotype"/>
          <w:sz w:val="22"/>
          <w:szCs w:val="22"/>
        </w:rPr>
      </w:pPr>
      <w:r w:rsidRPr="004E0B8F">
        <w:rPr>
          <w:rFonts w:ascii="Palatino Linotype" w:hAnsi="Palatino Linotype"/>
          <w:b/>
          <w:sz w:val="22"/>
          <w:szCs w:val="22"/>
        </w:rPr>
        <w:t>EJECÚTESE:</w:t>
      </w:r>
    </w:p>
    <w:p w:rsidR="000113AC" w:rsidRPr="004E0B8F" w:rsidRDefault="000113AC" w:rsidP="000113AC">
      <w:pPr>
        <w:spacing w:line="276" w:lineRule="auto"/>
        <w:ind w:left="51"/>
        <w:jc w:val="center"/>
        <w:rPr>
          <w:rFonts w:ascii="Palatino Linotype" w:hAnsi="Palatino Linotype"/>
          <w:sz w:val="22"/>
          <w:szCs w:val="22"/>
        </w:rPr>
      </w:pPr>
    </w:p>
    <w:p w:rsidR="000113AC" w:rsidRPr="004E0B8F" w:rsidRDefault="000113AC" w:rsidP="000113AC">
      <w:pPr>
        <w:spacing w:line="276" w:lineRule="auto"/>
        <w:ind w:left="51"/>
        <w:jc w:val="center"/>
        <w:rPr>
          <w:rFonts w:ascii="Palatino Linotype" w:hAnsi="Palatino Linotype"/>
          <w:sz w:val="22"/>
          <w:szCs w:val="22"/>
        </w:rPr>
      </w:pPr>
    </w:p>
    <w:p w:rsidR="000113AC" w:rsidRPr="004E0B8F" w:rsidRDefault="000113AC" w:rsidP="000113AC">
      <w:pPr>
        <w:spacing w:line="276" w:lineRule="auto"/>
        <w:ind w:left="51"/>
        <w:jc w:val="center"/>
        <w:rPr>
          <w:rFonts w:ascii="Palatino Linotype" w:hAnsi="Palatino Linotype"/>
          <w:sz w:val="22"/>
          <w:szCs w:val="22"/>
        </w:rPr>
      </w:pPr>
    </w:p>
    <w:p w:rsidR="000113AC" w:rsidRPr="004E0B8F" w:rsidRDefault="000113AC" w:rsidP="000113AC">
      <w:pPr>
        <w:spacing w:line="276" w:lineRule="auto"/>
        <w:ind w:left="51"/>
        <w:jc w:val="center"/>
        <w:rPr>
          <w:rFonts w:ascii="Palatino Linotype" w:hAnsi="Palatino Linotype"/>
          <w:sz w:val="22"/>
          <w:szCs w:val="22"/>
        </w:rPr>
      </w:pPr>
      <w:r w:rsidRPr="004E0B8F">
        <w:rPr>
          <w:rFonts w:ascii="Palatino Linotype" w:hAnsi="Palatino Linotype"/>
          <w:sz w:val="22"/>
          <w:szCs w:val="22"/>
        </w:rPr>
        <w:t>Dr. Santiago Guarderas Izquierdo</w:t>
      </w:r>
    </w:p>
    <w:p w:rsidR="000113AC" w:rsidRPr="004E0B8F"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4E0B8F">
        <w:rPr>
          <w:rFonts w:ascii="Palatino Linotype" w:eastAsia="Palatino Linotype" w:hAnsi="Palatino Linotype" w:cs="Palatino Linotype"/>
          <w:b/>
          <w:color w:val="000000"/>
          <w:sz w:val="22"/>
          <w:szCs w:val="22"/>
          <w:lang w:eastAsia="es-EC"/>
        </w:rPr>
        <w:t>ALCALDE DEL DISTRITO METROPOLITANO DE QUITO</w:t>
      </w:r>
    </w:p>
    <w:p w:rsidR="000113AC" w:rsidRPr="004E0B8F" w:rsidRDefault="000113AC" w:rsidP="000113AC">
      <w:pPr>
        <w:spacing w:line="276" w:lineRule="auto"/>
        <w:jc w:val="center"/>
        <w:rPr>
          <w:rFonts w:ascii="Palatino Linotype" w:hAnsi="Palatino Linotype"/>
          <w:sz w:val="22"/>
          <w:szCs w:val="22"/>
        </w:rPr>
      </w:pPr>
    </w:p>
    <w:p w:rsidR="000113AC" w:rsidRPr="004E0B8F" w:rsidRDefault="000113AC" w:rsidP="000113AC">
      <w:pPr>
        <w:spacing w:line="276" w:lineRule="auto"/>
        <w:ind w:left="-5"/>
        <w:jc w:val="both"/>
        <w:rPr>
          <w:rFonts w:ascii="Palatino Linotype" w:hAnsi="Palatino Linotype"/>
          <w:sz w:val="22"/>
          <w:szCs w:val="22"/>
        </w:rPr>
      </w:pPr>
      <w:r w:rsidRPr="004E0B8F">
        <w:rPr>
          <w:rFonts w:ascii="Palatino Linotype" w:hAnsi="Palatino Linotype"/>
          <w:b/>
          <w:sz w:val="22"/>
          <w:szCs w:val="22"/>
        </w:rPr>
        <w:lastRenderedPageBreak/>
        <w:t>CERTIFICO,</w:t>
      </w:r>
      <w:r w:rsidRPr="004E0B8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4E0B8F" w:rsidRDefault="000113AC" w:rsidP="000113AC">
      <w:pPr>
        <w:spacing w:line="276" w:lineRule="auto"/>
        <w:jc w:val="both"/>
        <w:rPr>
          <w:rFonts w:ascii="Palatino Linotype" w:hAnsi="Palatino Linotype"/>
          <w:sz w:val="22"/>
          <w:szCs w:val="22"/>
        </w:rPr>
      </w:pPr>
      <w:r w:rsidRPr="004E0B8F">
        <w:rPr>
          <w:rFonts w:ascii="Palatino Linotype" w:hAnsi="Palatino Linotype"/>
          <w:b/>
          <w:sz w:val="22"/>
          <w:szCs w:val="22"/>
        </w:rPr>
        <w:t xml:space="preserve"> </w:t>
      </w:r>
    </w:p>
    <w:p w:rsidR="000113AC" w:rsidRPr="004E0B8F" w:rsidRDefault="000113AC" w:rsidP="000113AC">
      <w:pPr>
        <w:spacing w:line="276" w:lineRule="auto"/>
        <w:ind w:left="-5"/>
        <w:jc w:val="both"/>
        <w:rPr>
          <w:rFonts w:ascii="Palatino Linotype" w:hAnsi="Palatino Linotype"/>
          <w:sz w:val="22"/>
          <w:szCs w:val="22"/>
          <w:highlight w:val="yellow"/>
        </w:rPr>
      </w:pPr>
      <w:r w:rsidRPr="004E0B8F">
        <w:rPr>
          <w:rFonts w:ascii="Palatino Linotype" w:hAnsi="Palatino Linotype"/>
          <w:b/>
          <w:sz w:val="22"/>
          <w:szCs w:val="22"/>
        </w:rPr>
        <w:t xml:space="preserve">Lo certifico. - </w:t>
      </w:r>
      <w:r w:rsidR="00754E1F" w:rsidRPr="004E0B8F">
        <w:rPr>
          <w:rFonts w:ascii="Palatino Linotype" w:hAnsi="Palatino Linotype"/>
          <w:sz w:val="22"/>
          <w:szCs w:val="22"/>
        </w:rPr>
        <w:t>Distrito Metropolitano de Quito</w:t>
      </w:r>
      <w:r w:rsidRPr="004E0B8F">
        <w:rPr>
          <w:rFonts w:ascii="Palatino Linotype" w:hAnsi="Palatino Linotype"/>
          <w:sz w:val="22"/>
          <w:szCs w:val="22"/>
        </w:rPr>
        <w:t xml:space="preserve">. </w:t>
      </w:r>
    </w:p>
    <w:p w:rsidR="000113AC" w:rsidRPr="004E0B8F" w:rsidRDefault="000113AC" w:rsidP="000113AC">
      <w:pPr>
        <w:spacing w:line="276" w:lineRule="auto"/>
        <w:jc w:val="both"/>
        <w:rPr>
          <w:rFonts w:ascii="Palatino Linotype" w:hAnsi="Palatino Linotype"/>
          <w:sz w:val="22"/>
          <w:szCs w:val="22"/>
          <w:highlight w:val="yellow"/>
        </w:rPr>
      </w:pPr>
      <w:r w:rsidRPr="004E0B8F">
        <w:rPr>
          <w:rFonts w:ascii="Palatino Linotype" w:hAnsi="Palatino Linotype"/>
          <w:sz w:val="22"/>
          <w:szCs w:val="22"/>
          <w:highlight w:val="yellow"/>
        </w:rPr>
        <w:t xml:space="preserve"> </w:t>
      </w:r>
    </w:p>
    <w:p w:rsidR="000113AC" w:rsidRPr="004E0B8F" w:rsidRDefault="000113AC" w:rsidP="000113AC">
      <w:pPr>
        <w:spacing w:line="276" w:lineRule="auto"/>
        <w:jc w:val="both"/>
        <w:rPr>
          <w:rFonts w:ascii="Palatino Linotype" w:hAnsi="Palatino Linotype"/>
          <w:sz w:val="22"/>
          <w:szCs w:val="22"/>
          <w:highlight w:val="yellow"/>
        </w:rPr>
      </w:pPr>
    </w:p>
    <w:p w:rsidR="000113AC" w:rsidRPr="004E0B8F" w:rsidRDefault="000113AC" w:rsidP="000113AC">
      <w:pPr>
        <w:spacing w:line="276" w:lineRule="auto"/>
        <w:jc w:val="both"/>
        <w:rPr>
          <w:rFonts w:ascii="Palatino Linotype" w:hAnsi="Palatino Linotype"/>
          <w:sz w:val="22"/>
          <w:szCs w:val="22"/>
          <w:highlight w:val="yellow"/>
        </w:rPr>
      </w:pPr>
      <w:r w:rsidRPr="004E0B8F">
        <w:rPr>
          <w:rFonts w:ascii="Palatino Linotype" w:hAnsi="Palatino Linotype"/>
          <w:sz w:val="22"/>
          <w:szCs w:val="22"/>
          <w:highlight w:val="yellow"/>
        </w:rPr>
        <w:t xml:space="preserve"> </w:t>
      </w:r>
    </w:p>
    <w:p w:rsidR="000113AC" w:rsidRPr="004E0B8F" w:rsidRDefault="000113AC" w:rsidP="000113AC">
      <w:pPr>
        <w:spacing w:line="276" w:lineRule="auto"/>
        <w:jc w:val="both"/>
        <w:rPr>
          <w:rFonts w:ascii="Palatino Linotype" w:hAnsi="Palatino Linotype"/>
          <w:sz w:val="22"/>
          <w:szCs w:val="22"/>
          <w:highlight w:val="yellow"/>
        </w:rPr>
      </w:pPr>
      <w:r w:rsidRPr="004E0B8F">
        <w:rPr>
          <w:rFonts w:ascii="Palatino Linotype" w:hAnsi="Palatino Linotype"/>
          <w:sz w:val="22"/>
          <w:szCs w:val="22"/>
          <w:highlight w:val="yellow"/>
        </w:rPr>
        <w:t xml:space="preserve"> </w:t>
      </w:r>
    </w:p>
    <w:p w:rsidR="000113AC" w:rsidRPr="004E0B8F" w:rsidRDefault="000113AC" w:rsidP="000113AC">
      <w:pPr>
        <w:spacing w:line="276" w:lineRule="auto"/>
        <w:jc w:val="center"/>
        <w:rPr>
          <w:rFonts w:ascii="Palatino Linotype" w:hAnsi="Palatino Linotype"/>
          <w:sz w:val="22"/>
          <w:szCs w:val="22"/>
        </w:rPr>
      </w:pPr>
      <w:r w:rsidRPr="004E0B8F">
        <w:rPr>
          <w:rFonts w:ascii="Palatino Linotype" w:hAnsi="Palatino Linotype"/>
          <w:sz w:val="22"/>
          <w:szCs w:val="22"/>
        </w:rPr>
        <w:t>Abg. Pablo Santillán Paredes</w:t>
      </w:r>
    </w:p>
    <w:p w:rsidR="000113AC" w:rsidRPr="004E0B8F" w:rsidRDefault="000113AC" w:rsidP="000113AC">
      <w:pPr>
        <w:spacing w:line="276" w:lineRule="auto"/>
        <w:jc w:val="center"/>
        <w:rPr>
          <w:rFonts w:ascii="Palatino Linotype" w:eastAsia="Calibri" w:hAnsi="Palatino Linotype"/>
          <w:b/>
          <w:sz w:val="22"/>
          <w:szCs w:val="22"/>
          <w:lang w:eastAsia="en-US"/>
        </w:rPr>
      </w:pPr>
      <w:r w:rsidRPr="004E0B8F">
        <w:rPr>
          <w:rFonts w:ascii="Palatino Linotype" w:eastAsia="Calibri" w:hAnsi="Palatino Linotype"/>
          <w:b/>
          <w:sz w:val="22"/>
          <w:szCs w:val="22"/>
          <w:lang w:eastAsia="en-US"/>
        </w:rPr>
        <w:t>SECRETARIO GENERAL DEL CONCEJO METROPOLITANO DE QUITO</w:t>
      </w:r>
    </w:p>
    <w:p w:rsidR="000113AC" w:rsidRPr="004E0B8F" w:rsidRDefault="000113AC" w:rsidP="000113AC">
      <w:pPr>
        <w:pStyle w:val="Sinespaciado"/>
        <w:jc w:val="center"/>
        <w:rPr>
          <w:rFonts w:ascii="Palatino Linotype" w:hAnsi="Palatino Linotype"/>
          <w:b/>
          <w:sz w:val="22"/>
          <w:szCs w:val="22"/>
        </w:rPr>
      </w:pPr>
    </w:p>
    <w:p w:rsidR="000113AC" w:rsidRPr="004E0B8F" w:rsidRDefault="000113AC" w:rsidP="000113AC">
      <w:pPr>
        <w:rPr>
          <w:rFonts w:ascii="Palatino Linotype" w:hAnsi="Palatino Linotype"/>
          <w:sz w:val="22"/>
          <w:szCs w:val="22"/>
        </w:rPr>
      </w:pPr>
    </w:p>
    <w:p w:rsidR="000113AC" w:rsidRPr="004E0B8F" w:rsidRDefault="000113AC" w:rsidP="000113AC">
      <w:pPr>
        <w:rPr>
          <w:rFonts w:ascii="Palatino Linotype" w:hAnsi="Palatino Linotype"/>
          <w:sz w:val="22"/>
          <w:szCs w:val="22"/>
        </w:rPr>
      </w:pPr>
    </w:p>
    <w:bookmarkEnd w:id="0"/>
    <w:p w:rsidR="00A70E2E" w:rsidRPr="004E0B8F" w:rsidRDefault="00A70E2E">
      <w:pPr>
        <w:rPr>
          <w:rFonts w:ascii="Palatino Linotype" w:hAnsi="Palatino Linotype"/>
          <w:sz w:val="22"/>
          <w:szCs w:val="22"/>
        </w:rPr>
      </w:pPr>
    </w:p>
    <w:sectPr w:rsidR="00A70E2E" w:rsidRPr="004E0B8F"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F6" w:rsidRDefault="00D01DF6">
      <w:r>
        <w:separator/>
      </w:r>
    </w:p>
  </w:endnote>
  <w:endnote w:type="continuationSeparator" w:id="0">
    <w:p w:rsidR="00D01DF6" w:rsidRDefault="00D0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4E0B8F">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4E0B8F">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D01DF6">
            <w:pPr>
              <w:pStyle w:val="Piedepgina"/>
              <w:jc w:val="right"/>
              <w:rPr>
                <w:rFonts w:ascii="Palatino Linotype" w:hAnsi="Palatino Linotype"/>
                <w:sz w:val="20"/>
                <w:szCs w:val="20"/>
              </w:rPr>
            </w:pPr>
          </w:p>
        </w:sdtContent>
      </w:sdt>
    </w:sdtContent>
  </w:sdt>
  <w:p w:rsidR="005D2467" w:rsidRPr="008479FB" w:rsidRDefault="00D01DF6">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F6" w:rsidRDefault="00D01DF6">
      <w:r>
        <w:separator/>
      </w:r>
    </w:p>
  </w:footnote>
  <w:footnote w:type="continuationSeparator" w:id="0">
    <w:p w:rsidR="00D01DF6" w:rsidRDefault="00D01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D01DF6"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D01DF6"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D01D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113AC"/>
    <w:rsid w:val="000320FA"/>
    <w:rsid w:val="000350C3"/>
    <w:rsid w:val="00061B14"/>
    <w:rsid w:val="000D74D6"/>
    <w:rsid w:val="000F0D3B"/>
    <w:rsid w:val="001203A0"/>
    <w:rsid w:val="00135676"/>
    <w:rsid w:val="00162AB0"/>
    <w:rsid w:val="001745AC"/>
    <w:rsid w:val="00174807"/>
    <w:rsid w:val="00196F84"/>
    <w:rsid w:val="001A37F6"/>
    <w:rsid w:val="001E3ECB"/>
    <w:rsid w:val="001F18A5"/>
    <w:rsid w:val="002442E7"/>
    <w:rsid w:val="00252214"/>
    <w:rsid w:val="00292297"/>
    <w:rsid w:val="002C0724"/>
    <w:rsid w:val="002E3F59"/>
    <w:rsid w:val="003057C1"/>
    <w:rsid w:val="00311483"/>
    <w:rsid w:val="003144EF"/>
    <w:rsid w:val="00372B0E"/>
    <w:rsid w:val="00385ABB"/>
    <w:rsid w:val="003B1120"/>
    <w:rsid w:val="003D00A7"/>
    <w:rsid w:val="00456158"/>
    <w:rsid w:val="00462DF6"/>
    <w:rsid w:val="00462FAA"/>
    <w:rsid w:val="00493A79"/>
    <w:rsid w:val="004948A2"/>
    <w:rsid w:val="0049515C"/>
    <w:rsid w:val="004E0B8F"/>
    <w:rsid w:val="004E4064"/>
    <w:rsid w:val="004F29ED"/>
    <w:rsid w:val="0050436B"/>
    <w:rsid w:val="005168D0"/>
    <w:rsid w:val="005839EA"/>
    <w:rsid w:val="005A184C"/>
    <w:rsid w:val="005C1350"/>
    <w:rsid w:val="005D7A61"/>
    <w:rsid w:val="005F4329"/>
    <w:rsid w:val="0060538D"/>
    <w:rsid w:val="00606CEF"/>
    <w:rsid w:val="00626F33"/>
    <w:rsid w:val="006273BD"/>
    <w:rsid w:val="00630C41"/>
    <w:rsid w:val="00635D5D"/>
    <w:rsid w:val="006378A2"/>
    <w:rsid w:val="00656876"/>
    <w:rsid w:val="006767EB"/>
    <w:rsid w:val="00694D54"/>
    <w:rsid w:val="006B5C6A"/>
    <w:rsid w:val="006F2BAD"/>
    <w:rsid w:val="00704417"/>
    <w:rsid w:val="00722F25"/>
    <w:rsid w:val="00754E1F"/>
    <w:rsid w:val="00757FA6"/>
    <w:rsid w:val="007854B8"/>
    <w:rsid w:val="007A32EC"/>
    <w:rsid w:val="007A5150"/>
    <w:rsid w:val="0085024D"/>
    <w:rsid w:val="008532E8"/>
    <w:rsid w:val="008A28F7"/>
    <w:rsid w:val="00902F65"/>
    <w:rsid w:val="009061F9"/>
    <w:rsid w:val="009441E9"/>
    <w:rsid w:val="00944C99"/>
    <w:rsid w:val="00971DAC"/>
    <w:rsid w:val="009906BE"/>
    <w:rsid w:val="009C51D6"/>
    <w:rsid w:val="009C7AA1"/>
    <w:rsid w:val="009D1665"/>
    <w:rsid w:val="009D3508"/>
    <w:rsid w:val="00A11D7F"/>
    <w:rsid w:val="00A37080"/>
    <w:rsid w:val="00A43B85"/>
    <w:rsid w:val="00A53CCA"/>
    <w:rsid w:val="00A666D4"/>
    <w:rsid w:val="00A70E2E"/>
    <w:rsid w:val="00AC0705"/>
    <w:rsid w:val="00AD76F0"/>
    <w:rsid w:val="00AD7AF2"/>
    <w:rsid w:val="00AF1FF5"/>
    <w:rsid w:val="00B456A6"/>
    <w:rsid w:val="00B52FC7"/>
    <w:rsid w:val="00B64C26"/>
    <w:rsid w:val="00B9427A"/>
    <w:rsid w:val="00B9718E"/>
    <w:rsid w:val="00BD7FCB"/>
    <w:rsid w:val="00C167C7"/>
    <w:rsid w:val="00C31F94"/>
    <w:rsid w:val="00C37F48"/>
    <w:rsid w:val="00C45A11"/>
    <w:rsid w:val="00C55EC2"/>
    <w:rsid w:val="00C70B8C"/>
    <w:rsid w:val="00CC6BBC"/>
    <w:rsid w:val="00CD56D1"/>
    <w:rsid w:val="00CF561D"/>
    <w:rsid w:val="00D01DF6"/>
    <w:rsid w:val="00D24C41"/>
    <w:rsid w:val="00D3132D"/>
    <w:rsid w:val="00D50F32"/>
    <w:rsid w:val="00D834DC"/>
    <w:rsid w:val="00D90E77"/>
    <w:rsid w:val="00DA6F40"/>
    <w:rsid w:val="00DC7143"/>
    <w:rsid w:val="00DF169C"/>
    <w:rsid w:val="00DF190B"/>
    <w:rsid w:val="00E0537E"/>
    <w:rsid w:val="00E31911"/>
    <w:rsid w:val="00E661F9"/>
    <w:rsid w:val="00E969BE"/>
    <w:rsid w:val="00EA3F70"/>
    <w:rsid w:val="00EB28B4"/>
    <w:rsid w:val="00ED0FE0"/>
    <w:rsid w:val="00F1475B"/>
    <w:rsid w:val="00F23370"/>
    <w:rsid w:val="00F57398"/>
    <w:rsid w:val="00F66680"/>
    <w:rsid w:val="00F70463"/>
    <w:rsid w:val="00F776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537D"/>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2699</Words>
  <Characters>14847</Characters>
  <Application>Microsoft Office Word</Application>
  <DocSecurity>0</DocSecurity>
  <Lines>123</Lines>
  <Paragraphs>35</Paragraphs>
  <ScaleCrop>false</ScaleCrop>
  <Company>HP Inc.</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234</cp:revision>
  <dcterms:created xsi:type="dcterms:W3CDTF">2022-08-17T20:37:00Z</dcterms:created>
  <dcterms:modified xsi:type="dcterms:W3CDTF">2022-09-06T15:33:00Z</dcterms:modified>
</cp:coreProperties>
</file>