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E75BB9">
        <w:rPr>
          <w:rFonts w:ascii="Times New Roman" w:hAnsi="Times New Roman" w:cs="Times New Roman"/>
        </w:rPr>
        <w:t>ORDENANZA No.</w:t>
      </w:r>
    </w:p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>respecto de los presupuestos de los gobiernos autónomos descentralizados, en su artículo 255 relacionado con las reformas presupuestarias: “una vez sancionado y aprobado el presupuesto solo podrá ser reformado por alguno de los siguientes medios: traspasos, suplementos y reducciones de créditos. (…)”.</w:t>
      </w:r>
    </w:p>
    <w:p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r w:rsidR="00712D3F">
        <w:rPr>
          <w:rFonts w:ascii="Times New Roman" w:hAnsi="Times New Roman" w:cs="Times New Roman"/>
          <w:b w:val="0"/>
        </w:rPr>
        <w:t xml:space="preserve">Nro. </w:t>
      </w:r>
      <w:r w:rsidR="00712D3F" w:rsidRPr="00712D3F">
        <w:rPr>
          <w:rFonts w:ascii="Times New Roman" w:hAnsi="Times New Roman" w:cs="Times New Roman"/>
          <w:b w:val="0"/>
        </w:rPr>
        <w:t>GADDMQ-AG-2022-0823-O de 31 de julio de 2022</w:t>
      </w:r>
      <w:r w:rsidR="00712D3F">
        <w:rPr>
          <w:rFonts w:ascii="Times New Roman" w:hAnsi="Times New Roman" w:cs="Times New Roman"/>
          <w:b w:val="0"/>
        </w:rPr>
        <w:t xml:space="preserve">, </w:t>
      </w:r>
      <w:r w:rsidRPr="00E75BB9">
        <w:rPr>
          <w:rFonts w:ascii="Times New Roman" w:hAnsi="Times New Roman" w:cs="Times New Roman"/>
          <w:b w:val="0"/>
        </w:rPr>
        <w:t>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:rsidR="00E77EB8" w:rsidRPr="00E75BB9" w:rsidRDefault="008D54F2" w:rsidP="006E0174">
      <w:pPr>
        <w:pStyle w:val="Ttul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xxxxx y  xxxx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</w:t>
      </w:r>
      <w:r w:rsidR="0066397A">
        <w:rPr>
          <w:rFonts w:ascii="Times New Roman" w:hAnsi="Times New Roman"/>
          <w:sz w:val="24"/>
          <w:szCs w:val="24"/>
          <w:lang w:val="es-ES"/>
        </w:rPr>
        <w:t>6</w:t>
      </w:r>
      <w:r w:rsidR="006E0174">
        <w:rPr>
          <w:rFonts w:ascii="Times New Roman" w:hAnsi="Times New Roman"/>
          <w:sz w:val="24"/>
          <w:szCs w:val="24"/>
          <w:lang w:val="es-ES"/>
        </w:rPr>
        <w:t>-202</w:t>
      </w:r>
      <w:r w:rsidR="0066397A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>, se aprobó el Presupuesto General del Gobierno Autónomo Descentralizado del Distrito Metropolitano de Quito para el ejercicio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;</w:t>
      </w:r>
    </w:p>
    <w:p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el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ipal, determina en su artículo 67,</w:t>
      </w:r>
      <w:r w:rsidR="00E75BB9" w:rsidRPr="00E75BB9">
        <w:rPr>
          <w:sz w:val="24"/>
          <w:szCs w:val="24"/>
        </w:rPr>
        <w:t xml:space="preserve">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oficio </w:t>
      </w:r>
      <w:r w:rsidR="00712D3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Nro. GADDMQ-AG-2022-0823-O de 31 de julio de 2022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66397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el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Administrador General del </w:t>
      </w:r>
      <w:r w:rsidR="00B5147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GAD DMQ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, remit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ió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al</w:t>
      </w:r>
      <w:r w:rsidR="00C87255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doctor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D5495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Santiago</w:t>
      </w:r>
      <w:r w:rsidR="00D5495A">
        <w:rPr>
          <w:rFonts w:ascii="Times New Roman" w:hAnsi="Times New Roman"/>
          <w:sz w:val="24"/>
          <w:szCs w:val="24"/>
        </w:rPr>
        <w:t xml:space="preserve"> Mauricio Guarderas Izquierdo</w:t>
      </w:r>
      <w:r w:rsidR="00417CFF" w:rsidRPr="00E75BB9">
        <w:rPr>
          <w:rFonts w:ascii="Times New Roman" w:hAnsi="Times New Roman"/>
          <w:sz w:val="24"/>
          <w:szCs w:val="24"/>
        </w:rPr>
        <w:t>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>ara el ejercicio económico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6397A">
        <w:rPr>
          <w:b/>
          <w:sz w:val="24"/>
          <w:szCs w:val="24"/>
        </w:rPr>
        <w:t>6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 xml:space="preserve">2021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</w:t>
      </w:r>
      <w:r w:rsidR="0066397A">
        <w:rPr>
          <w:b/>
          <w:sz w:val="24"/>
          <w:szCs w:val="24"/>
        </w:rPr>
        <w:t>1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</w:t>
      </w:r>
      <w:r w:rsidR="0066397A">
        <w:rPr>
          <w:b/>
          <w:sz w:val="24"/>
          <w:szCs w:val="24"/>
        </w:rPr>
        <w:t>2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6397A">
        <w:rPr>
          <w:sz w:val="24"/>
          <w:szCs w:val="24"/>
        </w:rPr>
        <w:t>2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6397A">
        <w:rPr>
          <w:rFonts w:ascii="Times New Roman" w:hAnsi="Times New Roman"/>
          <w:sz w:val="24"/>
          <w:szCs w:val="24"/>
        </w:rPr>
        <w:t>2</w:t>
      </w:r>
      <w:r w:rsidRPr="00E75BB9">
        <w:rPr>
          <w:rFonts w:ascii="Times New Roman" w:hAnsi="Times New Roman"/>
          <w:sz w:val="24"/>
          <w:szCs w:val="24"/>
        </w:rPr>
        <w:t>.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Abg.</w:t>
      </w:r>
      <w:r w:rsidR="00AF65D0">
        <w:rPr>
          <w:rFonts w:ascii="Times New Roman" w:hAnsi="Times New Roman"/>
          <w:sz w:val="24"/>
          <w:szCs w:val="24"/>
        </w:rPr>
        <w:t xml:space="preserve">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  <w:r w:rsidRPr="00E75BB9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E75BB9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75BB9" w:rsidRPr="00E75BB9" w:rsidRDefault="00E75BB9">
      <w:pPr>
        <w:rPr>
          <w:sz w:val="24"/>
          <w:szCs w:val="24"/>
          <w:lang w:val="es-EC"/>
        </w:rPr>
      </w:pPr>
    </w:p>
    <w:p w:rsidR="00502DC1" w:rsidRPr="00E75BB9" w:rsidRDefault="00502DC1">
      <w:pPr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4D" w:rsidRDefault="005E7F4D" w:rsidP="00E75BB9">
      <w:r>
        <w:separator/>
      </w:r>
    </w:p>
  </w:endnote>
  <w:endnote w:type="continuationSeparator" w:id="0">
    <w:p w:rsidR="005E7F4D" w:rsidRDefault="005E7F4D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9740"/>
      <w:docPartObj>
        <w:docPartGallery w:val="Page Numbers (Bottom of Page)"/>
        <w:docPartUnique/>
      </w:docPartObj>
    </w:sdtPr>
    <w:sdtEndPr/>
    <w:sdtContent>
      <w:p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D1">
          <w:rPr>
            <w:noProof/>
          </w:rPr>
          <w:t>1</w:t>
        </w:r>
        <w:r>
          <w:fldChar w:fldCharType="end"/>
        </w:r>
      </w:p>
    </w:sdtContent>
  </w:sdt>
  <w:p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4D" w:rsidRDefault="005E7F4D" w:rsidP="00E75BB9">
      <w:r>
        <w:separator/>
      </w:r>
    </w:p>
  </w:footnote>
  <w:footnote w:type="continuationSeparator" w:id="0">
    <w:p w:rsidR="005E7F4D" w:rsidRDefault="005E7F4D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B40D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B40D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B40D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E58B0"/>
    <w:rsid w:val="001103DC"/>
    <w:rsid w:val="00127AD1"/>
    <w:rsid w:val="001A0EAE"/>
    <w:rsid w:val="001A7C93"/>
    <w:rsid w:val="002071EB"/>
    <w:rsid w:val="003046D1"/>
    <w:rsid w:val="00374D3C"/>
    <w:rsid w:val="003C7AC8"/>
    <w:rsid w:val="00417CFF"/>
    <w:rsid w:val="004515F7"/>
    <w:rsid w:val="00456A30"/>
    <w:rsid w:val="004727CB"/>
    <w:rsid w:val="00481C0A"/>
    <w:rsid w:val="004D79ED"/>
    <w:rsid w:val="00502DC1"/>
    <w:rsid w:val="005960BF"/>
    <w:rsid w:val="005E060F"/>
    <w:rsid w:val="005E7F4D"/>
    <w:rsid w:val="00613E2A"/>
    <w:rsid w:val="00647BD3"/>
    <w:rsid w:val="0066397A"/>
    <w:rsid w:val="006B40D1"/>
    <w:rsid w:val="006E0174"/>
    <w:rsid w:val="006E57DB"/>
    <w:rsid w:val="00712D3F"/>
    <w:rsid w:val="0072252E"/>
    <w:rsid w:val="00726143"/>
    <w:rsid w:val="007747B6"/>
    <w:rsid w:val="007845D8"/>
    <w:rsid w:val="007E0568"/>
    <w:rsid w:val="00867449"/>
    <w:rsid w:val="00882AC6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AF65D0"/>
    <w:rsid w:val="00B45CAF"/>
    <w:rsid w:val="00B51471"/>
    <w:rsid w:val="00B92AE7"/>
    <w:rsid w:val="00B9615A"/>
    <w:rsid w:val="00BA1577"/>
    <w:rsid w:val="00BF1C9D"/>
    <w:rsid w:val="00C240E0"/>
    <w:rsid w:val="00C56CDC"/>
    <w:rsid w:val="00C87255"/>
    <w:rsid w:val="00CD4060"/>
    <w:rsid w:val="00CE3E50"/>
    <w:rsid w:val="00D27CA9"/>
    <w:rsid w:val="00D478BF"/>
    <w:rsid w:val="00D5495A"/>
    <w:rsid w:val="00D92696"/>
    <w:rsid w:val="00DC362E"/>
    <w:rsid w:val="00DE624C"/>
    <w:rsid w:val="00E34490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0125-A381-4612-98CF-DE1BBC6C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Carlos David Moya Cepeda</cp:lastModifiedBy>
  <cp:revision>2</cp:revision>
  <cp:lastPrinted>2019-11-07T13:22:00Z</cp:lastPrinted>
  <dcterms:created xsi:type="dcterms:W3CDTF">2022-08-30T18:36:00Z</dcterms:created>
  <dcterms:modified xsi:type="dcterms:W3CDTF">2022-08-30T18:36:00Z</dcterms:modified>
</cp:coreProperties>
</file>