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3AC" w:rsidRPr="00EC1DB7"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r w:rsidRPr="00EC1DB7">
        <w:rPr>
          <w:rFonts w:ascii="Palatino Linotype" w:eastAsiaTheme="minorHAnsi" w:hAnsi="Palatino Linotype"/>
          <w:b/>
          <w:sz w:val="22"/>
          <w:szCs w:val="22"/>
          <w:lang w:eastAsia="en-US"/>
        </w:rPr>
        <w:t>EL CONCEJO METROPOLITANO DE QUITO</w:t>
      </w:r>
    </w:p>
    <w:p w:rsidR="000113AC" w:rsidRPr="00EC1DB7"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p>
    <w:p w:rsidR="000113AC" w:rsidRPr="00EC1DB7"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r w:rsidRPr="00EC1DB7">
        <w:rPr>
          <w:rFonts w:ascii="Palatino Linotype" w:eastAsiaTheme="minorHAnsi" w:hAnsi="Palatino Linotype"/>
          <w:b/>
          <w:sz w:val="22"/>
          <w:szCs w:val="22"/>
          <w:lang w:eastAsia="en-US"/>
        </w:rPr>
        <w:t>CONSIDERANDO:</w:t>
      </w:r>
    </w:p>
    <w:p w:rsidR="000113AC" w:rsidRPr="00EC1DB7" w:rsidRDefault="000113AC" w:rsidP="000113AC">
      <w:pPr>
        <w:autoSpaceDE w:val="0"/>
        <w:autoSpaceDN w:val="0"/>
        <w:adjustRightInd w:val="0"/>
        <w:ind w:left="705" w:hanging="705"/>
        <w:jc w:val="both"/>
        <w:rPr>
          <w:rFonts w:ascii="Palatino Linotype" w:eastAsiaTheme="minorHAnsi" w:hAnsi="Palatino Linotype"/>
          <w:i/>
          <w:iCs/>
          <w:sz w:val="22"/>
          <w:szCs w:val="22"/>
          <w:lang w:eastAsia="en-US"/>
        </w:rPr>
      </w:pPr>
      <w:r w:rsidRPr="00EC1DB7">
        <w:rPr>
          <w:rFonts w:ascii="Palatino Linotype" w:eastAsiaTheme="minorHAnsi" w:hAnsi="Palatino Linotype"/>
          <w:b/>
          <w:bCs/>
          <w:sz w:val="22"/>
          <w:szCs w:val="22"/>
          <w:lang w:eastAsia="en-US"/>
        </w:rPr>
        <w:t>Que</w:t>
      </w:r>
      <w:r w:rsidRPr="00EC1DB7">
        <w:rPr>
          <w:rFonts w:ascii="Palatino Linotype" w:eastAsiaTheme="minorHAnsi" w:hAnsi="Palatino Linotype"/>
          <w:sz w:val="22"/>
          <w:szCs w:val="22"/>
          <w:lang w:eastAsia="en-US"/>
        </w:rPr>
        <w:t xml:space="preserve">, </w:t>
      </w:r>
      <w:r w:rsidRPr="00EC1DB7">
        <w:rPr>
          <w:rFonts w:ascii="Palatino Linotype" w:eastAsiaTheme="minorHAnsi" w:hAnsi="Palatino Linotype"/>
          <w:sz w:val="22"/>
          <w:szCs w:val="22"/>
          <w:lang w:eastAsia="en-US"/>
        </w:rPr>
        <w:tab/>
        <w:t xml:space="preserve"> el artículo 240 de la Constitución de República del Ecuador, en adelante Constitución, establece: “</w:t>
      </w:r>
      <w:r w:rsidRPr="00EC1DB7">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0113AC" w:rsidRPr="00EC1DB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EC1DB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C1DB7">
        <w:rPr>
          <w:rFonts w:ascii="Palatino Linotype" w:eastAsiaTheme="minorHAnsi" w:hAnsi="Palatino Linotype"/>
          <w:b/>
          <w:sz w:val="22"/>
          <w:szCs w:val="22"/>
          <w:lang w:eastAsia="en-US"/>
        </w:rPr>
        <w:t>Que,</w:t>
      </w:r>
      <w:r w:rsidRPr="00EC1DB7">
        <w:rPr>
          <w:rFonts w:ascii="Palatino Linotype" w:eastAsiaTheme="minorHAnsi" w:hAnsi="Palatino Linotype"/>
          <w:sz w:val="22"/>
          <w:szCs w:val="22"/>
          <w:lang w:eastAsia="en-US"/>
        </w:rPr>
        <w:t xml:space="preserve"> </w:t>
      </w:r>
      <w:r w:rsidRPr="00EC1DB7">
        <w:rPr>
          <w:rFonts w:ascii="Palatino Linotype" w:eastAsiaTheme="minorHAnsi" w:hAnsi="Palatino Linotype"/>
          <w:sz w:val="22"/>
          <w:szCs w:val="22"/>
          <w:lang w:eastAsia="en-US"/>
        </w:rPr>
        <w:tab/>
        <w:t xml:space="preserve">la Constitución de la República del Ecuador en su artículo 266, determina: </w:t>
      </w:r>
      <w:r w:rsidRPr="00EC1DB7">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EC1DB7">
        <w:rPr>
          <w:rFonts w:ascii="Palatino Linotype" w:eastAsiaTheme="minorHAnsi" w:hAnsi="Palatino Linotype"/>
          <w:sz w:val="22"/>
          <w:szCs w:val="22"/>
          <w:lang w:eastAsia="en-US"/>
        </w:rPr>
        <w:t>;</w:t>
      </w:r>
    </w:p>
    <w:p w:rsidR="000113AC" w:rsidRPr="00EC1DB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EC1DB7" w:rsidRDefault="000113AC" w:rsidP="000113AC">
      <w:pPr>
        <w:autoSpaceDE w:val="0"/>
        <w:autoSpaceDN w:val="0"/>
        <w:adjustRightInd w:val="0"/>
        <w:ind w:left="709" w:hanging="709"/>
        <w:jc w:val="both"/>
        <w:rPr>
          <w:rFonts w:ascii="Palatino Linotype" w:eastAsiaTheme="minorHAnsi" w:hAnsi="Palatino Linotype"/>
          <w:i/>
          <w:sz w:val="22"/>
          <w:szCs w:val="22"/>
          <w:lang w:eastAsia="en-US"/>
        </w:rPr>
      </w:pPr>
      <w:r w:rsidRPr="00EC1DB7">
        <w:rPr>
          <w:rFonts w:ascii="Palatino Linotype" w:eastAsiaTheme="minorHAnsi" w:hAnsi="Palatino Linotype"/>
          <w:b/>
          <w:bCs/>
          <w:sz w:val="22"/>
          <w:szCs w:val="22"/>
          <w:lang w:eastAsia="en-US"/>
        </w:rPr>
        <w:t>Que,</w:t>
      </w:r>
      <w:r w:rsidRPr="00EC1DB7">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EC1DB7">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0113AC" w:rsidRPr="00EC1DB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EC1DB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C1DB7">
        <w:rPr>
          <w:rFonts w:ascii="Palatino Linotype" w:eastAsiaTheme="minorHAnsi" w:hAnsi="Palatino Linotype"/>
          <w:b/>
          <w:sz w:val="22"/>
          <w:szCs w:val="22"/>
          <w:lang w:eastAsia="en-US"/>
        </w:rPr>
        <w:t>Que,</w:t>
      </w:r>
      <w:r w:rsidRPr="00EC1DB7">
        <w:rPr>
          <w:rFonts w:ascii="Palatino Linotype" w:eastAsiaTheme="minorHAnsi" w:hAnsi="Palatino Linotype"/>
          <w:sz w:val="22"/>
          <w:szCs w:val="22"/>
          <w:lang w:eastAsia="en-US"/>
        </w:rPr>
        <w:t xml:space="preserve"> </w:t>
      </w:r>
      <w:r w:rsidRPr="00EC1DB7">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0113AC" w:rsidRPr="00EC1DB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EC1DB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C1DB7">
        <w:rPr>
          <w:rFonts w:ascii="Palatino Linotype" w:eastAsiaTheme="minorHAnsi" w:hAnsi="Palatino Linotype"/>
          <w:b/>
          <w:sz w:val="22"/>
          <w:szCs w:val="22"/>
          <w:lang w:eastAsia="en-US"/>
        </w:rPr>
        <w:t>Que,</w:t>
      </w:r>
      <w:r w:rsidRPr="00EC1DB7">
        <w:rPr>
          <w:rFonts w:ascii="Palatino Linotype" w:eastAsiaTheme="minorHAnsi" w:hAnsi="Palatino Linotype"/>
          <w:sz w:val="22"/>
          <w:szCs w:val="22"/>
          <w:lang w:eastAsia="en-US"/>
        </w:rPr>
        <w:t xml:space="preserve"> </w:t>
      </w:r>
      <w:r w:rsidRPr="00EC1DB7">
        <w:rPr>
          <w:rFonts w:ascii="Palatino Linotype" w:eastAsiaTheme="minorHAnsi" w:hAnsi="Palatino Linotype"/>
          <w:sz w:val="22"/>
          <w:szCs w:val="22"/>
          <w:lang w:eastAsia="en-US"/>
        </w:rPr>
        <w:tab/>
        <w:t xml:space="preserve">conforme establece el artículo 87, literal v) del COOTAD, al Concejo Metropolitano le corresponde: </w:t>
      </w:r>
      <w:r w:rsidRPr="00EC1DB7">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EC1DB7">
        <w:rPr>
          <w:rFonts w:ascii="Palatino Linotype" w:eastAsiaTheme="minorHAnsi" w:hAnsi="Palatino Linotype"/>
          <w:sz w:val="22"/>
          <w:szCs w:val="22"/>
          <w:lang w:eastAsia="en-US"/>
        </w:rPr>
        <w:t xml:space="preserve"> </w:t>
      </w:r>
    </w:p>
    <w:p w:rsidR="000113AC" w:rsidRPr="00EC1DB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EC1DB7" w:rsidRDefault="000113AC" w:rsidP="000113AC">
      <w:pPr>
        <w:autoSpaceDE w:val="0"/>
        <w:autoSpaceDN w:val="0"/>
        <w:adjustRightInd w:val="0"/>
        <w:ind w:left="709" w:hanging="709"/>
        <w:jc w:val="both"/>
        <w:rPr>
          <w:rFonts w:ascii="Palatino Linotype" w:eastAsiaTheme="minorHAnsi" w:hAnsi="Palatino Linotype"/>
          <w:i/>
          <w:iCs/>
          <w:sz w:val="22"/>
          <w:szCs w:val="22"/>
          <w:lang w:eastAsia="en-US"/>
        </w:rPr>
      </w:pPr>
      <w:r w:rsidRPr="00EC1DB7">
        <w:rPr>
          <w:rFonts w:ascii="Palatino Linotype" w:eastAsiaTheme="minorHAnsi" w:hAnsi="Palatino Linotype"/>
          <w:sz w:val="22"/>
          <w:szCs w:val="22"/>
          <w:lang w:eastAsia="en-US"/>
        </w:rPr>
        <w:t xml:space="preserve">Que, </w:t>
      </w:r>
      <w:r w:rsidRPr="00EC1DB7">
        <w:rPr>
          <w:rFonts w:ascii="Palatino Linotype" w:eastAsiaTheme="minorHAnsi" w:hAnsi="Palatino Linotype"/>
          <w:sz w:val="22"/>
          <w:szCs w:val="22"/>
          <w:lang w:eastAsia="en-US"/>
        </w:rPr>
        <w:tab/>
        <w:t>el artículo 323 del COOTAD establece: “</w:t>
      </w:r>
      <w:r w:rsidRPr="00EC1DB7">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aprobados </w:t>
      </w:r>
      <w:r w:rsidRPr="00EC1DB7">
        <w:rPr>
          <w:rFonts w:ascii="Palatino Linotype" w:eastAsiaTheme="minorHAnsi" w:hAnsi="Palatino Linotype"/>
          <w:i/>
          <w:iCs/>
          <w:sz w:val="22"/>
          <w:szCs w:val="22"/>
          <w:lang w:eastAsia="en-US"/>
        </w:rPr>
        <w:lastRenderedPageBreak/>
        <w:t>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0113AC" w:rsidRPr="00EC1DB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EC1DB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C1DB7">
        <w:rPr>
          <w:rFonts w:ascii="Palatino Linotype" w:eastAsiaTheme="minorHAnsi" w:hAnsi="Palatino Linotype"/>
          <w:b/>
          <w:sz w:val="22"/>
          <w:szCs w:val="22"/>
          <w:lang w:eastAsia="en-US"/>
        </w:rPr>
        <w:t>Que,</w:t>
      </w:r>
      <w:r w:rsidRPr="00EC1DB7">
        <w:rPr>
          <w:rFonts w:ascii="Palatino Linotype" w:eastAsiaTheme="minorHAnsi" w:hAnsi="Palatino Linotype"/>
          <w:sz w:val="22"/>
          <w:szCs w:val="22"/>
          <w:lang w:eastAsia="en-US"/>
        </w:rPr>
        <w:t xml:space="preserve"> 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0113AC" w:rsidRPr="00EC1DB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EC1DB7"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C1DB7">
        <w:rPr>
          <w:rFonts w:ascii="Palatino Linotype" w:eastAsiaTheme="minorHAnsi" w:hAnsi="Palatino Linotype"/>
          <w:b/>
          <w:sz w:val="22"/>
          <w:szCs w:val="22"/>
          <w:lang w:eastAsia="en-US"/>
        </w:rPr>
        <w:t>Que,</w:t>
      </w:r>
      <w:r w:rsidRPr="00EC1DB7">
        <w:rPr>
          <w:rFonts w:ascii="Palatino Linotype" w:eastAsiaTheme="minorHAnsi" w:hAnsi="Palatino Linotype"/>
          <w:sz w:val="22"/>
          <w:szCs w:val="22"/>
          <w:lang w:eastAsia="en-US"/>
        </w:rPr>
        <w:t xml:space="preserve"> el artículo 424 del COOTAD señala: </w:t>
      </w:r>
      <w:r w:rsidRPr="00EC1DB7">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0113AC" w:rsidRPr="00EC1DB7"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0113AC" w:rsidRPr="00EC1DB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C1DB7">
        <w:rPr>
          <w:rFonts w:ascii="Palatino Linotype" w:eastAsiaTheme="minorHAnsi" w:hAnsi="Palatino Linotype"/>
          <w:b/>
          <w:sz w:val="22"/>
          <w:szCs w:val="22"/>
          <w:lang w:eastAsia="en-US"/>
        </w:rPr>
        <w:t>Que,</w:t>
      </w:r>
      <w:r w:rsidRPr="00EC1DB7">
        <w:rPr>
          <w:rFonts w:ascii="Palatino Linotype" w:eastAsiaTheme="minorHAnsi" w:hAnsi="Palatino Linotype"/>
          <w:sz w:val="22"/>
          <w:szCs w:val="22"/>
          <w:lang w:eastAsia="en-US"/>
        </w:rPr>
        <w:t xml:space="preserve"> el artículo 472 del COOTAD señala que: </w:t>
      </w:r>
      <w:r w:rsidRPr="00EC1DB7">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EC1DB7">
        <w:rPr>
          <w:rFonts w:ascii="Palatino Linotype" w:eastAsiaTheme="minorHAnsi" w:hAnsi="Palatino Linotype"/>
          <w:sz w:val="22"/>
          <w:szCs w:val="22"/>
          <w:lang w:eastAsia="en-US"/>
        </w:rPr>
        <w:t>;</w:t>
      </w:r>
    </w:p>
    <w:p w:rsidR="000113AC" w:rsidRPr="00EC1DB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EC1DB7"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C1DB7">
        <w:rPr>
          <w:rFonts w:ascii="Palatino Linotype" w:eastAsiaTheme="minorHAnsi" w:hAnsi="Palatino Linotype"/>
          <w:b/>
          <w:sz w:val="22"/>
          <w:szCs w:val="22"/>
          <w:lang w:eastAsia="en-US"/>
        </w:rPr>
        <w:t>Que,</w:t>
      </w:r>
      <w:r w:rsidRPr="00EC1DB7">
        <w:rPr>
          <w:rFonts w:ascii="Palatino Linotype" w:eastAsiaTheme="minorHAnsi" w:hAnsi="Palatino Linotype"/>
          <w:sz w:val="22"/>
          <w:szCs w:val="22"/>
          <w:lang w:eastAsia="en-US"/>
        </w:rPr>
        <w:t xml:space="preserve"> el artículo 2410 del el Código Civil Ecuatoriano determina que: </w:t>
      </w:r>
      <w:r w:rsidRPr="00EC1DB7">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0113AC" w:rsidRPr="00EC1DB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EC1DB7" w:rsidRDefault="000113AC" w:rsidP="000113AC">
      <w:pPr>
        <w:autoSpaceDE w:val="0"/>
        <w:autoSpaceDN w:val="0"/>
        <w:adjustRightInd w:val="0"/>
        <w:jc w:val="both"/>
        <w:rPr>
          <w:rFonts w:ascii="Palatino Linotype" w:hAnsi="Palatino Linotype"/>
          <w:sz w:val="22"/>
          <w:szCs w:val="22"/>
        </w:rPr>
      </w:pPr>
    </w:p>
    <w:p w:rsidR="000113AC" w:rsidRPr="00EC1DB7"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r w:rsidRPr="00EC1DB7">
        <w:rPr>
          <w:rFonts w:ascii="Palatino Linotype" w:eastAsiaTheme="minorHAnsi" w:hAnsi="Palatino Linotype"/>
          <w:sz w:val="22"/>
          <w:szCs w:val="22"/>
          <w:lang w:eastAsia="en-US"/>
        </w:rPr>
        <w:lastRenderedPageBreak/>
        <w:t>Que,</w:t>
      </w:r>
      <w:r w:rsidRPr="00EC1DB7">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EC1DB7">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EC1DB7">
        <w:rPr>
          <w:rFonts w:ascii="Palatino Linotype" w:eastAsiaTheme="minorHAnsi" w:hAnsi="Palatino Linotype"/>
          <w:sz w:val="22"/>
          <w:szCs w:val="22"/>
          <w:lang w:eastAsia="en-US"/>
        </w:rPr>
        <w:t>;</w:t>
      </w:r>
    </w:p>
    <w:p w:rsidR="000113AC" w:rsidRPr="00EC1DB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EC1DB7" w:rsidRDefault="000113AC" w:rsidP="000113AC">
      <w:pPr>
        <w:autoSpaceDE w:val="0"/>
        <w:autoSpaceDN w:val="0"/>
        <w:adjustRightInd w:val="0"/>
        <w:spacing w:line="276" w:lineRule="auto"/>
        <w:ind w:left="709" w:hanging="709"/>
        <w:jc w:val="both"/>
        <w:rPr>
          <w:rFonts w:ascii="Palatino Linotype" w:hAnsi="Palatino Linotype"/>
          <w:sz w:val="22"/>
          <w:szCs w:val="22"/>
        </w:rPr>
      </w:pPr>
      <w:r w:rsidRPr="00EC1DB7">
        <w:rPr>
          <w:rFonts w:ascii="Palatino Linotype" w:eastAsiaTheme="minorHAnsi" w:hAnsi="Palatino Linotype"/>
          <w:b/>
          <w:sz w:val="22"/>
          <w:szCs w:val="22"/>
          <w:lang w:eastAsia="en-US"/>
        </w:rPr>
        <w:t>Que,</w:t>
      </w:r>
      <w:r w:rsidRPr="00EC1DB7">
        <w:rPr>
          <w:rFonts w:ascii="Palatino Linotype" w:eastAsiaTheme="minorHAnsi" w:hAnsi="Palatino Linotype"/>
          <w:sz w:val="22"/>
          <w:szCs w:val="22"/>
          <w:lang w:eastAsia="en-US"/>
        </w:rPr>
        <w:t xml:space="preserve"> </w:t>
      </w:r>
      <w:r w:rsidRPr="00EC1DB7">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EC1DB7">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EC1DB7">
        <w:rPr>
          <w:rFonts w:ascii="Palatino Linotype" w:hAnsi="Palatino Linotype"/>
          <w:i/>
          <w:sz w:val="22"/>
          <w:szCs w:val="22"/>
        </w:rPr>
        <w:t>”</w:t>
      </w:r>
      <w:r w:rsidRPr="00EC1DB7">
        <w:rPr>
          <w:rFonts w:ascii="Palatino Linotype" w:hAnsi="Palatino Linotype"/>
          <w:sz w:val="22"/>
          <w:szCs w:val="22"/>
        </w:rPr>
        <w:t xml:space="preserve">; </w:t>
      </w:r>
    </w:p>
    <w:p w:rsidR="000113AC" w:rsidRPr="00EC1DB7" w:rsidRDefault="000113AC" w:rsidP="000113AC">
      <w:pPr>
        <w:autoSpaceDE w:val="0"/>
        <w:autoSpaceDN w:val="0"/>
        <w:adjustRightInd w:val="0"/>
        <w:spacing w:line="276" w:lineRule="auto"/>
        <w:ind w:left="709" w:hanging="709"/>
        <w:jc w:val="both"/>
        <w:rPr>
          <w:rFonts w:ascii="Palatino Linotype" w:hAnsi="Palatino Linotype"/>
          <w:sz w:val="22"/>
          <w:szCs w:val="22"/>
        </w:rPr>
      </w:pPr>
    </w:p>
    <w:p w:rsidR="000113AC" w:rsidRPr="00EC1DB7"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C1DB7">
        <w:rPr>
          <w:rFonts w:ascii="Palatino Linotype" w:eastAsiaTheme="minorHAnsi" w:hAnsi="Palatino Linotype"/>
          <w:b/>
          <w:sz w:val="22"/>
          <w:szCs w:val="22"/>
          <w:lang w:eastAsia="en-US"/>
        </w:rPr>
        <w:t>Que,</w:t>
      </w:r>
      <w:r w:rsidRPr="00EC1DB7">
        <w:rPr>
          <w:rFonts w:ascii="Palatino Linotype" w:eastAsiaTheme="minorHAnsi" w:hAnsi="Palatino Linotype"/>
          <w:sz w:val="22"/>
          <w:szCs w:val="22"/>
          <w:lang w:eastAsia="en-US"/>
        </w:rPr>
        <w:t xml:space="preserve"> </w:t>
      </w:r>
      <w:r w:rsidRPr="00EC1DB7">
        <w:rPr>
          <w:rFonts w:ascii="Palatino Linotype" w:eastAsiaTheme="minorHAnsi" w:hAnsi="Palatino Linotype"/>
          <w:sz w:val="22"/>
          <w:szCs w:val="22"/>
          <w:lang w:eastAsia="en-US"/>
        </w:rPr>
        <w:tab/>
        <w:t xml:space="preserve">el Código Municipal en su artículo 2171, establece: </w:t>
      </w:r>
      <w:r w:rsidRPr="00EC1DB7">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0113AC" w:rsidRPr="00EC1DB7"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A21529" w:rsidRPr="00EC1DB7" w:rsidRDefault="000113AC" w:rsidP="005F3942">
      <w:pPr>
        <w:autoSpaceDE w:val="0"/>
        <w:autoSpaceDN w:val="0"/>
        <w:adjustRightInd w:val="0"/>
        <w:ind w:left="708" w:hanging="708"/>
        <w:jc w:val="both"/>
        <w:rPr>
          <w:rFonts w:ascii="Palatino Linotype" w:hAnsi="Palatino Linotype"/>
          <w:sz w:val="22"/>
          <w:szCs w:val="22"/>
        </w:rPr>
      </w:pPr>
      <w:r w:rsidRPr="00EC1DB7">
        <w:rPr>
          <w:rFonts w:ascii="Palatino Linotype" w:eastAsiaTheme="minorHAnsi" w:hAnsi="Palatino Linotype"/>
          <w:b/>
          <w:sz w:val="22"/>
          <w:szCs w:val="22"/>
          <w:lang w:eastAsia="en-US"/>
        </w:rPr>
        <w:t>Que,</w:t>
      </w:r>
      <w:r w:rsidR="004E4064" w:rsidRPr="00EC1DB7">
        <w:rPr>
          <w:rFonts w:ascii="Palatino Linotype" w:eastAsiaTheme="minorHAnsi" w:hAnsi="Palatino Linotype"/>
          <w:sz w:val="22"/>
          <w:szCs w:val="22"/>
          <w:lang w:eastAsia="en-US"/>
        </w:rPr>
        <w:t xml:space="preserve"> </w:t>
      </w:r>
      <w:r w:rsidR="00A21529" w:rsidRPr="00EC1DB7">
        <w:rPr>
          <w:rFonts w:ascii="Palatino Linotype" w:hAnsi="Palatino Linotype"/>
          <w:sz w:val="22"/>
          <w:szCs w:val="22"/>
        </w:rPr>
        <w:t>m</w:t>
      </w:r>
      <w:r w:rsidR="00A21529" w:rsidRPr="00EC1DB7">
        <w:rPr>
          <w:rFonts w:ascii="Palatino Linotype" w:hAnsi="Palatino Linotype"/>
          <w:sz w:val="22"/>
          <w:szCs w:val="22"/>
        </w:rPr>
        <w:t>ediante oficio referencia expediente Nro. 2950-2010 de 31 de octubre de 2011, el Dr. Edgar Ulloa Balladares, Subprocurador Metropolitano a la fecha, en relación a la consulta formulada por la Secretaría de Coordinación Territorial y Participación Ciudadana, que señala: “(…) en los casos donde el Administrado tiene la sentencia de prescripción adquisitiva de dominio dictada por el juez competente y legalmente ejecutoriada, previo al catastro debe contar con la aprobación de subdivisión; o con la autorización del Concejo Metropolitano; o, debería catastrarse directamente y oficiarse al Registro de la Propiedad a fin de que se proceda con sus inscripciones?”; analiza cada uno de los posibles escenarios, partiendo de dos variables: a) Contenido de la sentencia judicial; y b) La necesidad o no de subdividir el inmueble objeto del proceso, a pesar de tratarse en principio de una demanda de prescripción adquisitiva de dominio.</w:t>
      </w:r>
    </w:p>
    <w:p w:rsidR="00A21529" w:rsidRPr="00EC1DB7" w:rsidRDefault="00A21529" w:rsidP="005F3942">
      <w:pPr>
        <w:autoSpaceDE w:val="0"/>
        <w:autoSpaceDN w:val="0"/>
        <w:adjustRightInd w:val="0"/>
        <w:ind w:left="708" w:hanging="708"/>
        <w:jc w:val="both"/>
        <w:rPr>
          <w:rFonts w:ascii="Palatino Linotype" w:eastAsiaTheme="minorHAnsi" w:hAnsi="Palatino Linotype"/>
          <w:sz w:val="22"/>
          <w:szCs w:val="22"/>
          <w:lang w:eastAsia="en-US"/>
        </w:rPr>
      </w:pPr>
    </w:p>
    <w:p w:rsidR="00372B0E" w:rsidRPr="00EC1DB7" w:rsidRDefault="00A21529" w:rsidP="005F3942">
      <w:pPr>
        <w:autoSpaceDE w:val="0"/>
        <w:autoSpaceDN w:val="0"/>
        <w:adjustRightInd w:val="0"/>
        <w:ind w:left="708" w:hanging="708"/>
        <w:jc w:val="both"/>
        <w:rPr>
          <w:rFonts w:ascii="Palatino Linotype" w:hAnsi="Palatino Linotype"/>
          <w:sz w:val="22"/>
          <w:szCs w:val="22"/>
        </w:rPr>
      </w:pPr>
      <w:r w:rsidRPr="00EC1DB7">
        <w:rPr>
          <w:rFonts w:ascii="Palatino Linotype" w:hAnsi="Palatino Linotype"/>
          <w:b/>
          <w:sz w:val="22"/>
          <w:szCs w:val="22"/>
        </w:rPr>
        <w:t>Que,</w:t>
      </w:r>
      <w:r w:rsidRPr="00EC1DB7">
        <w:rPr>
          <w:rFonts w:ascii="Palatino Linotype" w:hAnsi="Palatino Linotype"/>
          <w:sz w:val="22"/>
          <w:szCs w:val="22"/>
        </w:rPr>
        <w:t xml:space="preserve"> </w:t>
      </w:r>
      <w:r w:rsidR="005F3942" w:rsidRPr="00EC1DB7">
        <w:rPr>
          <w:rFonts w:ascii="Palatino Linotype" w:hAnsi="Palatino Linotype"/>
          <w:sz w:val="22"/>
          <w:szCs w:val="22"/>
        </w:rPr>
        <w:t xml:space="preserve">con fecha miércoles 12 de junio de 2019, la Jueza de la Unidad Judicial Civil con Sede en la Parroquia Iñaquito del Distrito Metropolitano de Quito, Dra. Celma Cecilia </w:t>
      </w:r>
      <w:r w:rsidR="005F3942" w:rsidRPr="00EC1DB7">
        <w:rPr>
          <w:rFonts w:ascii="Palatino Linotype" w:hAnsi="Palatino Linotype"/>
          <w:sz w:val="22"/>
          <w:szCs w:val="22"/>
        </w:rPr>
        <w:lastRenderedPageBreak/>
        <w:t>Espinosa Venegas, dentro del Juicio No. 17230-2018-07203, seguido por Francisca Hermelinda Almeida Estrella, en contra de José Vicente Gaybor Goyes y Otro, dicta sentencia declarando en la parte resolutiva en lo pertinente que procede la Prescripción Adquisitiva Extraordinaria de Dominio a favor de la señora Francisca Hermelinda Almeida Estrella de un lote de terreno, especificando la ubicación, linderos y superficie; y que se declara bajo estricta responsabilidad de la accionante; sin perjuicio al cumplimiento de las Ordenanzas Municipales vigentes a que estuvieren obligada la parte accionante, así como, de ser el caso, se tomará en cuenta lo establecido en el Art. 473 del Código Orgánico de Organización Territorial, Autonom</w:t>
      </w:r>
      <w:r w:rsidR="005F3942" w:rsidRPr="00EC1DB7">
        <w:rPr>
          <w:rFonts w:ascii="Palatino Linotype" w:hAnsi="Palatino Linotype"/>
          <w:sz w:val="22"/>
          <w:szCs w:val="22"/>
        </w:rPr>
        <w:t xml:space="preserve">ía y Descentralización (COOTAD), conforme se desprende del memorando </w:t>
      </w:r>
      <w:r w:rsidR="005F3942" w:rsidRPr="00EC1DB7">
        <w:rPr>
          <w:rFonts w:ascii="Palatino Linotype" w:hAnsi="Palatino Linotype"/>
          <w:sz w:val="22"/>
          <w:szCs w:val="22"/>
        </w:rPr>
        <w:t>GADDMQ-AZCA-AJ-2019-0055-M</w:t>
      </w:r>
      <w:r w:rsidR="005F3942" w:rsidRPr="00EC1DB7">
        <w:rPr>
          <w:rFonts w:ascii="Palatino Linotype" w:hAnsi="Palatino Linotype"/>
          <w:sz w:val="22"/>
          <w:szCs w:val="22"/>
        </w:rPr>
        <w:t>, de 20 de noviembre de 2022.</w:t>
      </w:r>
    </w:p>
    <w:p w:rsidR="005F3942" w:rsidRPr="00EC1DB7" w:rsidRDefault="005F3942" w:rsidP="005F3942">
      <w:pPr>
        <w:autoSpaceDE w:val="0"/>
        <w:autoSpaceDN w:val="0"/>
        <w:adjustRightInd w:val="0"/>
        <w:ind w:left="708" w:hanging="708"/>
        <w:jc w:val="both"/>
        <w:rPr>
          <w:rFonts w:ascii="Palatino Linotype" w:hAnsi="Palatino Linotype"/>
          <w:i/>
          <w:sz w:val="22"/>
          <w:szCs w:val="22"/>
        </w:rPr>
      </w:pPr>
    </w:p>
    <w:p w:rsidR="000113AC" w:rsidRPr="00EC1DB7" w:rsidRDefault="000113AC" w:rsidP="000113AC">
      <w:pPr>
        <w:pStyle w:val="Default"/>
        <w:ind w:left="708" w:hanging="708"/>
        <w:jc w:val="both"/>
        <w:rPr>
          <w:sz w:val="22"/>
          <w:szCs w:val="22"/>
        </w:rPr>
      </w:pPr>
      <w:r w:rsidRPr="00EC1DB7">
        <w:rPr>
          <w:b/>
          <w:sz w:val="22"/>
          <w:szCs w:val="22"/>
        </w:rPr>
        <w:t>Que,</w:t>
      </w:r>
      <w:r w:rsidRPr="00EC1DB7">
        <w:rPr>
          <w:sz w:val="22"/>
          <w:szCs w:val="22"/>
        </w:rPr>
        <w:t xml:space="preserve"> mediante oficio GADDMQ-PM-2021-0396-O de 29 de enero de 2021, el Dr. Edison Yépez Vinueza, Subprocurador Metropolitano, señala: </w:t>
      </w:r>
    </w:p>
    <w:p w:rsidR="000113AC" w:rsidRPr="00EC1DB7" w:rsidRDefault="000113AC" w:rsidP="000113AC">
      <w:pPr>
        <w:tabs>
          <w:tab w:val="left" w:pos="426"/>
        </w:tabs>
        <w:ind w:left="1416" w:right="566"/>
        <w:jc w:val="both"/>
        <w:rPr>
          <w:rFonts w:ascii="Palatino Linotype" w:hAnsi="Palatino Linotype"/>
          <w:i/>
          <w:sz w:val="22"/>
          <w:szCs w:val="22"/>
        </w:rPr>
      </w:pPr>
    </w:p>
    <w:p w:rsidR="000113AC" w:rsidRPr="00EC1DB7" w:rsidRDefault="000113AC" w:rsidP="000113AC">
      <w:pPr>
        <w:tabs>
          <w:tab w:val="left" w:pos="284"/>
        </w:tabs>
        <w:ind w:left="708"/>
        <w:jc w:val="both"/>
        <w:rPr>
          <w:rFonts w:ascii="Palatino Linotype" w:hAnsi="Palatino Linotype"/>
          <w:i/>
          <w:sz w:val="22"/>
          <w:szCs w:val="22"/>
        </w:rPr>
      </w:pPr>
      <w:r w:rsidRPr="00EC1DB7">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0113AC" w:rsidRPr="00EC1DB7" w:rsidRDefault="000113AC" w:rsidP="000113AC">
      <w:pPr>
        <w:tabs>
          <w:tab w:val="left" w:pos="284"/>
        </w:tabs>
        <w:ind w:left="708"/>
        <w:jc w:val="both"/>
        <w:rPr>
          <w:rFonts w:ascii="Palatino Linotype" w:hAnsi="Palatino Linotype"/>
          <w:i/>
          <w:sz w:val="22"/>
          <w:szCs w:val="22"/>
        </w:rPr>
      </w:pPr>
      <w:r w:rsidRPr="00EC1DB7">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E969BE" w:rsidRPr="00EC1DB7" w:rsidRDefault="00E969BE" w:rsidP="000113AC">
      <w:pPr>
        <w:tabs>
          <w:tab w:val="left" w:pos="284"/>
        </w:tabs>
        <w:ind w:left="708"/>
        <w:jc w:val="both"/>
        <w:rPr>
          <w:rFonts w:ascii="Palatino Linotype" w:hAnsi="Palatino Linotype"/>
          <w:i/>
          <w:sz w:val="22"/>
          <w:szCs w:val="22"/>
        </w:rPr>
      </w:pPr>
    </w:p>
    <w:p w:rsidR="000113AC" w:rsidRPr="00EC1DB7" w:rsidRDefault="000113AC" w:rsidP="000113AC">
      <w:pPr>
        <w:tabs>
          <w:tab w:val="left" w:pos="284"/>
        </w:tabs>
        <w:ind w:left="708"/>
        <w:jc w:val="both"/>
        <w:rPr>
          <w:rFonts w:ascii="Palatino Linotype" w:hAnsi="Palatino Linotype"/>
          <w:i/>
          <w:sz w:val="22"/>
          <w:szCs w:val="22"/>
        </w:rPr>
      </w:pPr>
      <w:r w:rsidRPr="00EC1DB7">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E969BE" w:rsidRPr="00EC1DB7" w:rsidRDefault="00E969BE" w:rsidP="000113AC">
      <w:pPr>
        <w:tabs>
          <w:tab w:val="left" w:pos="284"/>
        </w:tabs>
        <w:ind w:left="708"/>
        <w:jc w:val="both"/>
        <w:rPr>
          <w:rFonts w:ascii="Palatino Linotype" w:hAnsi="Palatino Linotype"/>
          <w:i/>
          <w:sz w:val="22"/>
          <w:szCs w:val="22"/>
        </w:rPr>
      </w:pPr>
    </w:p>
    <w:p w:rsidR="000113AC" w:rsidRPr="00EC1DB7" w:rsidRDefault="000113AC" w:rsidP="000113AC">
      <w:pPr>
        <w:tabs>
          <w:tab w:val="left" w:pos="284"/>
        </w:tabs>
        <w:ind w:left="708"/>
        <w:jc w:val="both"/>
        <w:rPr>
          <w:rFonts w:ascii="Palatino Linotype" w:hAnsi="Palatino Linotype"/>
          <w:i/>
          <w:sz w:val="22"/>
          <w:szCs w:val="22"/>
        </w:rPr>
      </w:pPr>
      <w:r w:rsidRPr="00EC1DB7">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w:t>
      </w:r>
      <w:r w:rsidR="00CF561D" w:rsidRPr="00EC1DB7">
        <w:rPr>
          <w:rFonts w:ascii="Palatino Linotype" w:hAnsi="Palatino Linotype"/>
          <w:i/>
          <w:sz w:val="22"/>
          <w:szCs w:val="22"/>
        </w:rPr>
        <w:t>no de los casos en particular.”;</w:t>
      </w:r>
    </w:p>
    <w:p w:rsidR="005168D0" w:rsidRPr="00EC1DB7" w:rsidRDefault="005168D0" w:rsidP="000F0D3B">
      <w:pPr>
        <w:pStyle w:val="Default"/>
        <w:ind w:left="708" w:hanging="708"/>
        <w:jc w:val="both"/>
        <w:rPr>
          <w:b/>
          <w:i/>
          <w:sz w:val="22"/>
          <w:szCs w:val="22"/>
        </w:rPr>
      </w:pPr>
    </w:p>
    <w:p w:rsidR="00812DE6" w:rsidRPr="00EC1DB7" w:rsidRDefault="00812DE6" w:rsidP="00812DE6">
      <w:pPr>
        <w:autoSpaceDE w:val="0"/>
        <w:autoSpaceDN w:val="0"/>
        <w:adjustRightInd w:val="0"/>
        <w:ind w:left="708" w:hanging="708"/>
        <w:jc w:val="both"/>
        <w:rPr>
          <w:rFonts w:ascii="Palatino Linotype" w:hAnsi="Palatino Linotype"/>
          <w:sz w:val="22"/>
          <w:szCs w:val="22"/>
        </w:rPr>
      </w:pPr>
      <w:r w:rsidRPr="00EC1DB7">
        <w:rPr>
          <w:rFonts w:ascii="Palatino Linotype" w:hAnsi="Palatino Linotype"/>
          <w:b/>
          <w:sz w:val="22"/>
          <w:szCs w:val="22"/>
        </w:rPr>
        <w:t xml:space="preserve">Que, </w:t>
      </w:r>
      <w:r w:rsidRPr="00EC1DB7">
        <w:rPr>
          <w:rFonts w:ascii="Palatino Linotype" w:hAnsi="Palatino Linotype"/>
          <w:sz w:val="22"/>
          <w:szCs w:val="22"/>
        </w:rPr>
        <w:t xml:space="preserve">mediante Memorando Nro. GADDMQ-STHV-DMC-UGT-AZC-2021-0128-M, de 09 de septiembre de 2021, la Ing. Nancy Maribel Calapaqui Chiliquinga, Responsable de la Unidad de Catastro de la Administración Zonal Calderón, señala:  </w:t>
      </w:r>
    </w:p>
    <w:p w:rsidR="00812DE6" w:rsidRPr="00EC1DB7" w:rsidRDefault="00812DE6" w:rsidP="00812DE6">
      <w:pPr>
        <w:autoSpaceDE w:val="0"/>
        <w:autoSpaceDN w:val="0"/>
        <w:adjustRightInd w:val="0"/>
        <w:ind w:left="708" w:hanging="708"/>
        <w:jc w:val="both"/>
        <w:rPr>
          <w:rFonts w:ascii="Palatino Linotype" w:hAnsi="Palatino Linotype"/>
          <w:sz w:val="22"/>
          <w:szCs w:val="22"/>
        </w:rPr>
      </w:pPr>
    </w:p>
    <w:p w:rsidR="00812DE6" w:rsidRPr="00EC1DB7" w:rsidRDefault="00812DE6" w:rsidP="00812DE6">
      <w:pPr>
        <w:autoSpaceDE w:val="0"/>
        <w:autoSpaceDN w:val="0"/>
        <w:adjustRightInd w:val="0"/>
        <w:ind w:left="708"/>
        <w:jc w:val="both"/>
        <w:rPr>
          <w:rFonts w:ascii="Palatino Linotype" w:hAnsi="Palatino Linotype"/>
          <w:i/>
          <w:sz w:val="22"/>
          <w:szCs w:val="22"/>
        </w:rPr>
      </w:pPr>
      <w:r w:rsidRPr="00EC1DB7">
        <w:rPr>
          <w:rFonts w:ascii="Palatino Linotype" w:hAnsi="Palatino Linotype"/>
          <w:i/>
          <w:sz w:val="22"/>
          <w:szCs w:val="22"/>
        </w:rPr>
        <w:t xml:space="preserve">“(…) De la base legal expuesta, me permito informar que, es competencia de la Dirección Metropolitana de Catastro ingresar al sistema de Catastro las sentencias de Prescripción </w:t>
      </w:r>
      <w:r w:rsidRPr="00EC1DB7">
        <w:rPr>
          <w:rFonts w:ascii="Palatino Linotype" w:hAnsi="Palatino Linotype"/>
          <w:i/>
          <w:sz w:val="22"/>
          <w:szCs w:val="22"/>
        </w:rPr>
        <w:lastRenderedPageBreak/>
        <w:t xml:space="preserve">Adquisitiva de Dominio y generar número de predio, una vez ingresado al Sistema de Licencias Metropolitanas SLUM, más no la de generar valor alguno sobre compensaciones monetarias por la contribución del 15% del área útil prescrita. Por tanto, revisado el sistema de registro catastral SIREC_Q a la presente fecha, el Predio 435329, Clave Catastral 1301302040, ubicado en la parroquia Calderón y catastrado a nombre de </w:t>
      </w:r>
      <w:r w:rsidRPr="00EC1DB7">
        <w:rPr>
          <w:rFonts w:ascii="Palatino Linotype" w:hAnsi="Palatino Linotype"/>
          <w:b/>
          <w:i/>
          <w:sz w:val="22"/>
          <w:szCs w:val="22"/>
        </w:rPr>
        <w:t>GAIBOR GOYES JOSEVICENTE</w:t>
      </w:r>
      <w:r w:rsidRPr="00EC1DB7">
        <w:rPr>
          <w:rFonts w:ascii="Palatino Linotype" w:hAnsi="Palatino Linotype"/>
          <w:i/>
          <w:sz w:val="22"/>
          <w:szCs w:val="22"/>
        </w:rPr>
        <w:t xml:space="preserve"> Ci.1705297339, registra los siguientes datos técnicos:</w:t>
      </w:r>
    </w:p>
    <w:p w:rsidR="00812DE6" w:rsidRPr="00EC1DB7" w:rsidRDefault="00812DE6" w:rsidP="00812DE6">
      <w:pPr>
        <w:autoSpaceDE w:val="0"/>
        <w:autoSpaceDN w:val="0"/>
        <w:adjustRightInd w:val="0"/>
        <w:jc w:val="both"/>
        <w:rPr>
          <w:rFonts w:ascii="Palatino Linotype" w:hAnsi="Palatino Linotype"/>
          <w:b/>
          <w:bCs/>
          <w:i/>
          <w:color w:val="000000" w:themeColor="text1"/>
          <w:sz w:val="22"/>
          <w:szCs w:val="22"/>
          <w:lang w:val="es-ES"/>
        </w:rPr>
      </w:pPr>
    </w:p>
    <w:tbl>
      <w:tblPr>
        <w:tblStyle w:val="Tablaconcuadrcula"/>
        <w:tblW w:w="0" w:type="auto"/>
        <w:tblInd w:w="704" w:type="dxa"/>
        <w:tblLook w:val="04A0" w:firstRow="1" w:lastRow="0" w:firstColumn="1" w:lastColumn="0" w:noHBand="0" w:noVBand="1"/>
      </w:tblPr>
      <w:tblGrid>
        <w:gridCol w:w="1843"/>
        <w:gridCol w:w="2126"/>
        <w:gridCol w:w="1948"/>
        <w:gridCol w:w="2207"/>
      </w:tblGrid>
      <w:tr w:rsidR="00812DE6" w:rsidRPr="00EC1DB7" w:rsidTr="009744A6">
        <w:tc>
          <w:tcPr>
            <w:tcW w:w="1843" w:type="dxa"/>
          </w:tcPr>
          <w:p w:rsidR="00812DE6" w:rsidRPr="00EC1DB7" w:rsidRDefault="00812DE6" w:rsidP="004368E9">
            <w:pPr>
              <w:autoSpaceDE w:val="0"/>
              <w:autoSpaceDN w:val="0"/>
              <w:adjustRightInd w:val="0"/>
              <w:jc w:val="both"/>
              <w:rPr>
                <w:rFonts w:ascii="Palatino Linotype" w:hAnsi="Palatino Linotype"/>
                <w:b/>
                <w:bCs/>
                <w:i/>
                <w:color w:val="000000" w:themeColor="text1"/>
                <w:sz w:val="22"/>
                <w:szCs w:val="22"/>
              </w:rPr>
            </w:pPr>
            <w:r w:rsidRPr="00EC1DB7">
              <w:rPr>
                <w:rFonts w:ascii="Palatino Linotype" w:hAnsi="Palatino Linotype"/>
                <w:b/>
                <w:bCs/>
                <w:i/>
                <w:color w:val="000000" w:themeColor="text1"/>
                <w:sz w:val="22"/>
                <w:szCs w:val="22"/>
              </w:rPr>
              <w:t>AIVA</w:t>
            </w:r>
          </w:p>
        </w:tc>
        <w:tc>
          <w:tcPr>
            <w:tcW w:w="2126" w:type="dxa"/>
          </w:tcPr>
          <w:p w:rsidR="00812DE6" w:rsidRPr="00EC1DB7" w:rsidRDefault="00812DE6" w:rsidP="004368E9">
            <w:pPr>
              <w:autoSpaceDE w:val="0"/>
              <w:autoSpaceDN w:val="0"/>
              <w:adjustRightInd w:val="0"/>
              <w:jc w:val="both"/>
              <w:rPr>
                <w:rFonts w:ascii="Palatino Linotype" w:hAnsi="Palatino Linotype"/>
                <w:b/>
                <w:bCs/>
                <w:i/>
                <w:color w:val="000000" w:themeColor="text1"/>
                <w:sz w:val="22"/>
                <w:szCs w:val="22"/>
              </w:rPr>
            </w:pPr>
            <w:r w:rsidRPr="00EC1DB7">
              <w:rPr>
                <w:rFonts w:ascii="Palatino Linotype" w:hAnsi="Palatino Linotype"/>
                <w:b/>
                <w:bCs/>
                <w:i/>
                <w:color w:val="000000" w:themeColor="text1"/>
                <w:sz w:val="22"/>
                <w:szCs w:val="22"/>
              </w:rPr>
              <w:t>ÁREA</w:t>
            </w:r>
          </w:p>
        </w:tc>
        <w:tc>
          <w:tcPr>
            <w:tcW w:w="1948" w:type="dxa"/>
          </w:tcPr>
          <w:p w:rsidR="00812DE6" w:rsidRPr="00EC1DB7" w:rsidRDefault="00812DE6" w:rsidP="004368E9">
            <w:pPr>
              <w:autoSpaceDE w:val="0"/>
              <w:autoSpaceDN w:val="0"/>
              <w:adjustRightInd w:val="0"/>
              <w:jc w:val="both"/>
              <w:rPr>
                <w:rFonts w:ascii="Palatino Linotype" w:hAnsi="Palatino Linotype"/>
                <w:b/>
                <w:bCs/>
                <w:i/>
                <w:color w:val="000000" w:themeColor="text1"/>
                <w:sz w:val="22"/>
                <w:szCs w:val="22"/>
              </w:rPr>
            </w:pPr>
            <w:r w:rsidRPr="00EC1DB7">
              <w:rPr>
                <w:rFonts w:ascii="Palatino Linotype" w:hAnsi="Palatino Linotype"/>
                <w:b/>
                <w:bCs/>
                <w:i/>
                <w:color w:val="000000" w:themeColor="text1"/>
                <w:sz w:val="22"/>
                <w:szCs w:val="22"/>
              </w:rPr>
              <w:t>VALOR / m2</w:t>
            </w:r>
          </w:p>
        </w:tc>
        <w:tc>
          <w:tcPr>
            <w:tcW w:w="2207" w:type="dxa"/>
          </w:tcPr>
          <w:p w:rsidR="00812DE6" w:rsidRPr="00EC1DB7" w:rsidRDefault="00812DE6" w:rsidP="004368E9">
            <w:pPr>
              <w:autoSpaceDE w:val="0"/>
              <w:autoSpaceDN w:val="0"/>
              <w:adjustRightInd w:val="0"/>
              <w:jc w:val="both"/>
              <w:rPr>
                <w:rFonts w:ascii="Palatino Linotype" w:hAnsi="Palatino Linotype"/>
                <w:b/>
                <w:bCs/>
                <w:i/>
                <w:color w:val="000000" w:themeColor="text1"/>
                <w:sz w:val="22"/>
                <w:szCs w:val="22"/>
              </w:rPr>
            </w:pPr>
            <w:r w:rsidRPr="00EC1DB7">
              <w:rPr>
                <w:rFonts w:ascii="Palatino Linotype" w:hAnsi="Palatino Linotype"/>
                <w:b/>
                <w:bCs/>
                <w:i/>
                <w:color w:val="000000" w:themeColor="text1"/>
                <w:sz w:val="22"/>
                <w:szCs w:val="22"/>
              </w:rPr>
              <w:t xml:space="preserve">Avalúo de terreno </w:t>
            </w:r>
          </w:p>
        </w:tc>
      </w:tr>
      <w:tr w:rsidR="00812DE6" w:rsidRPr="00EC1DB7" w:rsidTr="009744A6">
        <w:tc>
          <w:tcPr>
            <w:tcW w:w="1843" w:type="dxa"/>
          </w:tcPr>
          <w:p w:rsidR="00812DE6" w:rsidRPr="00491119" w:rsidRDefault="00812DE6" w:rsidP="00491119">
            <w:pPr>
              <w:autoSpaceDE w:val="0"/>
              <w:autoSpaceDN w:val="0"/>
              <w:adjustRightInd w:val="0"/>
              <w:rPr>
                <w:rFonts w:ascii="Palatino Linotype" w:hAnsi="Palatino Linotype"/>
                <w:b/>
                <w:bCs/>
                <w:i/>
                <w:color w:val="000000" w:themeColor="text1"/>
                <w:sz w:val="22"/>
                <w:szCs w:val="22"/>
              </w:rPr>
            </w:pPr>
            <w:r w:rsidRPr="00491119">
              <w:rPr>
                <w:rFonts w:ascii="Palatino Linotype" w:hAnsi="Palatino Linotype"/>
                <w:i/>
                <w:sz w:val="22"/>
                <w:szCs w:val="22"/>
              </w:rPr>
              <w:t>08010018 SAN JUAN LOMA BAJO – URBANO</w:t>
            </w:r>
          </w:p>
        </w:tc>
        <w:tc>
          <w:tcPr>
            <w:tcW w:w="2126" w:type="dxa"/>
          </w:tcPr>
          <w:p w:rsidR="00812DE6" w:rsidRPr="00EC1DB7" w:rsidRDefault="00812DE6" w:rsidP="004368E9">
            <w:pPr>
              <w:autoSpaceDE w:val="0"/>
              <w:autoSpaceDN w:val="0"/>
              <w:adjustRightInd w:val="0"/>
              <w:jc w:val="both"/>
              <w:rPr>
                <w:rFonts w:ascii="Palatino Linotype" w:hAnsi="Palatino Linotype"/>
                <w:b/>
                <w:bCs/>
                <w:i/>
                <w:color w:val="000000" w:themeColor="text1"/>
                <w:sz w:val="22"/>
                <w:szCs w:val="22"/>
              </w:rPr>
            </w:pPr>
            <w:r w:rsidRPr="00EC1DB7">
              <w:rPr>
                <w:rFonts w:ascii="Palatino Linotype" w:hAnsi="Palatino Linotype"/>
                <w:sz w:val="22"/>
                <w:szCs w:val="22"/>
              </w:rPr>
              <w:t>898,15m2</w:t>
            </w:r>
          </w:p>
        </w:tc>
        <w:tc>
          <w:tcPr>
            <w:tcW w:w="1948" w:type="dxa"/>
          </w:tcPr>
          <w:p w:rsidR="00812DE6" w:rsidRPr="00EC1DB7" w:rsidRDefault="00812DE6" w:rsidP="004368E9">
            <w:pPr>
              <w:autoSpaceDE w:val="0"/>
              <w:autoSpaceDN w:val="0"/>
              <w:adjustRightInd w:val="0"/>
              <w:jc w:val="both"/>
              <w:rPr>
                <w:rFonts w:ascii="Palatino Linotype" w:hAnsi="Palatino Linotype"/>
                <w:b/>
                <w:bCs/>
                <w:i/>
                <w:color w:val="000000" w:themeColor="text1"/>
                <w:sz w:val="22"/>
                <w:szCs w:val="22"/>
              </w:rPr>
            </w:pPr>
            <w:r w:rsidRPr="00EC1DB7">
              <w:rPr>
                <w:rFonts w:ascii="Palatino Linotype" w:hAnsi="Palatino Linotype"/>
                <w:sz w:val="22"/>
                <w:szCs w:val="22"/>
              </w:rPr>
              <w:t>100,00</w:t>
            </w:r>
            <w:r w:rsidR="00A42996" w:rsidRPr="00EC1DB7">
              <w:rPr>
                <w:rFonts w:ascii="Palatino Linotype" w:hAnsi="Palatino Linotype"/>
                <w:sz w:val="22"/>
                <w:szCs w:val="22"/>
              </w:rPr>
              <w:t xml:space="preserve"> </w:t>
            </w:r>
            <w:r w:rsidRPr="00EC1DB7">
              <w:rPr>
                <w:rFonts w:ascii="Palatino Linotype" w:hAnsi="Palatino Linotype"/>
                <w:sz w:val="22"/>
                <w:szCs w:val="22"/>
              </w:rPr>
              <w:t>usd</w:t>
            </w:r>
          </w:p>
        </w:tc>
        <w:tc>
          <w:tcPr>
            <w:tcW w:w="2207" w:type="dxa"/>
          </w:tcPr>
          <w:p w:rsidR="00812DE6" w:rsidRPr="00EC1DB7" w:rsidRDefault="00812DE6" w:rsidP="004368E9">
            <w:pPr>
              <w:autoSpaceDE w:val="0"/>
              <w:autoSpaceDN w:val="0"/>
              <w:adjustRightInd w:val="0"/>
              <w:jc w:val="both"/>
              <w:rPr>
                <w:rFonts w:ascii="Palatino Linotype" w:hAnsi="Palatino Linotype"/>
                <w:b/>
                <w:bCs/>
                <w:i/>
                <w:color w:val="000000" w:themeColor="text1"/>
                <w:sz w:val="22"/>
                <w:szCs w:val="22"/>
              </w:rPr>
            </w:pPr>
            <w:bookmarkStart w:id="0" w:name="_GoBack"/>
            <w:r w:rsidRPr="00EC1DB7">
              <w:rPr>
                <w:rFonts w:ascii="Palatino Linotype" w:hAnsi="Palatino Linotype"/>
                <w:sz w:val="22"/>
                <w:szCs w:val="22"/>
              </w:rPr>
              <w:t>81.686,74</w:t>
            </w:r>
            <w:bookmarkEnd w:id="0"/>
          </w:p>
        </w:tc>
      </w:tr>
      <w:tr w:rsidR="00812DE6" w:rsidRPr="00EC1DB7" w:rsidTr="009744A6">
        <w:tc>
          <w:tcPr>
            <w:tcW w:w="8124" w:type="dxa"/>
            <w:gridSpan w:val="4"/>
          </w:tcPr>
          <w:p w:rsidR="00812DE6" w:rsidRPr="00491119" w:rsidRDefault="00812DE6" w:rsidP="00491119">
            <w:pPr>
              <w:autoSpaceDE w:val="0"/>
              <w:autoSpaceDN w:val="0"/>
              <w:adjustRightInd w:val="0"/>
              <w:rPr>
                <w:rFonts w:ascii="Palatino Linotype" w:hAnsi="Palatino Linotype"/>
                <w:b/>
                <w:bCs/>
                <w:i/>
                <w:color w:val="000000" w:themeColor="text1"/>
                <w:sz w:val="22"/>
                <w:szCs w:val="22"/>
              </w:rPr>
            </w:pPr>
            <w:r w:rsidRPr="00491119">
              <w:rPr>
                <w:rFonts w:ascii="Palatino Linotype" w:hAnsi="Palatino Linotype"/>
                <w:i/>
                <w:sz w:val="22"/>
                <w:szCs w:val="22"/>
              </w:rPr>
              <w:t>Legal: Ordenanza Metropolitana Nro. 008-2019, Modificatoria del Capítulo I " VALORACIÓN INMOBILIARIA", DEL TÍTULO III “, DEL LIBRO 111.5 Del Eje Económico del Código Municipal para el Distrito Metropolitano de Quito con el cual se aprueba el Plano de Valor de la Tierra de los predios Urbanos y Rurales del Distrito Metropolitano a regir para el Bienio 2020-2021”.</w:t>
            </w:r>
          </w:p>
        </w:tc>
      </w:tr>
    </w:tbl>
    <w:p w:rsidR="00812DE6" w:rsidRPr="00EC1DB7" w:rsidRDefault="00812DE6" w:rsidP="00812DE6">
      <w:pPr>
        <w:autoSpaceDE w:val="0"/>
        <w:autoSpaceDN w:val="0"/>
        <w:adjustRightInd w:val="0"/>
        <w:jc w:val="both"/>
        <w:rPr>
          <w:rFonts w:ascii="Palatino Linotype" w:hAnsi="Palatino Linotype"/>
          <w:b/>
          <w:bCs/>
          <w:i/>
          <w:color w:val="000000" w:themeColor="text1"/>
          <w:sz w:val="22"/>
          <w:szCs w:val="22"/>
          <w:lang w:val="es-ES"/>
        </w:rPr>
      </w:pPr>
    </w:p>
    <w:p w:rsidR="00812DE6" w:rsidRPr="00EC1DB7" w:rsidRDefault="00812DE6" w:rsidP="00812DE6">
      <w:pPr>
        <w:autoSpaceDE w:val="0"/>
        <w:autoSpaceDN w:val="0"/>
        <w:adjustRightInd w:val="0"/>
        <w:ind w:left="708" w:hanging="708"/>
        <w:jc w:val="both"/>
        <w:rPr>
          <w:rFonts w:ascii="Palatino Linotype" w:hAnsi="Palatino Linotype"/>
          <w:sz w:val="22"/>
          <w:szCs w:val="22"/>
        </w:rPr>
      </w:pPr>
      <w:r w:rsidRPr="00EC1DB7">
        <w:rPr>
          <w:rFonts w:ascii="Palatino Linotype" w:hAnsi="Palatino Linotype"/>
          <w:b/>
          <w:sz w:val="22"/>
          <w:szCs w:val="22"/>
        </w:rPr>
        <w:t xml:space="preserve">Que, </w:t>
      </w:r>
      <w:r w:rsidRPr="00EC1DB7">
        <w:rPr>
          <w:rFonts w:ascii="Palatino Linotype" w:hAnsi="Palatino Linotype"/>
          <w:sz w:val="22"/>
          <w:szCs w:val="22"/>
        </w:rPr>
        <w:t xml:space="preserve">mediante Informe Técnico No. AZCA-DGT-2021-014, de 21 de octubre de 2021, el Ing. Israel Jiménez, Dirección de Gestión de Territorio Administración Calderón, señala: </w:t>
      </w:r>
    </w:p>
    <w:p w:rsidR="00812DE6" w:rsidRPr="00EC1DB7" w:rsidRDefault="00812DE6" w:rsidP="00812DE6">
      <w:pPr>
        <w:autoSpaceDE w:val="0"/>
        <w:autoSpaceDN w:val="0"/>
        <w:adjustRightInd w:val="0"/>
        <w:ind w:left="708"/>
        <w:jc w:val="both"/>
        <w:rPr>
          <w:rFonts w:ascii="Palatino Linotype" w:hAnsi="Palatino Linotype"/>
          <w:b/>
          <w:sz w:val="22"/>
          <w:szCs w:val="22"/>
        </w:rPr>
      </w:pPr>
    </w:p>
    <w:p w:rsidR="00812DE6" w:rsidRPr="00EC1DB7" w:rsidRDefault="00812DE6" w:rsidP="00812DE6">
      <w:pPr>
        <w:autoSpaceDE w:val="0"/>
        <w:autoSpaceDN w:val="0"/>
        <w:adjustRightInd w:val="0"/>
        <w:ind w:left="708"/>
        <w:jc w:val="both"/>
        <w:rPr>
          <w:rFonts w:ascii="Palatino Linotype" w:hAnsi="Palatino Linotype"/>
          <w:i/>
          <w:sz w:val="22"/>
          <w:szCs w:val="22"/>
        </w:rPr>
      </w:pPr>
      <w:r w:rsidRPr="00EC1DB7">
        <w:rPr>
          <w:rFonts w:ascii="Palatino Linotype" w:hAnsi="Palatino Linotype"/>
          <w:i/>
          <w:sz w:val="22"/>
          <w:szCs w:val="22"/>
        </w:rPr>
        <w:t xml:space="preserve">“(…) Del análisis técnico se desprende que, la prescripción adquisitiva de dominio de una parte del inmueble del predio No. 435329, No Cumple con los datos establecidos en la zonificación vigente, tales como, “lote mínimo” y “frente mínimo”, razón por la que se emite </w:t>
      </w:r>
      <w:r w:rsidRPr="00EC1DB7">
        <w:rPr>
          <w:rFonts w:ascii="Palatino Linotype" w:hAnsi="Palatino Linotype"/>
          <w:b/>
          <w:i/>
          <w:sz w:val="22"/>
          <w:szCs w:val="22"/>
        </w:rPr>
        <w:t>Informe Técnico Desfavorable.</w:t>
      </w:r>
      <w:r w:rsidRPr="00EC1DB7">
        <w:rPr>
          <w:rFonts w:ascii="Palatino Linotype" w:hAnsi="Palatino Linotype"/>
          <w:i/>
          <w:sz w:val="22"/>
          <w:szCs w:val="22"/>
        </w:rPr>
        <w:t xml:space="preserve"> </w:t>
      </w:r>
    </w:p>
    <w:p w:rsidR="00812DE6" w:rsidRPr="00EC1DB7" w:rsidRDefault="00812DE6" w:rsidP="00812DE6">
      <w:pPr>
        <w:autoSpaceDE w:val="0"/>
        <w:autoSpaceDN w:val="0"/>
        <w:adjustRightInd w:val="0"/>
        <w:ind w:left="708"/>
        <w:jc w:val="both"/>
        <w:rPr>
          <w:rFonts w:ascii="Palatino Linotype" w:hAnsi="Palatino Linotype"/>
          <w:i/>
          <w:sz w:val="22"/>
          <w:szCs w:val="22"/>
        </w:rPr>
      </w:pPr>
    </w:p>
    <w:p w:rsidR="00812DE6" w:rsidRPr="00EC1DB7" w:rsidRDefault="00812DE6" w:rsidP="00812DE6">
      <w:pPr>
        <w:autoSpaceDE w:val="0"/>
        <w:autoSpaceDN w:val="0"/>
        <w:adjustRightInd w:val="0"/>
        <w:ind w:left="708"/>
        <w:jc w:val="both"/>
        <w:rPr>
          <w:rFonts w:ascii="Palatino Linotype" w:hAnsi="Palatino Linotype"/>
          <w:b/>
          <w:i/>
          <w:sz w:val="22"/>
          <w:szCs w:val="22"/>
        </w:rPr>
      </w:pPr>
      <w:r w:rsidRPr="00EC1DB7">
        <w:rPr>
          <w:rFonts w:ascii="Palatino Linotype" w:hAnsi="Palatino Linotype"/>
          <w:i/>
          <w:sz w:val="22"/>
          <w:szCs w:val="22"/>
        </w:rPr>
        <w:t>No obstante, en relación al pronunciamiento de Procuraduría Metropolitana de 31 de diciembre de 2011,suscrito por el Dr. Edgar Ulloa Balladares, Subprocurador Metropolitano a través de ticket No. 2011-73032, el presente caso se encuentra dentro del escenario B.2.1, el cual, textualmente señala: “...En este escenario es posible también que la subdivisión que se genere como consecuencia de la sentencia distado dentro del juicio de prescripción adquisitiva de dominio afecte las condiciones generales de los inmuebles de la zona, como es el denominado “lote mínimo”. En este caso, previo a proceder con el fraccionamiento y posterior catastro a nombre del actor, se debe requerir que el Concejo Metropolitano, en cumplimiento de la sentencia dictada por la autoridad jurisdiccional, cambie las condiciones de ese inmueble en particular, y en definitiva genere una excepción a las condiciones generales. El trámite ante Concejo Metropolitano se podrá iniciar con pedido del interesado o de la Administración Zonal competente...”.</w:t>
      </w:r>
    </w:p>
    <w:p w:rsidR="005F3942" w:rsidRPr="00EC1DB7" w:rsidRDefault="005F3942" w:rsidP="000F0D3B">
      <w:pPr>
        <w:pStyle w:val="Default"/>
        <w:ind w:left="708" w:hanging="708"/>
        <w:jc w:val="both"/>
        <w:rPr>
          <w:b/>
          <w:i/>
          <w:sz w:val="22"/>
          <w:szCs w:val="22"/>
        </w:rPr>
      </w:pPr>
    </w:p>
    <w:p w:rsidR="00812DE6" w:rsidRPr="00EC1DB7" w:rsidRDefault="00812DE6" w:rsidP="000F0D3B">
      <w:pPr>
        <w:pStyle w:val="Default"/>
        <w:ind w:left="708" w:hanging="708"/>
        <w:jc w:val="both"/>
        <w:rPr>
          <w:b/>
          <w:i/>
          <w:sz w:val="22"/>
          <w:szCs w:val="22"/>
        </w:rPr>
      </w:pPr>
    </w:p>
    <w:p w:rsidR="000113AC" w:rsidRPr="00EC1DB7" w:rsidRDefault="00934752" w:rsidP="000113AC">
      <w:pPr>
        <w:pStyle w:val="Default"/>
        <w:ind w:left="708" w:hanging="708"/>
        <w:jc w:val="both"/>
        <w:rPr>
          <w:sz w:val="22"/>
          <w:szCs w:val="22"/>
        </w:rPr>
      </w:pPr>
      <w:r w:rsidRPr="00EC1DB7">
        <w:rPr>
          <w:b/>
          <w:sz w:val="22"/>
          <w:szCs w:val="22"/>
        </w:rPr>
        <w:lastRenderedPageBreak/>
        <w:t>Q</w:t>
      </w:r>
      <w:r w:rsidR="000113AC" w:rsidRPr="00EC1DB7">
        <w:rPr>
          <w:b/>
          <w:sz w:val="22"/>
          <w:szCs w:val="22"/>
        </w:rPr>
        <w:t xml:space="preserve">ue, </w:t>
      </w:r>
      <w:r w:rsidR="000113AC" w:rsidRPr="00EC1DB7">
        <w:rPr>
          <w:sz w:val="22"/>
          <w:szCs w:val="22"/>
        </w:rPr>
        <w:tab/>
        <w:t>la Comisión de Uso de Su</w:t>
      </w:r>
      <w:r w:rsidR="00C31F94" w:rsidRPr="00EC1DB7">
        <w:rPr>
          <w:sz w:val="22"/>
          <w:szCs w:val="22"/>
        </w:rPr>
        <w:t xml:space="preserve">elo en sesión ordinaria Nro. </w:t>
      </w:r>
      <w:r w:rsidR="00384ECF" w:rsidRPr="00EC1DB7">
        <w:rPr>
          <w:sz w:val="22"/>
          <w:szCs w:val="22"/>
        </w:rPr>
        <w:t>126</w:t>
      </w:r>
      <w:r w:rsidR="000113AC" w:rsidRPr="00EC1DB7">
        <w:rPr>
          <w:sz w:val="22"/>
          <w:szCs w:val="22"/>
        </w:rPr>
        <w:t xml:space="preserve">, de </w:t>
      </w:r>
      <w:r w:rsidR="00384ECF" w:rsidRPr="00EC1DB7">
        <w:rPr>
          <w:sz w:val="22"/>
          <w:szCs w:val="22"/>
        </w:rPr>
        <w:t xml:space="preserve">03 </w:t>
      </w:r>
      <w:r w:rsidR="000113AC" w:rsidRPr="00EC1DB7">
        <w:rPr>
          <w:sz w:val="22"/>
          <w:szCs w:val="22"/>
        </w:rPr>
        <w:t xml:space="preserve">de </w:t>
      </w:r>
      <w:r w:rsidR="00462FAA" w:rsidRPr="00EC1DB7">
        <w:rPr>
          <w:sz w:val="22"/>
          <w:szCs w:val="22"/>
        </w:rPr>
        <w:t xml:space="preserve">enero </w:t>
      </w:r>
      <w:r w:rsidR="00061B14" w:rsidRPr="00EC1DB7">
        <w:rPr>
          <w:sz w:val="22"/>
          <w:szCs w:val="22"/>
        </w:rPr>
        <w:t>de 2022</w:t>
      </w:r>
      <w:r w:rsidR="000113AC" w:rsidRPr="00EC1DB7">
        <w:rPr>
          <w:sz w:val="22"/>
          <w:szCs w:val="22"/>
        </w:rPr>
        <w:t>, analizó los informes técnicos y legale</w:t>
      </w:r>
      <w:r w:rsidR="009D1665" w:rsidRPr="00EC1DB7">
        <w:rPr>
          <w:sz w:val="22"/>
          <w:szCs w:val="22"/>
        </w:rPr>
        <w:t>s, que reposan en el expediente</w:t>
      </w:r>
      <w:r w:rsidR="000113AC" w:rsidRPr="00EC1DB7">
        <w:rPr>
          <w:sz w:val="22"/>
          <w:szCs w:val="22"/>
        </w:rPr>
        <w:t>, y emitió dictamen favorable para que el Concejo Metropolitano conozca la sentencia de prescripción extraordinaria adquisitiva de dominio y como efecto de dicha sentencia, y para su efectiva ejecución, autorice la subdivisión del bien en mención, cambiando las condiciones de ese inmueble en particular y generando una excepc</w:t>
      </w:r>
      <w:r w:rsidR="003D00A7" w:rsidRPr="00EC1DB7">
        <w:rPr>
          <w:sz w:val="22"/>
          <w:szCs w:val="22"/>
        </w:rPr>
        <w:t>i</w:t>
      </w:r>
      <w:r w:rsidR="00E0537E" w:rsidRPr="00EC1DB7">
        <w:rPr>
          <w:sz w:val="22"/>
          <w:szCs w:val="22"/>
        </w:rPr>
        <w:t xml:space="preserve">ón a las condiciones generales. </w:t>
      </w:r>
      <w:r w:rsidR="000113AC" w:rsidRPr="00EC1DB7">
        <w:rPr>
          <w:sz w:val="22"/>
          <w:szCs w:val="22"/>
        </w:rPr>
        <w:t xml:space="preserve"> </w:t>
      </w:r>
    </w:p>
    <w:p w:rsidR="000113AC" w:rsidRPr="00EC1DB7"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p>
    <w:p w:rsidR="000113AC" w:rsidRPr="00EC1DB7"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r w:rsidRPr="00EC1DB7">
        <w:rPr>
          <w:rFonts w:ascii="Palatino Linotype" w:eastAsiaTheme="minorHAnsi" w:hAnsi="Palatino Linotype"/>
          <w:sz w:val="22"/>
          <w:szCs w:val="22"/>
          <w:lang w:eastAsia="en-US"/>
        </w:rPr>
        <w:t xml:space="preserve">Que, </w:t>
      </w:r>
      <w:r w:rsidRPr="00EC1DB7">
        <w:rPr>
          <w:rFonts w:ascii="Palatino Linotype" w:eastAsiaTheme="minorHAnsi" w:hAnsi="Palatino Linotype"/>
          <w:sz w:val="22"/>
          <w:szCs w:val="22"/>
          <w:lang w:eastAsia="en-US"/>
        </w:rPr>
        <w:tab/>
        <w:t>el Concejo Metropolitano de Quito, en sesión pública ordinaria realizada el … de … de 2022, analizó el informe Nro. IC-CUS-202</w:t>
      </w:r>
      <w:r w:rsidR="00061B14" w:rsidRPr="00EC1DB7">
        <w:rPr>
          <w:rFonts w:ascii="Palatino Linotype" w:eastAsiaTheme="minorHAnsi" w:hAnsi="Palatino Linotype"/>
          <w:sz w:val="22"/>
          <w:szCs w:val="22"/>
          <w:lang w:eastAsia="en-US"/>
        </w:rPr>
        <w:t>2</w:t>
      </w:r>
      <w:r w:rsidR="007A32EC" w:rsidRPr="00EC1DB7">
        <w:rPr>
          <w:rFonts w:ascii="Palatino Linotype" w:eastAsiaTheme="minorHAnsi" w:hAnsi="Palatino Linotype"/>
          <w:sz w:val="22"/>
          <w:szCs w:val="22"/>
          <w:lang w:eastAsia="en-US"/>
        </w:rPr>
        <w:t>-</w:t>
      </w:r>
      <w:r w:rsidR="006A1C0B" w:rsidRPr="00EC1DB7">
        <w:rPr>
          <w:rFonts w:ascii="Palatino Linotype" w:eastAsiaTheme="minorHAnsi" w:hAnsi="Palatino Linotype"/>
          <w:sz w:val="22"/>
          <w:szCs w:val="22"/>
          <w:lang w:eastAsia="en-US"/>
        </w:rPr>
        <w:t>007</w:t>
      </w:r>
      <w:r w:rsidRPr="00EC1DB7">
        <w:rPr>
          <w:rFonts w:ascii="Palatino Linotype" w:eastAsiaTheme="minorHAnsi" w:hAnsi="Palatino Linotype"/>
          <w:sz w:val="22"/>
          <w:szCs w:val="22"/>
          <w:lang w:eastAsia="en-US"/>
        </w:rPr>
        <w:t xml:space="preserve">, emitido por la Comisión de Uso de Suelo; </w:t>
      </w:r>
    </w:p>
    <w:p w:rsidR="000113AC" w:rsidRPr="00EC1DB7"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EC1DB7" w:rsidRDefault="000113AC" w:rsidP="000113AC">
      <w:pPr>
        <w:autoSpaceDE w:val="0"/>
        <w:autoSpaceDN w:val="0"/>
        <w:adjustRightInd w:val="0"/>
        <w:spacing w:line="276" w:lineRule="auto"/>
        <w:jc w:val="both"/>
        <w:rPr>
          <w:rFonts w:ascii="Palatino Linotype" w:eastAsiaTheme="minorHAnsi" w:hAnsi="Palatino Linotype"/>
          <w:b/>
          <w:bCs/>
          <w:sz w:val="22"/>
          <w:szCs w:val="22"/>
          <w:lang w:eastAsia="en-US"/>
        </w:rPr>
      </w:pPr>
      <w:r w:rsidRPr="00EC1DB7">
        <w:rPr>
          <w:rFonts w:ascii="Palatino Linotype" w:eastAsiaTheme="minorHAnsi" w:hAnsi="Palatino Linotype"/>
          <w:b/>
          <w:bCs/>
          <w:sz w:val="22"/>
          <w:szCs w:val="22"/>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0113AC" w:rsidRPr="00EC1DB7" w:rsidRDefault="000113AC" w:rsidP="000113AC">
      <w:pPr>
        <w:autoSpaceDE w:val="0"/>
        <w:autoSpaceDN w:val="0"/>
        <w:adjustRightInd w:val="0"/>
        <w:spacing w:line="276" w:lineRule="auto"/>
        <w:jc w:val="both"/>
        <w:rPr>
          <w:rFonts w:ascii="Palatino Linotype" w:eastAsiaTheme="minorHAnsi" w:hAnsi="Palatino Linotype"/>
          <w:b/>
          <w:bCs/>
          <w:sz w:val="22"/>
          <w:szCs w:val="22"/>
          <w:lang w:eastAsia="en-US"/>
        </w:rPr>
      </w:pPr>
    </w:p>
    <w:p w:rsidR="000113AC" w:rsidRPr="00EC1DB7" w:rsidRDefault="000113AC" w:rsidP="000113AC">
      <w:pPr>
        <w:autoSpaceDE w:val="0"/>
        <w:autoSpaceDN w:val="0"/>
        <w:adjustRightInd w:val="0"/>
        <w:spacing w:line="276" w:lineRule="auto"/>
        <w:jc w:val="center"/>
        <w:rPr>
          <w:rFonts w:ascii="Palatino Linotype" w:eastAsiaTheme="minorHAnsi" w:hAnsi="Palatino Linotype"/>
          <w:b/>
          <w:bCs/>
          <w:sz w:val="22"/>
          <w:szCs w:val="22"/>
          <w:lang w:eastAsia="en-US"/>
        </w:rPr>
      </w:pPr>
      <w:r w:rsidRPr="00EC1DB7">
        <w:rPr>
          <w:rFonts w:ascii="Palatino Linotype" w:eastAsiaTheme="minorHAnsi" w:hAnsi="Palatino Linotype"/>
          <w:b/>
          <w:bCs/>
          <w:sz w:val="22"/>
          <w:szCs w:val="22"/>
          <w:lang w:eastAsia="en-US"/>
        </w:rPr>
        <w:t>RESUELVE:</w:t>
      </w:r>
    </w:p>
    <w:p w:rsidR="000113AC" w:rsidRPr="00EC1DB7" w:rsidRDefault="000113AC" w:rsidP="000113AC">
      <w:pPr>
        <w:autoSpaceDE w:val="0"/>
        <w:autoSpaceDN w:val="0"/>
        <w:adjustRightInd w:val="0"/>
        <w:spacing w:line="276" w:lineRule="auto"/>
        <w:jc w:val="center"/>
        <w:rPr>
          <w:rFonts w:ascii="Palatino Linotype" w:hAnsi="Palatino Linotype"/>
          <w:sz w:val="22"/>
          <w:szCs w:val="22"/>
        </w:rPr>
      </w:pPr>
    </w:p>
    <w:p w:rsidR="000113AC" w:rsidRPr="00EC1DB7"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EC1DB7">
        <w:rPr>
          <w:rFonts w:ascii="Palatino Linotype" w:eastAsiaTheme="minorHAnsi" w:hAnsi="Palatino Linotype"/>
          <w:b/>
          <w:sz w:val="22"/>
          <w:szCs w:val="22"/>
          <w:lang w:eastAsia="en-US"/>
        </w:rPr>
        <w:t>Artículo 1.-</w:t>
      </w:r>
      <w:r w:rsidRPr="00EC1DB7">
        <w:rPr>
          <w:rFonts w:ascii="Palatino Linotype" w:eastAsiaTheme="minorHAnsi" w:hAnsi="Palatino Linotype"/>
          <w:sz w:val="22"/>
          <w:szCs w:val="22"/>
          <w:lang w:eastAsia="en-US"/>
        </w:rPr>
        <w:t xml:space="preserve"> Acoger el informe Nr</w:t>
      </w:r>
      <w:r w:rsidR="00061B14" w:rsidRPr="00EC1DB7">
        <w:rPr>
          <w:rFonts w:ascii="Palatino Linotype" w:eastAsiaTheme="minorHAnsi" w:hAnsi="Palatino Linotype"/>
          <w:sz w:val="22"/>
          <w:szCs w:val="22"/>
          <w:lang w:eastAsia="en-US"/>
        </w:rPr>
        <w:t>o. IC-CUS-2022</w:t>
      </w:r>
      <w:r w:rsidRPr="00EC1DB7">
        <w:rPr>
          <w:rFonts w:ascii="Palatino Linotype" w:eastAsiaTheme="minorHAnsi" w:hAnsi="Palatino Linotype"/>
          <w:sz w:val="22"/>
          <w:szCs w:val="22"/>
          <w:lang w:eastAsia="en-US"/>
        </w:rPr>
        <w:t>-</w:t>
      </w:r>
      <w:r w:rsidR="006A1C0B" w:rsidRPr="00EC1DB7">
        <w:rPr>
          <w:rFonts w:ascii="Palatino Linotype" w:eastAsiaTheme="minorHAnsi" w:hAnsi="Palatino Linotype"/>
          <w:sz w:val="22"/>
          <w:szCs w:val="22"/>
          <w:lang w:eastAsia="en-US"/>
        </w:rPr>
        <w:t>007</w:t>
      </w:r>
      <w:r w:rsidR="008E79EA" w:rsidRPr="00EC1DB7">
        <w:rPr>
          <w:rFonts w:ascii="Palatino Linotype" w:eastAsiaTheme="minorHAnsi" w:hAnsi="Palatino Linotype"/>
          <w:sz w:val="22"/>
          <w:szCs w:val="22"/>
          <w:lang w:eastAsia="en-US"/>
        </w:rPr>
        <w:t xml:space="preserve"> </w:t>
      </w:r>
      <w:r w:rsidRPr="00EC1DB7">
        <w:rPr>
          <w:rFonts w:ascii="Palatino Linotype" w:eastAsiaTheme="minorHAnsi" w:hAnsi="Palatino Linotype"/>
          <w:sz w:val="22"/>
          <w:szCs w:val="22"/>
          <w:lang w:eastAsia="en-US"/>
        </w:rPr>
        <w:t>emitido por la Comisión de Uso de Suelo, y por tanto, conocer la sentencia de prescripción extraordinaria adquisitiva de dominio y como efecto de dicha sentencia, y para su efectiva ejecución, autorizar la subdivisión del bien en mención, cambiando las condiciones de ese inmueble en particular y generando una excepció</w:t>
      </w:r>
      <w:r w:rsidR="00C167C7" w:rsidRPr="00EC1DB7">
        <w:rPr>
          <w:rFonts w:ascii="Palatino Linotype" w:eastAsiaTheme="minorHAnsi" w:hAnsi="Palatino Linotype"/>
          <w:sz w:val="22"/>
          <w:szCs w:val="22"/>
          <w:lang w:eastAsia="en-US"/>
        </w:rPr>
        <w:t xml:space="preserve">n a las condiciones generales. </w:t>
      </w:r>
    </w:p>
    <w:p w:rsidR="000113AC" w:rsidRPr="00EC1DB7"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EC1DB7"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EC1DB7">
        <w:rPr>
          <w:rFonts w:ascii="Palatino Linotype" w:eastAsiaTheme="minorHAnsi" w:hAnsi="Palatino Linotype"/>
          <w:sz w:val="22"/>
          <w:szCs w:val="22"/>
          <w:lang w:eastAsia="en-US"/>
        </w:rPr>
        <w:t xml:space="preserve">De conformidad con lo dispuesto en el numeral 4 del artículo 2171 del Código Municipal para el Distrito Metropolitano de Quito, </w:t>
      </w:r>
      <w:r w:rsidR="00CA00D1" w:rsidRPr="00EC1DB7">
        <w:rPr>
          <w:rFonts w:ascii="Palatino Linotype" w:hAnsi="Palatino Linotype"/>
          <w:sz w:val="22"/>
          <w:szCs w:val="22"/>
        </w:rPr>
        <w:t>la señora Almeida Estrella Francisca Hermelinda</w:t>
      </w:r>
      <w:r w:rsidRPr="00EC1DB7">
        <w:rPr>
          <w:rFonts w:ascii="Palatino Linotype" w:eastAsiaTheme="minorHAnsi" w:hAnsi="Palatino Linotype"/>
          <w:sz w:val="22"/>
          <w:szCs w:val="22"/>
          <w:lang w:eastAsia="en-US"/>
        </w:rPr>
        <w:t xml:space="preserve">, deberá compensar en valor monetario, la contribución del 15% del área útil adjudicada, que, de acuerdo al cálculo realizado por la Administración Zonal, corresponde al valor </w:t>
      </w:r>
      <w:r w:rsidR="0017146B" w:rsidRPr="00EC1DB7">
        <w:rPr>
          <w:rFonts w:ascii="Palatino Linotype" w:hAnsi="Palatino Linotype"/>
          <w:sz w:val="22"/>
          <w:szCs w:val="22"/>
        </w:rPr>
        <w:t>de</w:t>
      </w:r>
      <w:r w:rsidR="0017146B" w:rsidRPr="00EC1DB7">
        <w:rPr>
          <w:rFonts w:ascii="Palatino Linotype" w:hAnsi="Palatino Linotype"/>
          <w:i/>
          <w:sz w:val="22"/>
          <w:szCs w:val="22"/>
        </w:rPr>
        <w:t xml:space="preserve"> </w:t>
      </w:r>
      <w:r w:rsidR="007E027A" w:rsidRPr="00EC1DB7">
        <w:rPr>
          <w:rFonts w:ascii="Palatino Linotype" w:hAnsi="Palatino Linotype"/>
          <w:sz w:val="22"/>
          <w:szCs w:val="22"/>
        </w:rPr>
        <w:t xml:space="preserve">USD </w:t>
      </w:r>
      <w:r w:rsidR="000010D2" w:rsidRPr="00EC1DB7">
        <w:rPr>
          <w:rFonts w:ascii="Palatino Linotype" w:hAnsi="Palatino Linotype"/>
          <w:sz w:val="22"/>
          <w:szCs w:val="22"/>
        </w:rPr>
        <w:t>5189.88</w:t>
      </w:r>
      <w:r w:rsidR="000010D2" w:rsidRPr="00EC1DB7">
        <w:rPr>
          <w:rFonts w:ascii="Palatino Linotype" w:hAnsi="Palatino Linotype"/>
          <w:sz w:val="22"/>
          <w:szCs w:val="22"/>
        </w:rPr>
        <w:t xml:space="preserve"> </w:t>
      </w:r>
      <w:r w:rsidR="007E027A" w:rsidRPr="00EC1DB7">
        <w:rPr>
          <w:rFonts w:ascii="Palatino Linotype" w:hAnsi="Palatino Linotype"/>
          <w:sz w:val="22"/>
          <w:szCs w:val="22"/>
        </w:rPr>
        <w:t>dólares.</w:t>
      </w:r>
    </w:p>
    <w:p w:rsidR="000113AC" w:rsidRPr="00EC1DB7"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EC1DB7"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EC1DB7">
        <w:rPr>
          <w:rFonts w:ascii="Palatino Linotype" w:eastAsiaTheme="minorHAnsi" w:hAnsi="Palatino Linotype"/>
          <w:b/>
          <w:sz w:val="22"/>
          <w:szCs w:val="22"/>
          <w:lang w:eastAsia="en-US"/>
        </w:rPr>
        <w:t xml:space="preserve">Artículo 2.- </w:t>
      </w:r>
      <w:r w:rsidRPr="00EC1DB7">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0113AC" w:rsidRPr="00EC1DB7" w:rsidRDefault="000113AC" w:rsidP="000113AC">
      <w:pPr>
        <w:autoSpaceDE w:val="0"/>
        <w:autoSpaceDN w:val="0"/>
        <w:adjustRightInd w:val="0"/>
        <w:spacing w:line="276" w:lineRule="auto"/>
        <w:rPr>
          <w:rFonts w:ascii="Palatino Linotype" w:eastAsiaTheme="minorHAnsi" w:hAnsi="Palatino Linotype"/>
          <w:sz w:val="22"/>
          <w:szCs w:val="22"/>
          <w:lang w:eastAsia="en-US"/>
        </w:rPr>
      </w:pPr>
    </w:p>
    <w:p w:rsidR="000113AC" w:rsidRPr="00EC1DB7"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EC1DB7">
        <w:rPr>
          <w:rFonts w:ascii="Palatino Linotype" w:eastAsiaTheme="minorHAnsi" w:hAnsi="Palatino Linotype"/>
          <w:b/>
          <w:sz w:val="22"/>
          <w:szCs w:val="22"/>
          <w:lang w:eastAsia="en-US"/>
        </w:rPr>
        <w:t>Disposición Final.-</w:t>
      </w:r>
      <w:r w:rsidRPr="00EC1DB7">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0113AC" w:rsidRPr="00EC1DB7"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EC1DB7" w:rsidRDefault="000113AC" w:rsidP="000113AC">
      <w:pPr>
        <w:spacing w:line="276" w:lineRule="auto"/>
        <w:ind w:left="-5"/>
        <w:jc w:val="both"/>
        <w:rPr>
          <w:rFonts w:ascii="Palatino Linotype" w:hAnsi="Palatino Linotype"/>
          <w:sz w:val="22"/>
          <w:szCs w:val="22"/>
        </w:rPr>
      </w:pPr>
      <w:r w:rsidRPr="00EC1DB7">
        <w:rPr>
          <w:rFonts w:ascii="Palatino Linotype" w:hAnsi="Palatino Linotype"/>
          <w:sz w:val="22"/>
          <w:szCs w:val="22"/>
        </w:rPr>
        <w:t xml:space="preserve">Dada en la sesión del Concejo Metropolitano de Quito, el ……….. </w:t>
      </w:r>
    </w:p>
    <w:p w:rsidR="000113AC" w:rsidRPr="00EC1DB7" w:rsidRDefault="000113AC" w:rsidP="000113AC">
      <w:pPr>
        <w:spacing w:line="276" w:lineRule="auto"/>
        <w:ind w:left="-5"/>
        <w:jc w:val="both"/>
        <w:rPr>
          <w:rFonts w:ascii="Palatino Linotype" w:hAnsi="Palatino Linotype"/>
          <w:sz w:val="22"/>
          <w:szCs w:val="22"/>
        </w:rPr>
      </w:pPr>
    </w:p>
    <w:p w:rsidR="000113AC" w:rsidRPr="00EC1DB7" w:rsidRDefault="000113AC" w:rsidP="000113AC">
      <w:pPr>
        <w:spacing w:line="276" w:lineRule="auto"/>
        <w:ind w:left="-5" w:right="-143"/>
        <w:jc w:val="both"/>
        <w:rPr>
          <w:rFonts w:ascii="Palatino Linotype" w:hAnsi="Palatino Linotype"/>
          <w:sz w:val="22"/>
          <w:szCs w:val="22"/>
        </w:rPr>
      </w:pPr>
      <w:r w:rsidRPr="00EC1DB7">
        <w:rPr>
          <w:rFonts w:ascii="Palatino Linotype" w:hAnsi="Palatino Linotype"/>
          <w:b/>
          <w:sz w:val="22"/>
          <w:szCs w:val="22"/>
        </w:rPr>
        <w:t xml:space="preserve">Alcaldía del Distrito Metropolitano. - </w:t>
      </w:r>
      <w:r w:rsidRPr="00EC1DB7">
        <w:rPr>
          <w:rFonts w:ascii="Palatino Linotype" w:hAnsi="Palatino Linotype"/>
          <w:sz w:val="22"/>
          <w:szCs w:val="22"/>
        </w:rPr>
        <w:t>Distrito Metropolitano de Quito, ………..</w:t>
      </w:r>
    </w:p>
    <w:p w:rsidR="000113AC" w:rsidRPr="00EC1DB7" w:rsidRDefault="000113AC" w:rsidP="000113AC">
      <w:pPr>
        <w:spacing w:line="276" w:lineRule="auto"/>
        <w:jc w:val="both"/>
        <w:rPr>
          <w:rFonts w:ascii="Palatino Linotype" w:hAnsi="Palatino Linotype"/>
          <w:sz w:val="22"/>
          <w:szCs w:val="22"/>
        </w:rPr>
      </w:pPr>
    </w:p>
    <w:p w:rsidR="000113AC" w:rsidRPr="00EC1DB7" w:rsidRDefault="000113AC" w:rsidP="000113AC">
      <w:pPr>
        <w:spacing w:line="276" w:lineRule="auto"/>
        <w:jc w:val="center"/>
        <w:rPr>
          <w:rFonts w:ascii="Palatino Linotype" w:hAnsi="Palatino Linotype"/>
          <w:sz w:val="22"/>
          <w:szCs w:val="22"/>
        </w:rPr>
      </w:pPr>
      <w:r w:rsidRPr="00EC1DB7">
        <w:rPr>
          <w:rFonts w:ascii="Palatino Linotype" w:hAnsi="Palatino Linotype"/>
          <w:b/>
          <w:sz w:val="22"/>
          <w:szCs w:val="22"/>
        </w:rPr>
        <w:t>EJECÚTESE:</w:t>
      </w:r>
    </w:p>
    <w:p w:rsidR="000113AC" w:rsidRPr="00EC1DB7" w:rsidRDefault="000113AC" w:rsidP="000113AC">
      <w:pPr>
        <w:spacing w:line="276" w:lineRule="auto"/>
        <w:ind w:left="51"/>
        <w:jc w:val="center"/>
        <w:rPr>
          <w:rFonts w:ascii="Palatino Linotype" w:hAnsi="Palatino Linotype"/>
          <w:sz w:val="22"/>
          <w:szCs w:val="22"/>
        </w:rPr>
      </w:pPr>
    </w:p>
    <w:p w:rsidR="000113AC" w:rsidRPr="00EC1DB7" w:rsidRDefault="000113AC" w:rsidP="000113AC">
      <w:pPr>
        <w:spacing w:line="276" w:lineRule="auto"/>
        <w:ind w:left="51"/>
        <w:jc w:val="center"/>
        <w:rPr>
          <w:rFonts w:ascii="Palatino Linotype" w:hAnsi="Palatino Linotype"/>
          <w:sz w:val="22"/>
          <w:szCs w:val="22"/>
        </w:rPr>
      </w:pPr>
    </w:p>
    <w:p w:rsidR="000113AC" w:rsidRPr="00EC1DB7" w:rsidRDefault="000113AC" w:rsidP="000113AC">
      <w:pPr>
        <w:spacing w:line="276" w:lineRule="auto"/>
        <w:ind w:left="51"/>
        <w:jc w:val="center"/>
        <w:rPr>
          <w:rFonts w:ascii="Palatino Linotype" w:hAnsi="Palatino Linotype"/>
          <w:sz w:val="22"/>
          <w:szCs w:val="22"/>
        </w:rPr>
      </w:pPr>
    </w:p>
    <w:p w:rsidR="000113AC" w:rsidRPr="00EC1DB7" w:rsidRDefault="000113AC" w:rsidP="000113AC">
      <w:pPr>
        <w:spacing w:line="276" w:lineRule="auto"/>
        <w:ind w:left="51"/>
        <w:jc w:val="center"/>
        <w:rPr>
          <w:rFonts w:ascii="Palatino Linotype" w:hAnsi="Palatino Linotype"/>
          <w:sz w:val="22"/>
          <w:szCs w:val="22"/>
        </w:rPr>
      </w:pPr>
      <w:r w:rsidRPr="00EC1DB7">
        <w:rPr>
          <w:rFonts w:ascii="Palatino Linotype" w:hAnsi="Palatino Linotype"/>
          <w:sz w:val="22"/>
          <w:szCs w:val="22"/>
        </w:rPr>
        <w:t>Dr. Santiago Guarderas Izquierdo</w:t>
      </w:r>
    </w:p>
    <w:p w:rsidR="000113AC" w:rsidRPr="00EC1DB7" w:rsidRDefault="000113AC" w:rsidP="000113AC">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EC1DB7">
        <w:rPr>
          <w:rFonts w:ascii="Palatino Linotype" w:eastAsia="Palatino Linotype" w:hAnsi="Palatino Linotype" w:cs="Palatino Linotype"/>
          <w:b/>
          <w:color w:val="000000"/>
          <w:sz w:val="22"/>
          <w:szCs w:val="22"/>
          <w:lang w:eastAsia="es-EC"/>
        </w:rPr>
        <w:t>ALCALDE DEL DISTRITO METROPOLITANO DE QUITO</w:t>
      </w:r>
    </w:p>
    <w:p w:rsidR="000113AC" w:rsidRPr="00EC1DB7" w:rsidRDefault="000113AC" w:rsidP="000113AC">
      <w:pPr>
        <w:spacing w:line="276" w:lineRule="auto"/>
        <w:jc w:val="center"/>
        <w:rPr>
          <w:rFonts w:ascii="Palatino Linotype" w:hAnsi="Palatino Linotype"/>
          <w:sz w:val="22"/>
          <w:szCs w:val="22"/>
        </w:rPr>
      </w:pPr>
    </w:p>
    <w:p w:rsidR="000113AC" w:rsidRPr="00EC1DB7" w:rsidRDefault="000113AC" w:rsidP="000113AC">
      <w:pPr>
        <w:spacing w:line="276" w:lineRule="auto"/>
        <w:ind w:left="-5"/>
        <w:jc w:val="both"/>
        <w:rPr>
          <w:rFonts w:ascii="Palatino Linotype" w:hAnsi="Palatino Linotype"/>
          <w:sz w:val="22"/>
          <w:szCs w:val="22"/>
        </w:rPr>
      </w:pPr>
      <w:r w:rsidRPr="00EC1DB7">
        <w:rPr>
          <w:rFonts w:ascii="Palatino Linotype" w:hAnsi="Palatino Linotype"/>
          <w:b/>
          <w:sz w:val="22"/>
          <w:szCs w:val="22"/>
        </w:rPr>
        <w:t>CERTIFICO,</w:t>
      </w:r>
      <w:r w:rsidRPr="00EC1DB7">
        <w:rPr>
          <w:rFonts w:ascii="Palatino Linotype" w:hAnsi="Palatino Linotype"/>
          <w:sz w:val="22"/>
          <w:szCs w:val="22"/>
        </w:rPr>
        <w:t xml:space="preserve"> que la presente resolución fue discutida y aprobada en la sesión ordinaria del Concejo Metropolitano de Quito, el xx de xx de 2022; y, suscrita por el Dr. Santiago Guarderas Izquierdo, Alcalde del Distrito Metropolitano de Quito, el xx de xx de 2022. </w:t>
      </w:r>
    </w:p>
    <w:p w:rsidR="000113AC" w:rsidRPr="00EC1DB7" w:rsidRDefault="000113AC" w:rsidP="000113AC">
      <w:pPr>
        <w:spacing w:line="276" w:lineRule="auto"/>
        <w:jc w:val="both"/>
        <w:rPr>
          <w:rFonts w:ascii="Palatino Linotype" w:hAnsi="Palatino Linotype"/>
          <w:sz w:val="22"/>
          <w:szCs w:val="22"/>
        </w:rPr>
      </w:pPr>
      <w:r w:rsidRPr="00EC1DB7">
        <w:rPr>
          <w:rFonts w:ascii="Palatino Linotype" w:hAnsi="Palatino Linotype"/>
          <w:b/>
          <w:sz w:val="22"/>
          <w:szCs w:val="22"/>
        </w:rPr>
        <w:t xml:space="preserve"> </w:t>
      </w:r>
    </w:p>
    <w:p w:rsidR="000113AC" w:rsidRPr="00EC1DB7" w:rsidRDefault="000113AC" w:rsidP="000113AC">
      <w:pPr>
        <w:spacing w:line="276" w:lineRule="auto"/>
        <w:ind w:left="-5"/>
        <w:jc w:val="both"/>
        <w:rPr>
          <w:rFonts w:ascii="Palatino Linotype" w:hAnsi="Palatino Linotype"/>
          <w:sz w:val="22"/>
          <w:szCs w:val="22"/>
          <w:highlight w:val="yellow"/>
        </w:rPr>
      </w:pPr>
      <w:r w:rsidRPr="00EC1DB7">
        <w:rPr>
          <w:rFonts w:ascii="Palatino Linotype" w:hAnsi="Palatino Linotype"/>
          <w:b/>
          <w:sz w:val="22"/>
          <w:szCs w:val="22"/>
        </w:rPr>
        <w:t xml:space="preserve">Lo certifico. - </w:t>
      </w:r>
      <w:r w:rsidR="00754E1F" w:rsidRPr="00EC1DB7">
        <w:rPr>
          <w:rFonts w:ascii="Palatino Linotype" w:hAnsi="Palatino Linotype"/>
          <w:sz w:val="22"/>
          <w:szCs w:val="22"/>
        </w:rPr>
        <w:t>Distrito Metropolitano de Quito</w:t>
      </w:r>
      <w:r w:rsidRPr="00EC1DB7">
        <w:rPr>
          <w:rFonts w:ascii="Palatino Linotype" w:hAnsi="Palatino Linotype"/>
          <w:sz w:val="22"/>
          <w:szCs w:val="22"/>
        </w:rPr>
        <w:t xml:space="preserve">. </w:t>
      </w:r>
    </w:p>
    <w:p w:rsidR="000113AC" w:rsidRPr="00EC1DB7" w:rsidRDefault="000113AC" w:rsidP="000113AC">
      <w:pPr>
        <w:spacing w:line="276" w:lineRule="auto"/>
        <w:jc w:val="both"/>
        <w:rPr>
          <w:rFonts w:ascii="Palatino Linotype" w:hAnsi="Palatino Linotype"/>
          <w:sz w:val="22"/>
          <w:szCs w:val="22"/>
          <w:highlight w:val="yellow"/>
        </w:rPr>
      </w:pPr>
      <w:r w:rsidRPr="00EC1DB7">
        <w:rPr>
          <w:rFonts w:ascii="Palatino Linotype" w:hAnsi="Palatino Linotype"/>
          <w:sz w:val="22"/>
          <w:szCs w:val="22"/>
          <w:highlight w:val="yellow"/>
        </w:rPr>
        <w:t xml:space="preserve"> </w:t>
      </w:r>
    </w:p>
    <w:p w:rsidR="000113AC" w:rsidRPr="00EC1DB7" w:rsidRDefault="000113AC" w:rsidP="000113AC">
      <w:pPr>
        <w:spacing w:line="276" w:lineRule="auto"/>
        <w:jc w:val="both"/>
        <w:rPr>
          <w:rFonts w:ascii="Palatino Linotype" w:hAnsi="Palatino Linotype"/>
          <w:sz w:val="22"/>
          <w:szCs w:val="22"/>
          <w:highlight w:val="yellow"/>
        </w:rPr>
      </w:pPr>
    </w:p>
    <w:p w:rsidR="000113AC" w:rsidRPr="00EC1DB7" w:rsidRDefault="000113AC" w:rsidP="000113AC">
      <w:pPr>
        <w:spacing w:line="276" w:lineRule="auto"/>
        <w:jc w:val="both"/>
        <w:rPr>
          <w:rFonts w:ascii="Palatino Linotype" w:hAnsi="Palatino Linotype"/>
          <w:sz w:val="22"/>
          <w:szCs w:val="22"/>
          <w:highlight w:val="yellow"/>
        </w:rPr>
      </w:pPr>
      <w:r w:rsidRPr="00EC1DB7">
        <w:rPr>
          <w:rFonts w:ascii="Palatino Linotype" w:hAnsi="Palatino Linotype"/>
          <w:sz w:val="22"/>
          <w:szCs w:val="22"/>
          <w:highlight w:val="yellow"/>
        </w:rPr>
        <w:t xml:space="preserve"> </w:t>
      </w:r>
    </w:p>
    <w:p w:rsidR="000113AC" w:rsidRPr="00EC1DB7" w:rsidRDefault="000113AC" w:rsidP="000113AC">
      <w:pPr>
        <w:spacing w:line="276" w:lineRule="auto"/>
        <w:jc w:val="both"/>
        <w:rPr>
          <w:rFonts w:ascii="Palatino Linotype" w:hAnsi="Palatino Linotype"/>
          <w:sz w:val="22"/>
          <w:szCs w:val="22"/>
          <w:highlight w:val="yellow"/>
        </w:rPr>
      </w:pPr>
      <w:r w:rsidRPr="00EC1DB7">
        <w:rPr>
          <w:rFonts w:ascii="Palatino Linotype" w:hAnsi="Palatino Linotype"/>
          <w:sz w:val="22"/>
          <w:szCs w:val="22"/>
          <w:highlight w:val="yellow"/>
        </w:rPr>
        <w:t xml:space="preserve"> </w:t>
      </w:r>
    </w:p>
    <w:p w:rsidR="000113AC" w:rsidRPr="00EC1DB7" w:rsidRDefault="000113AC" w:rsidP="000113AC">
      <w:pPr>
        <w:spacing w:line="276" w:lineRule="auto"/>
        <w:jc w:val="center"/>
        <w:rPr>
          <w:rFonts w:ascii="Palatino Linotype" w:hAnsi="Palatino Linotype"/>
          <w:sz w:val="22"/>
          <w:szCs w:val="22"/>
        </w:rPr>
      </w:pPr>
      <w:r w:rsidRPr="00EC1DB7">
        <w:rPr>
          <w:rFonts w:ascii="Palatino Linotype" w:hAnsi="Palatino Linotype"/>
          <w:sz w:val="22"/>
          <w:szCs w:val="22"/>
        </w:rPr>
        <w:t>Abg. Pablo Santillán Paredes</w:t>
      </w:r>
    </w:p>
    <w:p w:rsidR="000113AC" w:rsidRPr="00EC1DB7" w:rsidRDefault="000113AC" w:rsidP="000113AC">
      <w:pPr>
        <w:spacing w:line="276" w:lineRule="auto"/>
        <w:jc w:val="center"/>
        <w:rPr>
          <w:rFonts w:ascii="Palatino Linotype" w:eastAsia="Calibri" w:hAnsi="Palatino Linotype"/>
          <w:b/>
          <w:sz w:val="22"/>
          <w:szCs w:val="22"/>
          <w:lang w:eastAsia="en-US"/>
        </w:rPr>
      </w:pPr>
      <w:r w:rsidRPr="00EC1DB7">
        <w:rPr>
          <w:rFonts w:ascii="Palatino Linotype" w:eastAsia="Calibri" w:hAnsi="Palatino Linotype"/>
          <w:b/>
          <w:sz w:val="22"/>
          <w:szCs w:val="22"/>
          <w:lang w:eastAsia="en-US"/>
        </w:rPr>
        <w:t>SECRETARIO GENERAL DEL CONCEJO METROPOLITANO DE QUITO</w:t>
      </w:r>
    </w:p>
    <w:p w:rsidR="000113AC" w:rsidRPr="00EC1DB7" w:rsidRDefault="000113AC" w:rsidP="000113AC">
      <w:pPr>
        <w:pStyle w:val="Sinespaciado"/>
        <w:jc w:val="center"/>
        <w:rPr>
          <w:rFonts w:ascii="Palatino Linotype" w:hAnsi="Palatino Linotype"/>
          <w:b/>
          <w:sz w:val="22"/>
          <w:szCs w:val="22"/>
        </w:rPr>
      </w:pPr>
    </w:p>
    <w:p w:rsidR="000113AC" w:rsidRPr="00EC1DB7" w:rsidRDefault="000113AC" w:rsidP="000113AC">
      <w:pPr>
        <w:rPr>
          <w:rFonts w:ascii="Palatino Linotype" w:hAnsi="Palatino Linotype"/>
          <w:sz w:val="22"/>
          <w:szCs w:val="22"/>
        </w:rPr>
      </w:pPr>
    </w:p>
    <w:p w:rsidR="000113AC" w:rsidRPr="00EC1DB7" w:rsidRDefault="000113AC" w:rsidP="000113AC">
      <w:pPr>
        <w:rPr>
          <w:rFonts w:ascii="Palatino Linotype" w:hAnsi="Palatino Linotype"/>
          <w:sz w:val="22"/>
          <w:szCs w:val="22"/>
        </w:rPr>
      </w:pPr>
    </w:p>
    <w:p w:rsidR="00A70E2E" w:rsidRPr="00EC1DB7" w:rsidRDefault="00A70E2E">
      <w:pPr>
        <w:rPr>
          <w:rFonts w:ascii="Palatino Linotype" w:hAnsi="Palatino Linotype"/>
          <w:sz w:val="22"/>
          <w:szCs w:val="22"/>
        </w:rPr>
      </w:pPr>
    </w:p>
    <w:sectPr w:rsidR="00A70E2E" w:rsidRPr="00EC1DB7" w:rsidSect="005D2467">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AC5" w:rsidRDefault="00E17AC5">
      <w:r>
        <w:separator/>
      </w:r>
    </w:p>
  </w:endnote>
  <w:endnote w:type="continuationSeparator" w:id="0">
    <w:p w:rsidR="00E17AC5" w:rsidRDefault="00E1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754E1F">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9744A6">
              <w:rPr>
                <w:rFonts w:ascii="Palatino Linotype" w:hAnsi="Palatino Linotype"/>
                <w:b/>
                <w:bCs/>
                <w:noProof/>
                <w:sz w:val="20"/>
                <w:szCs w:val="20"/>
              </w:rPr>
              <w:t>7</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9744A6">
              <w:rPr>
                <w:rFonts w:ascii="Palatino Linotype" w:hAnsi="Palatino Linotype"/>
                <w:b/>
                <w:bCs/>
                <w:noProof/>
                <w:sz w:val="20"/>
                <w:szCs w:val="20"/>
              </w:rPr>
              <w:t>7</w:t>
            </w:r>
            <w:r w:rsidRPr="00707DE5">
              <w:rPr>
                <w:rFonts w:ascii="Palatino Linotype" w:hAnsi="Palatino Linotype"/>
                <w:b/>
                <w:bCs/>
                <w:sz w:val="20"/>
                <w:szCs w:val="20"/>
              </w:rPr>
              <w:fldChar w:fldCharType="end"/>
            </w:r>
          </w:p>
          <w:p w:rsidR="005D2467" w:rsidRPr="008479FB" w:rsidRDefault="00E17AC5">
            <w:pPr>
              <w:pStyle w:val="Piedepgina"/>
              <w:jc w:val="right"/>
              <w:rPr>
                <w:rFonts w:ascii="Palatino Linotype" w:hAnsi="Palatino Linotype"/>
                <w:sz w:val="20"/>
                <w:szCs w:val="20"/>
              </w:rPr>
            </w:pPr>
          </w:p>
        </w:sdtContent>
      </w:sdt>
    </w:sdtContent>
  </w:sdt>
  <w:p w:rsidR="005D2467" w:rsidRPr="008479FB" w:rsidRDefault="00E17AC5">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AC5" w:rsidRDefault="00E17AC5">
      <w:r>
        <w:separator/>
      </w:r>
    </w:p>
  </w:footnote>
  <w:footnote w:type="continuationSeparator" w:id="0">
    <w:p w:rsidR="00E17AC5" w:rsidRDefault="00E17A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E17AC5"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E17AC5"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E17A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AC"/>
    <w:rsid w:val="000010D2"/>
    <w:rsid w:val="000022D4"/>
    <w:rsid w:val="000113AC"/>
    <w:rsid w:val="000320FA"/>
    <w:rsid w:val="000350C3"/>
    <w:rsid w:val="00061B14"/>
    <w:rsid w:val="000B1671"/>
    <w:rsid w:val="000F0D3B"/>
    <w:rsid w:val="001203A0"/>
    <w:rsid w:val="00135676"/>
    <w:rsid w:val="00162AB0"/>
    <w:rsid w:val="00166740"/>
    <w:rsid w:val="0017146B"/>
    <w:rsid w:val="001924D7"/>
    <w:rsid w:val="001A37F6"/>
    <w:rsid w:val="001F18A5"/>
    <w:rsid w:val="00224AEE"/>
    <w:rsid w:val="002500C5"/>
    <w:rsid w:val="0025413C"/>
    <w:rsid w:val="00260748"/>
    <w:rsid w:val="002C0724"/>
    <w:rsid w:val="002E3F59"/>
    <w:rsid w:val="002F3BF5"/>
    <w:rsid w:val="003057C1"/>
    <w:rsid w:val="00311483"/>
    <w:rsid w:val="003144EF"/>
    <w:rsid w:val="00321A85"/>
    <w:rsid w:val="00323841"/>
    <w:rsid w:val="00341198"/>
    <w:rsid w:val="00372B0E"/>
    <w:rsid w:val="00373176"/>
    <w:rsid w:val="00384ECF"/>
    <w:rsid w:val="00385ABB"/>
    <w:rsid w:val="003D00A7"/>
    <w:rsid w:val="003E30F2"/>
    <w:rsid w:val="003E33B9"/>
    <w:rsid w:val="00462DF6"/>
    <w:rsid w:val="00462FAA"/>
    <w:rsid w:val="004778FE"/>
    <w:rsid w:val="00491119"/>
    <w:rsid w:val="00493A79"/>
    <w:rsid w:val="004948A2"/>
    <w:rsid w:val="0049515C"/>
    <w:rsid w:val="004E4064"/>
    <w:rsid w:val="004F29ED"/>
    <w:rsid w:val="0050436B"/>
    <w:rsid w:val="005168D0"/>
    <w:rsid w:val="00535844"/>
    <w:rsid w:val="005438A9"/>
    <w:rsid w:val="0055143A"/>
    <w:rsid w:val="005839EA"/>
    <w:rsid w:val="005A184C"/>
    <w:rsid w:val="005A6551"/>
    <w:rsid w:val="005B30A0"/>
    <w:rsid w:val="005C1350"/>
    <w:rsid w:val="005C2D9E"/>
    <w:rsid w:val="005D2E7E"/>
    <w:rsid w:val="005D7A61"/>
    <w:rsid w:val="005F3942"/>
    <w:rsid w:val="005F4329"/>
    <w:rsid w:val="006028AB"/>
    <w:rsid w:val="0060538D"/>
    <w:rsid w:val="00606CEF"/>
    <w:rsid w:val="00624982"/>
    <w:rsid w:val="00626F33"/>
    <w:rsid w:val="006273BD"/>
    <w:rsid w:val="00630C41"/>
    <w:rsid w:val="00635D5D"/>
    <w:rsid w:val="006378A2"/>
    <w:rsid w:val="00646A43"/>
    <w:rsid w:val="00656876"/>
    <w:rsid w:val="00670BF2"/>
    <w:rsid w:val="006767EB"/>
    <w:rsid w:val="00694D54"/>
    <w:rsid w:val="006A1C0B"/>
    <w:rsid w:val="006F2BAD"/>
    <w:rsid w:val="00704417"/>
    <w:rsid w:val="00722F25"/>
    <w:rsid w:val="00754E1F"/>
    <w:rsid w:val="00757FA6"/>
    <w:rsid w:val="00771071"/>
    <w:rsid w:val="00780EAB"/>
    <w:rsid w:val="007854B8"/>
    <w:rsid w:val="007A32EC"/>
    <w:rsid w:val="007A7CF0"/>
    <w:rsid w:val="007E027A"/>
    <w:rsid w:val="00812DE6"/>
    <w:rsid w:val="0085024D"/>
    <w:rsid w:val="008532E8"/>
    <w:rsid w:val="00861BC9"/>
    <w:rsid w:val="00883BF4"/>
    <w:rsid w:val="008A28F7"/>
    <w:rsid w:val="008E79EA"/>
    <w:rsid w:val="00902E10"/>
    <w:rsid w:val="00902F65"/>
    <w:rsid w:val="009061F9"/>
    <w:rsid w:val="00934752"/>
    <w:rsid w:val="009413D2"/>
    <w:rsid w:val="009441E9"/>
    <w:rsid w:val="00971DAC"/>
    <w:rsid w:val="009744A6"/>
    <w:rsid w:val="009906BE"/>
    <w:rsid w:val="009C3CE5"/>
    <w:rsid w:val="009C51D6"/>
    <w:rsid w:val="009C526E"/>
    <w:rsid w:val="009C7AA1"/>
    <w:rsid w:val="009D1665"/>
    <w:rsid w:val="009D3508"/>
    <w:rsid w:val="009F4E0F"/>
    <w:rsid w:val="00A21529"/>
    <w:rsid w:val="00A37080"/>
    <w:rsid w:val="00A42996"/>
    <w:rsid w:val="00A43B85"/>
    <w:rsid w:val="00A53CCA"/>
    <w:rsid w:val="00A666D4"/>
    <w:rsid w:val="00A70E2E"/>
    <w:rsid w:val="00AD11BC"/>
    <w:rsid w:val="00AD76F0"/>
    <w:rsid w:val="00AD7AF2"/>
    <w:rsid w:val="00AF1FF5"/>
    <w:rsid w:val="00AF6B4B"/>
    <w:rsid w:val="00B116DC"/>
    <w:rsid w:val="00B27B09"/>
    <w:rsid w:val="00B456A6"/>
    <w:rsid w:val="00B52FC7"/>
    <w:rsid w:val="00B575ED"/>
    <w:rsid w:val="00B9427A"/>
    <w:rsid w:val="00B973CE"/>
    <w:rsid w:val="00C0291D"/>
    <w:rsid w:val="00C167C7"/>
    <w:rsid w:val="00C31F94"/>
    <w:rsid w:val="00C3714F"/>
    <w:rsid w:val="00C37F48"/>
    <w:rsid w:val="00C45A11"/>
    <w:rsid w:val="00C55EC2"/>
    <w:rsid w:val="00C70B8C"/>
    <w:rsid w:val="00C753AF"/>
    <w:rsid w:val="00CA00D1"/>
    <w:rsid w:val="00CC6BBC"/>
    <w:rsid w:val="00CD56D1"/>
    <w:rsid w:val="00CF561D"/>
    <w:rsid w:val="00D24C41"/>
    <w:rsid w:val="00D50F32"/>
    <w:rsid w:val="00D834DC"/>
    <w:rsid w:val="00D849A7"/>
    <w:rsid w:val="00D90E77"/>
    <w:rsid w:val="00DA6F40"/>
    <w:rsid w:val="00DC7143"/>
    <w:rsid w:val="00DE1194"/>
    <w:rsid w:val="00DE593B"/>
    <w:rsid w:val="00DE6077"/>
    <w:rsid w:val="00DF169C"/>
    <w:rsid w:val="00DF190B"/>
    <w:rsid w:val="00DF56A4"/>
    <w:rsid w:val="00E0537E"/>
    <w:rsid w:val="00E1272E"/>
    <w:rsid w:val="00E17AC5"/>
    <w:rsid w:val="00E31911"/>
    <w:rsid w:val="00E54836"/>
    <w:rsid w:val="00E661F9"/>
    <w:rsid w:val="00E969BE"/>
    <w:rsid w:val="00EA3F70"/>
    <w:rsid w:val="00EB28B4"/>
    <w:rsid w:val="00EC1DB7"/>
    <w:rsid w:val="00ED0FE0"/>
    <w:rsid w:val="00EE78D5"/>
    <w:rsid w:val="00F1475B"/>
    <w:rsid w:val="00F15AD4"/>
    <w:rsid w:val="00F220AD"/>
    <w:rsid w:val="00F23370"/>
    <w:rsid w:val="00F328B9"/>
    <w:rsid w:val="00F57398"/>
    <w:rsid w:val="00F66680"/>
    <w:rsid w:val="00F7765D"/>
    <w:rsid w:val="00FB2A87"/>
    <w:rsid w:val="00FD1FE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5974"/>
  <w15:chartTrackingRefBased/>
  <w15:docId w15:val="{0F731E31-9764-4894-A81A-30D27527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3AC"/>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0113AC"/>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0113AC"/>
    <w:rPr>
      <w:sz w:val="20"/>
      <w:szCs w:val="20"/>
    </w:rPr>
  </w:style>
  <w:style w:type="paragraph" w:styleId="Piedepgina">
    <w:name w:val="footer"/>
    <w:basedOn w:val="Normal"/>
    <w:link w:val="PiedepginaCar"/>
    <w:uiPriority w:val="99"/>
    <w:unhideWhenUsed/>
    <w:rsid w:val="000113AC"/>
    <w:pPr>
      <w:tabs>
        <w:tab w:val="center" w:pos="4252"/>
        <w:tab w:val="right" w:pos="8504"/>
      </w:tabs>
    </w:pPr>
  </w:style>
  <w:style w:type="character" w:customStyle="1" w:styleId="PiedepginaCar">
    <w:name w:val="Pie de página Car"/>
    <w:basedOn w:val="Fuentedeprrafopredeter"/>
    <w:link w:val="Piedepgina"/>
    <w:uiPriority w:val="99"/>
    <w:rsid w:val="000113AC"/>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0113AC"/>
    <w:pPr>
      <w:tabs>
        <w:tab w:val="center" w:pos="4419"/>
        <w:tab w:val="right" w:pos="8838"/>
      </w:tabs>
    </w:pPr>
  </w:style>
  <w:style w:type="character" w:customStyle="1" w:styleId="EncabezadoCar">
    <w:name w:val="Encabezado Car"/>
    <w:basedOn w:val="Fuentedeprrafopredeter"/>
    <w:link w:val="Encabezado"/>
    <w:uiPriority w:val="99"/>
    <w:rsid w:val="000113AC"/>
    <w:rPr>
      <w:rFonts w:ascii="Times New Roman" w:eastAsia="Times New Roman" w:hAnsi="Times New Roman" w:cs="Times New Roman"/>
      <w:sz w:val="24"/>
      <w:szCs w:val="24"/>
      <w:lang w:eastAsia="es-ES_tradnl"/>
    </w:rPr>
  </w:style>
  <w:style w:type="paragraph" w:customStyle="1" w:styleId="Default">
    <w:name w:val="Default"/>
    <w:rsid w:val="000113AC"/>
    <w:pPr>
      <w:autoSpaceDE w:val="0"/>
      <w:autoSpaceDN w:val="0"/>
      <w:adjustRightInd w:val="0"/>
      <w:spacing w:after="0" w:line="240" w:lineRule="auto"/>
    </w:pPr>
    <w:rPr>
      <w:rFonts w:ascii="Palatino Linotype" w:hAnsi="Palatino Linotype" w:cs="Palatino Linotype"/>
      <w:color w:val="000000"/>
      <w:sz w:val="24"/>
      <w:szCs w:val="24"/>
      <w:lang w:val="es-ES"/>
    </w:rPr>
  </w:style>
  <w:style w:type="paragraph" w:styleId="Textodeglobo">
    <w:name w:val="Balloon Text"/>
    <w:basedOn w:val="Normal"/>
    <w:link w:val="TextodegloboCar"/>
    <w:uiPriority w:val="99"/>
    <w:semiHidden/>
    <w:unhideWhenUsed/>
    <w:rsid w:val="009906BE"/>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6BE"/>
    <w:rPr>
      <w:rFonts w:ascii="Tahoma" w:eastAsia="Times New Roman" w:hAnsi="Tahoma" w:cs="Tahoma"/>
      <w:sz w:val="16"/>
      <w:szCs w:val="16"/>
      <w:lang w:eastAsia="es-ES_tradnl"/>
    </w:rPr>
  </w:style>
  <w:style w:type="table" w:styleId="Tablaconcuadrcula">
    <w:name w:val="Table Grid"/>
    <w:basedOn w:val="Tablanormal"/>
    <w:uiPriority w:val="59"/>
    <w:rsid w:val="00AF1FF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7</Pages>
  <Words>2414</Words>
  <Characters>13281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Caleno</dc:creator>
  <cp:keywords/>
  <dc:description/>
  <cp:lastModifiedBy>Marisela Caleno</cp:lastModifiedBy>
  <cp:revision>335</cp:revision>
  <dcterms:created xsi:type="dcterms:W3CDTF">2022-08-17T20:37:00Z</dcterms:created>
  <dcterms:modified xsi:type="dcterms:W3CDTF">2022-09-07T17:42:00Z</dcterms:modified>
</cp:coreProperties>
</file>