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E3" w:rsidRDefault="008D21E3" w:rsidP="00385EC1">
      <w:pPr>
        <w:autoSpaceDE w:val="0"/>
        <w:autoSpaceDN w:val="0"/>
        <w:adjustRightInd w:val="0"/>
        <w:rPr>
          <w:sz w:val="22"/>
          <w:szCs w:val="22"/>
        </w:rPr>
      </w:pPr>
    </w:p>
    <w:p w:rsidR="008D21E3" w:rsidRPr="00385EC1" w:rsidRDefault="008D21E3" w:rsidP="008D21E3">
      <w:pPr>
        <w:autoSpaceDE w:val="0"/>
        <w:autoSpaceDN w:val="0"/>
        <w:adjustRightInd w:val="0"/>
        <w:jc w:val="center"/>
        <w:rPr>
          <w:rFonts w:ascii="Century Gothic" w:hAnsi="Century Gothic"/>
          <w:sz w:val="22"/>
          <w:szCs w:val="22"/>
        </w:rPr>
      </w:pPr>
      <w:r w:rsidRPr="00385EC1">
        <w:rPr>
          <w:rFonts w:ascii="Century Gothic" w:hAnsi="Century Gothic"/>
          <w:sz w:val="22"/>
          <w:szCs w:val="22"/>
        </w:rPr>
        <w:t xml:space="preserve">RESOLUCIÓN No. C XXX - 2021 </w:t>
      </w:r>
    </w:p>
    <w:p w:rsidR="008D21E3" w:rsidRPr="00385EC1" w:rsidRDefault="008D21E3" w:rsidP="008D21E3">
      <w:pPr>
        <w:autoSpaceDE w:val="0"/>
        <w:autoSpaceDN w:val="0"/>
        <w:adjustRightInd w:val="0"/>
        <w:jc w:val="center"/>
        <w:rPr>
          <w:rFonts w:ascii="Century Gothic" w:hAnsi="Century Gothic"/>
          <w:sz w:val="22"/>
          <w:szCs w:val="22"/>
        </w:rPr>
      </w:pPr>
    </w:p>
    <w:p w:rsidR="008D21E3" w:rsidRPr="00385EC1" w:rsidRDefault="008D21E3" w:rsidP="008D21E3">
      <w:pPr>
        <w:autoSpaceDE w:val="0"/>
        <w:autoSpaceDN w:val="0"/>
        <w:adjustRightInd w:val="0"/>
        <w:jc w:val="center"/>
        <w:rPr>
          <w:rFonts w:ascii="Century Gothic" w:hAnsi="Century Gothic"/>
          <w:b/>
          <w:sz w:val="22"/>
          <w:szCs w:val="22"/>
        </w:rPr>
      </w:pPr>
      <w:r w:rsidRPr="00385EC1">
        <w:rPr>
          <w:rFonts w:ascii="Century Gothic" w:hAnsi="Century Gothic"/>
          <w:b/>
          <w:sz w:val="22"/>
          <w:szCs w:val="22"/>
        </w:rPr>
        <w:t>EL CONCEJO METROPOLITANO DE QUITO</w:t>
      </w:r>
    </w:p>
    <w:p w:rsidR="008D21E3" w:rsidRPr="00385EC1" w:rsidRDefault="008D21E3" w:rsidP="008D21E3">
      <w:pPr>
        <w:autoSpaceDE w:val="0"/>
        <w:autoSpaceDN w:val="0"/>
        <w:adjustRightInd w:val="0"/>
        <w:jc w:val="center"/>
        <w:rPr>
          <w:rFonts w:ascii="Century Gothic" w:hAnsi="Century Gothic"/>
          <w:sz w:val="22"/>
          <w:szCs w:val="22"/>
        </w:rPr>
      </w:pPr>
    </w:p>
    <w:p w:rsidR="008D21E3" w:rsidRPr="00385EC1" w:rsidRDefault="008D21E3" w:rsidP="008D21E3">
      <w:pPr>
        <w:autoSpaceDE w:val="0"/>
        <w:autoSpaceDN w:val="0"/>
        <w:adjustRightInd w:val="0"/>
        <w:jc w:val="center"/>
        <w:rPr>
          <w:rFonts w:ascii="Century Gothic" w:hAnsi="Century Gothic"/>
          <w:b/>
          <w:sz w:val="22"/>
          <w:szCs w:val="22"/>
        </w:rPr>
      </w:pPr>
      <w:r w:rsidRPr="00385EC1">
        <w:rPr>
          <w:rFonts w:ascii="Century Gothic" w:hAnsi="Century Gothic"/>
          <w:b/>
          <w:sz w:val="22"/>
          <w:szCs w:val="22"/>
        </w:rPr>
        <w:t xml:space="preserve"> CONSIDERANDO:</w:t>
      </w:r>
    </w:p>
    <w:p w:rsidR="008D21E3" w:rsidRPr="00385EC1" w:rsidRDefault="008D21E3" w:rsidP="008D21E3">
      <w:pPr>
        <w:autoSpaceDE w:val="0"/>
        <w:autoSpaceDN w:val="0"/>
        <w:adjustRightInd w:val="0"/>
        <w:jc w:val="center"/>
        <w:rPr>
          <w:rFonts w:ascii="Century Gothic" w:hAnsi="Century Gothic"/>
          <w:sz w:val="22"/>
          <w:szCs w:val="22"/>
        </w:rPr>
      </w:pPr>
    </w:p>
    <w:p w:rsidR="008D21E3" w:rsidRPr="00385EC1" w:rsidRDefault="008D21E3" w:rsidP="008D21E3">
      <w:pPr>
        <w:ind w:left="700" w:hanging="700"/>
        <w:jc w:val="both"/>
        <w:rPr>
          <w:rFonts w:ascii="Century Gothic" w:hAnsi="Century Gothic"/>
          <w:sz w:val="22"/>
          <w:szCs w:val="22"/>
          <w:lang w:val="es-ES_tradnl" w:eastAsia="ar-SA"/>
        </w:rPr>
      </w:pPr>
      <w:r w:rsidRPr="00385EC1">
        <w:rPr>
          <w:rFonts w:ascii="Century Gothic" w:hAnsi="Century Gothic"/>
          <w:b/>
          <w:bCs/>
          <w:sz w:val="22"/>
          <w:szCs w:val="22"/>
          <w:lang w:val="es-ES_tradnl" w:eastAsia="ar-SA"/>
        </w:rPr>
        <w:t>Que,</w:t>
      </w:r>
      <w:r w:rsidRPr="00385EC1">
        <w:rPr>
          <w:rFonts w:ascii="Century Gothic" w:hAnsi="Century Gothic"/>
          <w:sz w:val="22"/>
          <w:szCs w:val="22"/>
          <w:lang w:val="es-ES_tradnl" w:eastAsia="ar-SA"/>
        </w:rPr>
        <w:tab/>
        <w:t>el art. 226 de la Constitución de la República (la «</w:t>
      </w:r>
      <w:r w:rsidRPr="00385EC1">
        <w:rPr>
          <w:rFonts w:ascii="Century Gothic" w:hAnsi="Century Gothic"/>
          <w:sz w:val="22"/>
          <w:szCs w:val="22"/>
          <w:u w:val="single"/>
          <w:lang w:val="es-ES_tradnl" w:eastAsia="ar-SA"/>
        </w:rPr>
        <w:t>Constitución</w:t>
      </w:r>
      <w:r w:rsidRPr="00385EC1">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8D21E3" w:rsidRPr="00385EC1" w:rsidRDefault="008D21E3" w:rsidP="008D21E3">
      <w:pPr>
        <w:ind w:left="700" w:hanging="700"/>
        <w:jc w:val="both"/>
        <w:rPr>
          <w:rFonts w:ascii="Century Gothic" w:hAnsi="Century Gothic"/>
          <w:sz w:val="22"/>
          <w:szCs w:val="22"/>
          <w:lang w:val="es-ES_tradnl" w:eastAsia="ar-SA"/>
        </w:rPr>
      </w:pPr>
    </w:p>
    <w:p w:rsidR="008D21E3" w:rsidRPr="00385EC1" w:rsidRDefault="008D21E3" w:rsidP="008D21E3">
      <w:pPr>
        <w:ind w:left="700" w:hanging="700"/>
        <w:jc w:val="both"/>
        <w:rPr>
          <w:rFonts w:ascii="Century Gothic" w:hAnsi="Century Gothic"/>
          <w:iCs/>
          <w:sz w:val="22"/>
          <w:szCs w:val="22"/>
          <w:lang w:val="es-ES_tradnl" w:eastAsia="ar-SA"/>
        </w:rPr>
      </w:pPr>
      <w:r w:rsidRPr="00385EC1">
        <w:rPr>
          <w:rFonts w:ascii="Century Gothic" w:hAnsi="Century Gothic"/>
          <w:b/>
          <w:bCs/>
          <w:sz w:val="22"/>
          <w:szCs w:val="22"/>
          <w:lang w:val="es-ES_tradnl" w:eastAsia="ar-SA"/>
        </w:rPr>
        <w:t>Que,</w:t>
      </w:r>
      <w:r w:rsidRPr="00385EC1">
        <w:rPr>
          <w:rFonts w:ascii="Century Gothic" w:hAnsi="Century Gothic"/>
          <w:sz w:val="22"/>
          <w:szCs w:val="22"/>
          <w:lang w:val="es-ES_tradnl" w:eastAsia="ar-SA"/>
        </w:rPr>
        <w:t xml:space="preserve"> </w:t>
      </w:r>
      <w:r w:rsidRPr="00385EC1">
        <w:rPr>
          <w:rFonts w:ascii="Century Gothic" w:hAnsi="Century Gothic"/>
          <w:sz w:val="22"/>
          <w:szCs w:val="22"/>
          <w:lang w:val="es-ES_tradnl" w:eastAsia="ar-SA"/>
        </w:rPr>
        <w:tab/>
        <w:t xml:space="preserve">de acuerdo con el art. 227 de la Constitución, </w:t>
      </w:r>
      <w:r w:rsidRPr="00385EC1">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8D21E3" w:rsidRPr="00385EC1" w:rsidRDefault="008D21E3" w:rsidP="008D21E3">
      <w:pPr>
        <w:ind w:left="700" w:hanging="700"/>
        <w:jc w:val="both"/>
        <w:rPr>
          <w:rFonts w:ascii="Century Gothic" w:hAnsi="Century Gothic"/>
          <w:iCs/>
          <w:sz w:val="22"/>
          <w:szCs w:val="22"/>
          <w:lang w:val="es-ES_tradnl" w:eastAsia="ar-SA"/>
        </w:rPr>
      </w:pPr>
    </w:p>
    <w:p w:rsidR="008D21E3" w:rsidRDefault="008D21E3" w:rsidP="008D21E3">
      <w:pPr>
        <w:ind w:left="700" w:hanging="700"/>
        <w:jc w:val="both"/>
        <w:rPr>
          <w:rFonts w:ascii="Century Gothic" w:hAnsi="Century Gothic"/>
          <w:bCs/>
          <w:sz w:val="22"/>
          <w:szCs w:val="22"/>
          <w:lang w:val="es-ES_tradnl" w:eastAsia="ar-SA"/>
        </w:rPr>
      </w:pPr>
      <w:proofErr w:type="gramStart"/>
      <w:r w:rsidRPr="00385EC1">
        <w:rPr>
          <w:rFonts w:ascii="Century Gothic" w:hAnsi="Century Gothic"/>
          <w:b/>
          <w:bCs/>
          <w:sz w:val="22"/>
          <w:szCs w:val="22"/>
          <w:lang w:val="es-ES_tradnl" w:eastAsia="ar-SA"/>
        </w:rPr>
        <w:t xml:space="preserve">Que,  </w:t>
      </w:r>
      <w:r w:rsidRPr="00385EC1">
        <w:rPr>
          <w:rFonts w:ascii="Century Gothic" w:hAnsi="Century Gothic"/>
          <w:bCs/>
          <w:sz w:val="22"/>
          <w:szCs w:val="22"/>
          <w:lang w:val="es-ES_tradnl" w:eastAsia="ar-SA"/>
        </w:rPr>
        <w:t>el</w:t>
      </w:r>
      <w:proofErr w:type="gramEnd"/>
      <w:r w:rsidRPr="00385EC1">
        <w:rPr>
          <w:rFonts w:ascii="Century Gothic" w:hAnsi="Century Gothic"/>
          <w:bCs/>
          <w:sz w:val="22"/>
          <w:szCs w:val="22"/>
          <w:lang w:val="es-ES_tradnl" w:eastAsia="ar-SA"/>
        </w:rPr>
        <w:t xml:space="preserve"> art. 240 de la Constitución, los gobiernos autónomos descentralizados de los distritos metropolitanos tendrán facultades legislativas en el ámbito de sus competencias y jurisdicciones territoriales. </w:t>
      </w:r>
    </w:p>
    <w:p w:rsidR="00690E77" w:rsidRDefault="00690E77" w:rsidP="008D21E3">
      <w:pPr>
        <w:ind w:left="700" w:hanging="700"/>
        <w:jc w:val="both"/>
        <w:rPr>
          <w:rFonts w:ascii="Century Gothic" w:hAnsi="Century Gothic"/>
          <w:bCs/>
          <w:sz w:val="22"/>
          <w:szCs w:val="22"/>
          <w:lang w:val="es-ES_tradnl" w:eastAsia="ar-SA"/>
        </w:rPr>
      </w:pPr>
    </w:p>
    <w:p w:rsidR="00690E77" w:rsidRPr="00690E77" w:rsidRDefault="00690E77" w:rsidP="00690E77">
      <w:pPr>
        <w:pStyle w:val="Sinespaciado"/>
        <w:ind w:left="709" w:hanging="709"/>
        <w:rPr>
          <w:rFonts w:ascii="Century Gothic" w:hAnsi="Century Gothic" w:cs="Times New Roman"/>
        </w:rPr>
      </w:pPr>
      <w:r w:rsidRPr="00CF719D">
        <w:rPr>
          <w:rFonts w:ascii="Century Gothic" w:hAnsi="Century Gothic" w:cs="Times New Roman"/>
          <w:b/>
        </w:rPr>
        <w:t>Que,</w:t>
      </w:r>
      <w:r w:rsidRPr="00E27D20">
        <w:rPr>
          <w:rFonts w:ascii="Century Gothic" w:hAnsi="Century Gothic" w:cs="Times New Roman"/>
        </w:rPr>
        <w:t xml:space="preserve"> </w:t>
      </w:r>
      <w:r w:rsidRPr="00E27D20">
        <w:rPr>
          <w:rFonts w:ascii="Century Gothic" w:hAnsi="Century Gothic" w:cs="Times New Roman"/>
        </w:rPr>
        <w:tab/>
        <w:t xml:space="preserve">el artículo 7 del Código Orgánico de Organización Territorial, Autonomía y Descentralización, en adelante </w:t>
      </w:r>
      <w:r w:rsidR="00FF5C8F" w:rsidRPr="00690E77">
        <w:rPr>
          <w:rFonts w:ascii="Century Gothic" w:hAnsi="Century Gothic"/>
          <w:lang w:val="es-ES_tradnl" w:eastAsia="ar-SA"/>
        </w:rPr>
        <w:t>(«</w:t>
      </w:r>
      <w:r w:rsidR="00FF5C8F" w:rsidRPr="00690E77">
        <w:rPr>
          <w:rFonts w:ascii="Century Gothic" w:hAnsi="Century Gothic"/>
          <w:u w:val="single"/>
          <w:lang w:val="es-ES_tradnl" w:eastAsia="ar-SA"/>
        </w:rPr>
        <w:t>COOTAD</w:t>
      </w:r>
      <w:r w:rsidR="00FF5C8F" w:rsidRPr="00690E77">
        <w:rPr>
          <w:rFonts w:ascii="Century Gothic" w:hAnsi="Century Gothic"/>
          <w:lang w:val="es-ES_tradnl" w:eastAsia="ar-SA"/>
        </w:rPr>
        <w:t>»)</w:t>
      </w:r>
      <w:r w:rsidR="00FF5C8F" w:rsidRPr="00690E77">
        <w:rPr>
          <w:rFonts w:ascii="Century Gothic" w:hAnsi="Century Gothic"/>
          <w:lang w:val="es-ES_tradnl"/>
        </w:rPr>
        <w:t xml:space="preserve">, </w:t>
      </w:r>
      <w:r w:rsidRPr="00E27D20">
        <w:rPr>
          <w:rFonts w:ascii="Century Gothic" w:hAnsi="Century Gothic" w:cs="Times New Roman"/>
        </w:rPr>
        <w:t xml:space="preserve">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F8405B" w:rsidRPr="00010B8C" w:rsidRDefault="00F8405B" w:rsidP="00690E77">
      <w:pPr>
        <w:jc w:val="both"/>
        <w:rPr>
          <w:rFonts w:ascii="Century Gothic" w:hAnsi="Century Gothic"/>
          <w:iCs/>
          <w:sz w:val="22"/>
          <w:szCs w:val="22"/>
          <w:lang w:val="es-ES_tradnl" w:eastAsia="ar-SA"/>
        </w:rPr>
      </w:pPr>
    </w:p>
    <w:p w:rsidR="008D21E3" w:rsidRPr="00690E77" w:rsidRDefault="008D21E3" w:rsidP="008D21E3">
      <w:pPr>
        <w:ind w:left="700" w:hanging="700"/>
        <w:jc w:val="both"/>
        <w:rPr>
          <w:rFonts w:ascii="Century Gothic" w:hAnsi="Century Gothic"/>
          <w:sz w:val="22"/>
          <w:szCs w:val="22"/>
          <w:lang w:val="es-ES_tradnl"/>
        </w:rPr>
      </w:pPr>
      <w:r w:rsidRPr="00690E77">
        <w:rPr>
          <w:rFonts w:ascii="Century Gothic" w:hAnsi="Century Gothic"/>
          <w:b/>
          <w:bCs/>
          <w:sz w:val="22"/>
          <w:szCs w:val="22"/>
          <w:lang w:val="es-ES_tradnl"/>
        </w:rPr>
        <w:t>Que,</w:t>
      </w:r>
      <w:r w:rsidRPr="00690E77">
        <w:rPr>
          <w:rFonts w:ascii="Century Gothic" w:hAnsi="Century Gothic"/>
          <w:sz w:val="22"/>
          <w:szCs w:val="22"/>
          <w:lang w:val="es-ES_tradnl"/>
        </w:rPr>
        <w:t xml:space="preserve"> </w:t>
      </w:r>
      <w:r w:rsidRPr="00690E77">
        <w:rPr>
          <w:rFonts w:ascii="Century Gothic" w:hAnsi="Century Gothic"/>
          <w:sz w:val="22"/>
          <w:szCs w:val="22"/>
          <w:lang w:val="es-ES_tradnl"/>
        </w:rPr>
        <w:tab/>
        <w:t xml:space="preserve">el art. 87, literales a) y d), del Código Orgánico de Organización Territorial, Autonomía y Descentralización </w:t>
      </w:r>
      <w:r w:rsidRPr="00690E77">
        <w:rPr>
          <w:rFonts w:ascii="Century Gothic" w:hAnsi="Century Gothic"/>
          <w:sz w:val="22"/>
          <w:szCs w:val="22"/>
          <w:lang w:val="es-ES_tradnl" w:eastAsia="ar-SA"/>
        </w:rPr>
        <w:t>(«</w:t>
      </w:r>
      <w:r w:rsidRPr="00690E77">
        <w:rPr>
          <w:rFonts w:ascii="Century Gothic" w:hAnsi="Century Gothic"/>
          <w:sz w:val="22"/>
          <w:szCs w:val="22"/>
          <w:u w:val="single"/>
          <w:lang w:val="es-ES_tradnl" w:eastAsia="ar-SA"/>
        </w:rPr>
        <w:t>COOTAD</w:t>
      </w:r>
      <w:r w:rsidRPr="00690E77">
        <w:rPr>
          <w:rFonts w:ascii="Century Gothic" w:hAnsi="Century Gothic"/>
          <w:sz w:val="22"/>
          <w:szCs w:val="22"/>
          <w:lang w:val="es-ES_tradnl" w:eastAsia="ar-SA"/>
        </w:rPr>
        <w:t>»)</w:t>
      </w:r>
      <w:r w:rsidRPr="00690E77">
        <w:rPr>
          <w:rFonts w:ascii="Century Gothic" w:hAnsi="Century Gothic"/>
          <w:sz w:val="22"/>
          <w:szCs w:val="22"/>
          <w:lang w:val="es-ES_tradnl"/>
        </w:rPr>
        <w:t xml:space="preserve">, establece que al Concejo Metropolitano le corresponde: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w:t>
      </w:r>
    </w:p>
    <w:p w:rsidR="009E297D" w:rsidRDefault="009E297D" w:rsidP="00690E77">
      <w:pPr>
        <w:jc w:val="both"/>
        <w:rPr>
          <w:rFonts w:ascii="Century Gothic" w:hAnsi="Century Gothic"/>
          <w:sz w:val="22"/>
          <w:szCs w:val="22"/>
          <w:lang w:val="es-ES_tradnl"/>
        </w:rPr>
      </w:pPr>
    </w:p>
    <w:p w:rsidR="00F8405B" w:rsidRPr="00690E77" w:rsidRDefault="00F8405B" w:rsidP="00F8405B">
      <w:pPr>
        <w:autoSpaceDE w:val="0"/>
        <w:autoSpaceDN w:val="0"/>
        <w:adjustRightInd w:val="0"/>
        <w:ind w:left="709" w:hanging="709"/>
        <w:jc w:val="both"/>
        <w:rPr>
          <w:rFonts w:ascii="Century Gothic" w:eastAsiaTheme="minorHAnsi" w:hAnsi="Century Gothic"/>
          <w:sz w:val="22"/>
          <w:szCs w:val="22"/>
          <w:lang w:val="es-EC" w:eastAsia="en-US"/>
        </w:rPr>
      </w:pPr>
      <w:r w:rsidRPr="00CF719D">
        <w:rPr>
          <w:rFonts w:ascii="Century Gothic" w:eastAsiaTheme="minorHAnsi" w:hAnsi="Century Gothic"/>
          <w:b/>
          <w:sz w:val="22"/>
          <w:szCs w:val="22"/>
          <w:lang w:val="es-EC" w:eastAsia="en-US"/>
        </w:rPr>
        <w:t>Que,</w:t>
      </w:r>
      <w:r w:rsidRPr="00690E77">
        <w:rPr>
          <w:rFonts w:ascii="Century Gothic" w:eastAsiaTheme="minorHAnsi" w:hAnsi="Century Gothic"/>
          <w:sz w:val="22"/>
          <w:szCs w:val="22"/>
          <w:lang w:val="es-EC" w:eastAsia="en-US"/>
        </w:rPr>
        <w:tab/>
        <w:t xml:space="preserve">el artículo 415 del COOTAD, establece que: </w:t>
      </w:r>
      <w:r w:rsidRPr="00690E77">
        <w:rPr>
          <w:rFonts w:ascii="Century Gothic" w:eastAsiaTheme="minorHAnsi" w:hAnsi="Century Gothic"/>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F8405B" w:rsidRPr="005060A9" w:rsidRDefault="00F8405B" w:rsidP="00F8405B">
      <w:pPr>
        <w:autoSpaceDE w:val="0"/>
        <w:autoSpaceDN w:val="0"/>
        <w:adjustRightInd w:val="0"/>
        <w:ind w:left="709" w:hanging="709"/>
        <w:jc w:val="both"/>
        <w:rPr>
          <w:rFonts w:eastAsiaTheme="minorHAnsi"/>
          <w:i/>
          <w:sz w:val="22"/>
          <w:szCs w:val="22"/>
          <w:lang w:val="es-EC" w:eastAsia="en-US"/>
        </w:rPr>
      </w:pPr>
    </w:p>
    <w:p w:rsidR="00F8405B" w:rsidRDefault="00F8405B" w:rsidP="00FF5C8F">
      <w:pPr>
        <w:ind w:left="700" w:hanging="700"/>
        <w:jc w:val="both"/>
        <w:rPr>
          <w:rFonts w:ascii="Century Gothic" w:eastAsiaTheme="minorHAnsi" w:hAnsi="Century Gothic"/>
          <w:sz w:val="22"/>
          <w:szCs w:val="22"/>
          <w:lang w:val="es-EC" w:eastAsia="en-US"/>
        </w:rPr>
      </w:pPr>
      <w:r w:rsidRPr="00FF5C8F">
        <w:rPr>
          <w:rFonts w:ascii="Century Gothic" w:eastAsiaTheme="minorHAnsi" w:hAnsi="Century Gothic"/>
          <w:b/>
          <w:sz w:val="22"/>
          <w:szCs w:val="22"/>
          <w:lang w:val="es-EC" w:eastAsia="en-US"/>
        </w:rPr>
        <w:lastRenderedPageBreak/>
        <w:t>Que,</w:t>
      </w:r>
      <w:r w:rsidRPr="00FF5C8F">
        <w:rPr>
          <w:rFonts w:ascii="Century Gothic" w:eastAsiaTheme="minorHAnsi" w:hAnsi="Century Gothic"/>
          <w:sz w:val="22"/>
          <w:szCs w:val="22"/>
          <w:lang w:val="es-EC" w:eastAsia="en-US"/>
        </w:rPr>
        <w:t xml:space="preserve"> </w:t>
      </w:r>
      <w:r w:rsidRPr="00FF5C8F">
        <w:rPr>
          <w:rFonts w:ascii="Century Gothic" w:eastAsiaTheme="minorHAnsi" w:hAnsi="Century Gothic"/>
          <w:sz w:val="22"/>
          <w:szCs w:val="22"/>
          <w:lang w:val="es-EC" w:eastAsia="en-US"/>
        </w:rPr>
        <w:tab/>
      </w:r>
      <w:r w:rsidR="00FF5C8F" w:rsidRPr="00FF5C8F">
        <w:rPr>
          <w:rFonts w:ascii="Century Gothic" w:eastAsiaTheme="minorHAnsi" w:hAnsi="Century Gothic"/>
          <w:sz w:val="22"/>
          <w:szCs w:val="22"/>
          <w:lang w:val="es-EC" w:eastAsia="en-US"/>
        </w:rPr>
        <w:t>el literal c) del artículo 419 del COOTAD, establece que:</w:t>
      </w:r>
      <w:r w:rsidR="00FF5C8F">
        <w:rPr>
          <w:rFonts w:ascii="Century Gothic" w:eastAsiaTheme="minorHAnsi" w:hAnsi="Century Gothic"/>
          <w:sz w:val="22"/>
          <w:szCs w:val="22"/>
          <w:lang w:val="es-EC" w:eastAsia="en-US"/>
        </w:rPr>
        <w:t xml:space="preserve"> "Constituyen bienes de dominio </w:t>
      </w:r>
      <w:r w:rsidR="00FF5C8F" w:rsidRPr="00FF5C8F">
        <w:rPr>
          <w:rFonts w:ascii="Century Gothic" w:eastAsiaTheme="minorHAnsi" w:hAnsi="Century Gothic"/>
          <w:sz w:val="22"/>
          <w:szCs w:val="22"/>
          <w:lang w:val="es-EC" w:eastAsia="en-US"/>
        </w:rPr>
        <w:t>privado (...) “c) Los bienes mostrencos situados dentro de la</w:t>
      </w:r>
      <w:r w:rsidR="00FF5C8F">
        <w:rPr>
          <w:rFonts w:ascii="Century Gothic" w:eastAsiaTheme="minorHAnsi" w:hAnsi="Century Gothic"/>
          <w:sz w:val="22"/>
          <w:szCs w:val="22"/>
          <w:lang w:val="es-EC" w:eastAsia="en-US"/>
        </w:rPr>
        <w:t xml:space="preserve">s respectivas circunscripciones </w:t>
      </w:r>
      <w:r w:rsidR="00FF5C8F" w:rsidRPr="00FF5C8F">
        <w:rPr>
          <w:rFonts w:ascii="Century Gothic" w:eastAsiaTheme="minorHAnsi" w:hAnsi="Century Gothic"/>
          <w:sz w:val="22"/>
          <w:szCs w:val="22"/>
          <w:lang w:val="es-EC" w:eastAsia="en-US"/>
        </w:rPr>
        <w:t>territoriales (...)”;</w:t>
      </w:r>
    </w:p>
    <w:p w:rsidR="00FF5C8F" w:rsidRDefault="00FF5C8F" w:rsidP="00FF5C8F">
      <w:pPr>
        <w:jc w:val="both"/>
      </w:pPr>
    </w:p>
    <w:p w:rsidR="00DB3FC6" w:rsidRDefault="00DB3FC6" w:rsidP="00DB3FC6">
      <w:pPr>
        <w:ind w:left="700" w:hanging="700"/>
        <w:jc w:val="both"/>
        <w:rPr>
          <w:rFonts w:ascii="Century Gothic" w:hAnsi="Century Gothic"/>
          <w:sz w:val="22"/>
          <w:szCs w:val="22"/>
        </w:rPr>
      </w:pPr>
      <w:proofErr w:type="gramStart"/>
      <w:r w:rsidRPr="00FF5C8F">
        <w:rPr>
          <w:rFonts w:ascii="Century Gothic" w:hAnsi="Century Gothic"/>
          <w:b/>
          <w:sz w:val="22"/>
          <w:szCs w:val="22"/>
        </w:rPr>
        <w:t>Que,</w:t>
      </w:r>
      <w:r w:rsidRPr="00FF5C8F">
        <w:rPr>
          <w:rFonts w:ascii="Century Gothic" w:hAnsi="Century Gothic"/>
          <w:sz w:val="22"/>
          <w:szCs w:val="22"/>
        </w:rPr>
        <w:t xml:space="preserve">  </w:t>
      </w:r>
      <w:r w:rsidR="00FF5C8F">
        <w:rPr>
          <w:rFonts w:ascii="Century Gothic" w:hAnsi="Century Gothic"/>
          <w:sz w:val="22"/>
          <w:szCs w:val="22"/>
        </w:rPr>
        <w:t>e</w:t>
      </w:r>
      <w:r w:rsidRPr="00FF5C8F">
        <w:rPr>
          <w:rFonts w:ascii="Century Gothic" w:hAnsi="Century Gothic"/>
          <w:sz w:val="22"/>
          <w:szCs w:val="22"/>
        </w:rPr>
        <w:t>l</w:t>
      </w:r>
      <w:proofErr w:type="gramEnd"/>
      <w:r w:rsidRPr="00FF5C8F">
        <w:rPr>
          <w:rFonts w:ascii="Century Gothic" w:hAnsi="Century Gothic"/>
          <w:sz w:val="22"/>
          <w:szCs w:val="22"/>
        </w:rPr>
        <w:t xml:space="preserve"> inciso 5 del artículo 481 ibídem manifiesta: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rsidR="00FF5C8F" w:rsidRDefault="00FF5C8F" w:rsidP="00DB3FC6">
      <w:pPr>
        <w:ind w:left="700" w:hanging="700"/>
        <w:jc w:val="both"/>
        <w:rPr>
          <w:rFonts w:ascii="Century Gothic" w:hAnsi="Century Gothic"/>
          <w:sz w:val="22"/>
          <w:szCs w:val="22"/>
        </w:rPr>
      </w:pPr>
    </w:p>
    <w:p w:rsidR="00FF5C8F" w:rsidRDefault="00FF5C8F" w:rsidP="00FF5C8F">
      <w:pPr>
        <w:ind w:left="700" w:hanging="700"/>
        <w:jc w:val="both"/>
        <w:rPr>
          <w:rFonts w:ascii="Century Gothic" w:hAnsi="Century Gothic"/>
          <w:sz w:val="22"/>
          <w:szCs w:val="22"/>
        </w:rPr>
      </w:pPr>
      <w:proofErr w:type="gramStart"/>
      <w:r>
        <w:rPr>
          <w:rFonts w:ascii="Century Gothic" w:hAnsi="Century Gothic"/>
          <w:b/>
          <w:sz w:val="22"/>
          <w:szCs w:val="22"/>
        </w:rPr>
        <w:t xml:space="preserve">Que,  </w:t>
      </w:r>
      <w:r w:rsidRPr="00FF5C8F">
        <w:rPr>
          <w:rFonts w:ascii="Century Gothic" w:hAnsi="Century Gothic"/>
          <w:sz w:val="22"/>
          <w:szCs w:val="22"/>
        </w:rPr>
        <w:t>el</w:t>
      </w:r>
      <w:proofErr w:type="gramEnd"/>
      <w:r w:rsidRPr="00FF5C8F">
        <w:rPr>
          <w:rFonts w:ascii="Century Gothic" w:hAnsi="Century Gothic"/>
          <w:sz w:val="22"/>
          <w:szCs w:val="22"/>
        </w:rPr>
        <w:t xml:space="preserve"> Código Municipal para el Distrito Metropolitano de Quito, (en adelante, </w:t>
      </w:r>
      <w:r w:rsidRPr="00FF5C8F">
        <w:rPr>
          <w:rFonts w:ascii="Century Gothic" w:hAnsi="Century Gothic"/>
          <w:sz w:val="22"/>
          <w:szCs w:val="22"/>
          <w:lang w:val="es-ES_tradnl" w:eastAsia="ar-SA"/>
        </w:rPr>
        <w:t>«</w:t>
      </w:r>
      <w:r w:rsidRPr="00FF5C8F">
        <w:rPr>
          <w:rFonts w:ascii="Century Gothic" w:hAnsi="Century Gothic"/>
          <w:sz w:val="22"/>
          <w:szCs w:val="22"/>
          <w:u w:val="single"/>
          <w:lang w:val="es-ES_tradnl" w:eastAsia="ar-SA"/>
        </w:rPr>
        <w:t>Código Municipal</w:t>
      </w:r>
      <w:r w:rsidRPr="00FF5C8F">
        <w:rPr>
          <w:rFonts w:ascii="Century Gothic" w:hAnsi="Century Gothic"/>
          <w:sz w:val="22"/>
          <w:szCs w:val="22"/>
          <w:lang w:val="es-ES_tradnl" w:eastAsia="ar-SA"/>
        </w:rPr>
        <w:t>»)</w:t>
      </w:r>
      <w:r w:rsidRPr="00FF5C8F">
        <w:rPr>
          <w:rFonts w:ascii="Century Gothic" w:hAnsi="Century Gothic"/>
          <w:sz w:val="22"/>
          <w:szCs w:val="22"/>
          <w:lang w:val="es-ES_tradnl"/>
        </w:rPr>
        <w:t xml:space="preserve">, </w:t>
      </w:r>
      <w:r w:rsidRPr="00FF5C8F">
        <w:rPr>
          <w:rFonts w:ascii="Century Gothic" w:hAnsi="Century Gothic"/>
          <w:sz w:val="22"/>
          <w:szCs w:val="22"/>
        </w:rPr>
        <w:t>en el Título IV, establece el procedimiento de declaratoria y regularización de bienes inmuebles urbanos mostrencos;</w:t>
      </w:r>
    </w:p>
    <w:p w:rsidR="00FF5C8F" w:rsidRPr="00FF5C8F" w:rsidRDefault="00FF5C8F" w:rsidP="00FF5C8F">
      <w:pPr>
        <w:ind w:left="700" w:hanging="700"/>
        <w:jc w:val="both"/>
        <w:rPr>
          <w:rFonts w:ascii="Century Gothic" w:hAnsi="Century Gothic"/>
          <w:b/>
          <w:sz w:val="22"/>
          <w:szCs w:val="22"/>
        </w:rPr>
      </w:pPr>
    </w:p>
    <w:p w:rsidR="00FF5C8F" w:rsidRDefault="00FF5C8F" w:rsidP="00DB3FC6">
      <w:pPr>
        <w:ind w:left="700" w:hanging="700"/>
        <w:jc w:val="both"/>
        <w:rPr>
          <w:rFonts w:ascii="Century Gothic" w:hAnsi="Century Gothic"/>
          <w:sz w:val="22"/>
          <w:szCs w:val="22"/>
        </w:rPr>
      </w:pPr>
      <w:proofErr w:type="gramStart"/>
      <w:r w:rsidRPr="00C5708A">
        <w:rPr>
          <w:rFonts w:ascii="Century Gothic" w:hAnsi="Century Gothic"/>
          <w:b/>
          <w:sz w:val="22"/>
          <w:szCs w:val="22"/>
        </w:rPr>
        <w:t>Que,</w:t>
      </w:r>
      <w:r>
        <w:rPr>
          <w:rFonts w:ascii="Century Gothic" w:hAnsi="Century Gothic"/>
          <w:sz w:val="22"/>
          <w:szCs w:val="22"/>
        </w:rPr>
        <w:t xml:space="preserve">  el</w:t>
      </w:r>
      <w:proofErr w:type="gramEnd"/>
      <w:r>
        <w:rPr>
          <w:rFonts w:ascii="Century Gothic" w:hAnsi="Century Gothic"/>
          <w:sz w:val="22"/>
          <w:szCs w:val="22"/>
        </w:rPr>
        <w:t xml:space="preserve"> artículo 3634 del Código Municipal, determina que bien mostrenco son </w:t>
      </w:r>
      <w:r w:rsidRPr="00FF5C8F">
        <w:rPr>
          <w:rFonts w:ascii="Century Gothic" w:hAnsi="Century Gothic"/>
          <w:sz w:val="22"/>
          <w:szCs w:val="22"/>
        </w:rPr>
        <w:t>aquellos bienes inmuebles que carecen de dueño conocido, es decir todo aquel bien inmueble sobre el que no existe título de dominio inscrito en el Registro de la Propiedad, demostrado mediante el certificado respectivo co</w:t>
      </w:r>
      <w:r>
        <w:rPr>
          <w:rFonts w:ascii="Century Gothic" w:hAnsi="Century Gothic"/>
          <w:sz w:val="22"/>
          <w:szCs w:val="22"/>
        </w:rPr>
        <w:t>nferido por dicha entidad;</w:t>
      </w:r>
    </w:p>
    <w:p w:rsidR="00FF5C8F" w:rsidRDefault="00FF5C8F" w:rsidP="00DB3FC6">
      <w:pPr>
        <w:ind w:left="700" w:hanging="700"/>
        <w:jc w:val="both"/>
        <w:rPr>
          <w:rFonts w:ascii="Century Gothic" w:hAnsi="Century Gothic"/>
          <w:sz w:val="22"/>
          <w:szCs w:val="22"/>
        </w:rPr>
      </w:pPr>
    </w:p>
    <w:p w:rsidR="00FF5C8F" w:rsidRDefault="00FF5C8F" w:rsidP="00FF5C8F">
      <w:pPr>
        <w:ind w:left="700" w:hanging="700"/>
        <w:jc w:val="both"/>
        <w:rPr>
          <w:rFonts w:ascii="Century Gothic" w:hAnsi="Century Gothic"/>
          <w:sz w:val="22"/>
          <w:szCs w:val="22"/>
        </w:rPr>
      </w:pPr>
      <w:r w:rsidRPr="00C5708A">
        <w:rPr>
          <w:rFonts w:ascii="Century Gothic" w:hAnsi="Century Gothic"/>
          <w:b/>
          <w:sz w:val="22"/>
          <w:szCs w:val="22"/>
        </w:rPr>
        <w:t>Que,</w:t>
      </w:r>
      <w:r>
        <w:rPr>
          <w:rFonts w:ascii="Century Gothic" w:hAnsi="Century Gothic"/>
          <w:sz w:val="22"/>
          <w:szCs w:val="22"/>
        </w:rPr>
        <w:t xml:space="preserve"> el artículo 3635 del Código Municipal, establece que la </w:t>
      </w:r>
      <w:r w:rsidRPr="00FF5C8F">
        <w:rPr>
          <w:rFonts w:ascii="Century Gothic" w:hAnsi="Century Gothic"/>
          <w:sz w:val="22"/>
          <w:szCs w:val="22"/>
        </w:rPr>
        <w:t>autor</w:t>
      </w:r>
      <w:r>
        <w:rPr>
          <w:rFonts w:ascii="Century Gothic" w:hAnsi="Century Gothic"/>
          <w:sz w:val="22"/>
          <w:szCs w:val="22"/>
        </w:rPr>
        <w:t xml:space="preserve">idad competente para declarar y </w:t>
      </w:r>
      <w:r w:rsidRPr="00FF5C8F">
        <w:rPr>
          <w:rFonts w:ascii="Century Gothic" w:hAnsi="Century Gothic"/>
          <w:sz w:val="22"/>
          <w:szCs w:val="22"/>
        </w:rPr>
        <w:t>regularizar un bien inmueble mostrenco es el Conc</w:t>
      </w:r>
      <w:r>
        <w:rPr>
          <w:rFonts w:ascii="Century Gothic" w:hAnsi="Century Gothic"/>
          <w:sz w:val="22"/>
          <w:szCs w:val="22"/>
        </w:rPr>
        <w:t xml:space="preserve">ejo Metropolitano de Quito, una </w:t>
      </w:r>
      <w:r w:rsidRPr="00FF5C8F">
        <w:rPr>
          <w:rFonts w:ascii="Century Gothic" w:hAnsi="Century Gothic"/>
          <w:sz w:val="22"/>
          <w:szCs w:val="22"/>
        </w:rPr>
        <w:t>vez cumplido el procedimiento establecido para el efecto;</w:t>
      </w:r>
    </w:p>
    <w:p w:rsidR="00BE596D" w:rsidRDefault="00BE596D" w:rsidP="00FF5C8F">
      <w:pPr>
        <w:ind w:left="700" w:hanging="700"/>
        <w:jc w:val="both"/>
        <w:rPr>
          <w:rFonts w:ascii="Century Gothic" w:hAnsi="Century Gothic"/>
          <w:sz w:val="22"/>
          <w:szCs w:val="22"/>
        </w:rPr>
      </w:pPr>
    </w:p>
    <w:p w:rsidR="005E340F" w:rsidRDefault="00BE596D" w:rsidP="00FF5C8F">
      <w:pPr>
        <w:ind w:left="700" w:hanging="700"/>
        <w:jc w:val="both"/>
        <w:rPr>
          <w:rFonts w:ascii="Century Gothic" w:hAnsi="Century Gothic"/>
          <w:i/>
          <w:sz w:val="22"/>
          <w:szCs w:val="22"/>
        </w:rPr>
      </w:pPr>
      <w:r>
        <w:rPr>
          <w:rFonts w:ascii="Century Gothic" w:hAnsi="Century Gothic"/>
          <w:b/>
          <w:sz w:val="22"/>
          <w:szCs w:val="22"/>
        </w:rPr>
        <w:t xml:space="preserve">Que, </w:t>
      </w:r>
      <w:r w:rsidRPr="001A7AEC">
        <w:rPr>
          <w:rFonts w:ascii="Century Gothic" w:hAnsi="Century Gothic"/>
          <w:sz w:val="22"/>
          <w:szCs w:val="22"/>
        </w:rPr>
        <w:t xml:space="preserve">mediante la Dirección Metropolitana de Catastro, mediante oficio No. DMC-CE-3025 de 13 de abril de 2017, determinó lo siguiente: </w:t>
      </w:r>
      <w:r w:rsidRPr="00BE596D">
        <w:rPr>
          <w:rFonts w:ascii="Century Gothic" w:hAnsi="Century Gothic"/>
          <w:i/>
          <w:sz w:val="22"/>
          <w:szCs w:val="22"/>
        </w:rPr>
        <w:t>“la faja de terreno requerida en adjudicación es un área que queda entre la Cooperativa Unión Familiar y Primero de Mayo cuyo titular de dominio de la mismo no pertenece a ninguna de las dos cooperativas, siendo ésta un área vacante, por lo que DMC se rectifica el oficio 7498 del 05 de agosto del 2016.”</w:t>
      </w:r>
    </w:p>
    <w:p w:rsidR="001A7AEC" w:rsidRDefault="001A7AEC" w:rsidP="00FF5C8F">
      <w:pPr>
        <w:ind w:left="700" w:hanging="700"/>
        <w:jc w:val="both"/>
        <w:rPr>
          <w:rFonts w:ascii="Century Gothic" w:hAnsi="Century Gothic"/>
          <w:i/>
          <w:sz w:val="22"/>
          <w:szCs w:val="22"/>
        </w:rPr>
      </w:pPr>
    </w:p>
    <w:p w:rsidR="001A7AEC" w:rsidRPr="00F80205" w:rsidRDefault="001A7AEC" w:rsidP="00F80205">
      <w:pPr>
        <w:ind w:left="700" w:hanging="700"/>
        <w:jc w:val="both"/>
        <w:rPr>
          <w:rFonts w:ascii="Century Gothic" w:hAnsi="Century Gothic"/>
          <w:b/>
          <w:sz w:val="22"/>
          <w:szCs w:val="22"/>
        </w:rPr>
      </w:pPr>
      <w:r w:rsidRPr="00F1025C">
        <w:rPr>
          <w:rFonts w:ascii="Century Gothic" w:hAnsi="Century Gothic"/>
          <w:b/>
          <w:sz w:val="22"/>
          <w:szCs w:val="22"/>
        </w:rPr>
        <w:t xml:space="preserve">Que, </w:t>
      </w:r>
      <w:r w:rsidRPr="00F1025C">
        <w:rPr>
          <w:rFonts w:ascii="Century Gothic" w:hAnsi="Century Gothic"/>
          <w:sz w:val="22"/>
          <w:szCs w:val="22"/>
        </w:rPr>
        <w:t>la Procuraduría Metropolitana, mediante oficio No. GADDMQ-PM-SAUOS-2019-0000-O de 26 de septiembre de 2019, manifiesta lo siguiente:</w:t>
      </w:r>
      <w:r w:rsidRPr="00F1025C">
        <w:rPr>
          <w:rFonts w:ascii="Century Gothic" w:hAnsi="Century Gothic"/>
          <w:b/>
          <w:sz w:val="22"/>
          <w:szCs w:val="22"/>
        </w:rPr>
        <w:t xml:space="preserve"> </w:t>
      </w:r>
      <w:r w:rsidRPr="00F1025C">
        <w:rPr>
          <w:rFonts w:ascii="Century Gothic" w:hAnsi="Century Gothic"/>
          <w:i/>
          <w:sz w:val="22"/>
          <w:szCs w:val="22"/>
        </w:rPr>
        <w:t>“… Con estos antecedentes le comunico que la mencionada faja al no ser de propiedad municipal no puede continuarse con el trámite para la venta. Sin embargo, al ser un bien vacante podría aplicarse el trámite de bien mostrenco, para que una vez ingresado al patrimonio municipal se pueda iniciar el trámite para la enajenación directa a favor del propietario colindante.”</w:t>
      </w:r>
    </w:p>
    <w:p w:rsidR="001A7AEC" w:rsidRDefault="001A7AEC" w:rsidP="00F80205">
      <w:pPr>
        <w:jc w:val="both"/>
        <w:rPr>
          <w:rFonts w:ascii="Century Gothic" w:hAnsi="Century Gothic"/>
          <w:i/>
          <w:sz w:val="22"/>
          <w:szCs w:val="22"/>
        </w:rPr>
      </w:pPr>
    </w:p>
    <w:p w:rsidR="00D80CBE" w:rsidRDefault="001A7AEC" w:rsidP="00D80CBE">
      <w:pPr>
        <w:ind w:left="700" w:hanging="700"/>
        <w:jc w:val="both"/>
        <w:rPr>
          <w:rFonts w:ascii="Century Gothic" w:hAnsi="Century Gothic"/>
          <w:b/>
          <w:sz w:val="22"/>
          <w:szCs w:val="22"/>
        </w:rPr>
      </w:pPr>
      <w:r>
        <w:rPr>
          <w:rFonts w:ascii="Century Gothic" w:hAnsi="Century Gothic"/>
          <w:b/>
          <w:sz w:val="22"/>
          <w:szCs w:val="22"/>
        </w:rPr>
        <w:t xml:space="preserve">Que, </w:t>
      </w:r>
      <w:r w:rsidRPr="00C55BF9">
        <w:rPr>
          <w:rFonts w:ascii="Century Gothic" w:hAnsi="Century Gothic"/>
          <w:sz w:val="22"/>
          <w:szCs w:val="22"/>
        </w:rPr>
        <w:t xml:space="preserve">la Procuraduría Metropolitana, mediante oficio No. GADDMQ-PM-SAUOS-2020-0006-O de 08 de enero de 2020, indica que la señora María </w:t>
      </w:r>
      <w:proofErr w:type="spellStart"/>
      <w:r w:rsidRPr="00C55BF9">
        <w:rPr>
          <w:rFonts w:ascii="Century Gothic" w:hAnsi="Century Gothic"/>
          <w:sz w:val="22"/>
          <w:szCs w:val="22"/>
        </w:rPr>
        <w:t>Sagal</w:t>
      </w:r>
      <w:proofErr w:type="spellEnd"/>
      <w:r w:rsidRPr="00C55BF9">
        <w:rPr>
          <w:rFonts w:ascii="Century Gothic" w:hAnsi="Century Gothic"/>
          <w:sz w:val="22"/>
          <w:szCs w:val="22"/>
        </w:rPr>
        <w:t xml:space="preserve">, Diana y Ricardo Rosero </w:t>
      </w:r>
      <w:proofErr w:type="spellStart"/>
      <w:r w:rsidRPr="00C55BF9">
        <w:rPr>
          <w:rFonts w:ascii="Century Gothic" w:hAnsi="Century Gothic"/>
          <w:sz w:val="22"/>
          <w:szCs w:val="22"/>
        </w:rPr>
        <w:t>Sagal</w:t>
      </w:r>
      <w:proofErr w:type="spellEnd"/>
      <w:r w:rsidRPr="00C55BF9">
        <w:rPr>
          <w:rFonts w:ascii="Century Gothic" w:hAnsi="Century Gothic"/>
          <w:sz w:val="22"/>
          <w:szCs w:val="22"/>
        </w:rPr>
        <w:t>, solicitan continuar con el trámite de declaratoria de bien mostrenco de un área.</w:t>
      </w:r>
      <w:r>
        <w:rPr>
          <w:rFonts w:ascii="Century Gothic" w:hAnsi="Century Gothic"/>
          <w:b/>
          <w:sz w:val="22"/>
          <w:szCs w:val="22"/>
        </w:rPr>
        <w:t xml:space="preserve"> </w:t>
      </w:r>
    </w:p>
    <w:p w:rsidR="00D80CBE" w:rsidRDefault="00D80CBE" w:rsidP="00B35F67">
      <w:pPr>
        <w:ind w:left="700" w:hanging="700"/>
        <w:jc w:val="both"/>
        <w:rPr>
          <w:rFonts w:ascii="Century Gothic" w:hAnsi="Century Gothic"/>
          <w:b/>
          <w:sz w:val="22"/>
          <w:szCs w:val="22"/>
        </w:rPr>
      </w:pPr>
      <w:r>
        <w:rPr>
          <w:rFonts w:ascii="Century Gothic" w:hAnsi="Century Gothic"/>
          <w:b/>
          <w:sz w:val="22"/>
          <w:szCs w:val="22"/>
        </w:rPr>
        <w:lastRenderedPageBreak/>
        <w:t xml:space="preserve">Que,  </w:t>
      </w:r>
      <w:r w:rsidRPr="00B35F67">
        <w:rPr>
          <w:rFonts w:ascii="Century Gothic" w:hAnsi="Century Gothic"/>
          <w:sz w:val="22"/>
          <w:szCs w:val="22"/>
        </w:rPr>
        <w:t xml:space="preserve">la Dirección Metropolitana de Catastro, mediante oficio No. GADDMQ-DMC-2020-02966-O de 15 de julio de 2020, </w:t>
      </w:r>
      <w:r w:rsidR="00B35F67" w:rsidRPr="00B35F67">
        <w:rPr>
          <w:rFonts w:ascii="Century Gothic" w:hAnsi="Century Gothic"/>
          <w:sz w:val="22"/>
          <w:szCs w:val="22"/>
        </w:rPr>
        <w:t>manifiesta:</w:t>
      </w:r>
      <w:r w:rsidR="00B35F67">
        <w:rPr>
          <w:rFonts w:ascii="Century Gothic" w:hAnsi="Century Gothic"/>
          <w:b/>
          <w:sz w:val="22"/>
          <w:szCs w:val="22"/>
        </w:rPr>
        <w:t xml:space="preserve"> </w:t>
      </w:r>
      <w:r w:rsidR="00B35F67" w:rsidRPr="00B35F67">
        <w:rPr>
          <w:rFonts w:ascii="Century Gothic" w:hAnsi="Century Gothic"/>
          <w:i/>
          <w:sz w:val="22"/>
          <w:szCs w:val="22"/>
        </w:rPr>
        <w:t>“</w:t>
      </w:r>
      <w:r w:rsidR="00B35F67">
        <w:rPr>
          <w:rFonts w:ascii="Century Gothic" w:hAnsi="Century Gothic"/>
          <w:i/>
          <w:sz w:val="22"/>
          <w:szCs w:val="22"/>
        </w:rPr>
        <w:t>…</w:t>
      </w:r>
      <w:r w:rsidR="00B35F67" w:rsidRPr="00B35F67">
        <w:rPr>
          <w:rFonts w:ascii="Century Gothic" w:hAnsi="Century Gothic"/>
          <w:i/>
          <w:sz w:val="22"/>
          <w:szCs w:val="22"/>
        </w:rPr>
        <w:t>la Dirección Metropolitana de Catastro, de acuerdo a lo solicitado, informa que la faja de terreno en adjudicación es un área que queda entre la Cooperativa Unión Familiar y Primero de Mayo, cuyo titular de dominio  no pertenece a ninguna de la dos cooperativas, siendo esta un área vacante, por lo que la DMC ratifica el informe contenido en el oficio N° DMC</w:t>
      </w:r>
      <w:r w:rsidR="00A83681">
        <w:rPr>
          <w:rFonts w:ascii="Century Gothic" w:hAnsi="Century Gothic"/>
          <w:i/>
          <w:sz w:val="22"/>
          <w:szCs w:val="22"/>
        </w:rPr>
        <w:t>-CE-3025 del 13 de abril del 201</w:t>
      </w:r>
      <w:r w:rsidR="00B35F67" w:rsidRPr="00B35F67">
        <w:rPr>
          <w:rFonts w:ascii="Century Gothic" w:hAnsi="Century Gothic"/>
          <w:i/>
          <w:sz w:val="22"/>
          <w:szCs w:val="22"/>
        </w:rPr>
        <w:t xml:space="preserve">7.  Sus linderos y colindantes son los indicados en el anexo grafico 1.  </w:t>
      </w:r>
      <w:r w:rsidR="00F803D4">
        <w:rPr>
          <w:rFonts w:ascii="Century Gothic" w:hAnsi="Century Gothic"/>
          <w:i/>
          <w:sz w:val="22"/>
          <w:szCs w:val="22"/>
        </w:rPr>
        <w:t>Cabe recalcar</w:t>
      </w:r>
      <w:r w:rsidR="00B35F67" w:rsidRPr="00B35F67">
        <w:rPr>
          <w:rFonts w:ascii="Century Gothic" w:hAnsi="Century Gothic"/>
          <w:i/>
          <w:sz w:val="22"/>
          <w:szCs w:val="22"/>
        </w:rPr>
        <w:t xml:space="preserve"> que se adjunta ficha técnica para que de ser el caso se continúe con el proceso de declaratoria de Bien Mostrenco. (anexo 2)”</w:t>
      </w:r>
    </w:p>
    <w:p w:rsidR="00F80205" w:rsidRDefault="00F80205" w:rsidP="001A7AEC">
      <w:pPr>
        <w:ind w:left="700" w:hanging="700"/>
        <w:jc w:val="both"/>
        <w:rPr>
          <w:rFonts w:ascii="Century Gothic" w:hAnsi="Century Gothic"/>
          <w:b/>
          <w:sz w:val="22"/>
          <w:szCs w:val="22"/>
        </w:rPr>
      </w:pPr>
    </w:p>
    <w:p w:rsidR="00F803D4" w:rsidRDefault="00E34463" w:rsidP="00F803D4">
      <w:pPr>
        <w:ind w:left="700" w:hanging="700"/>
        <w:jc w:val="both"/>
        <w:rPr>
          <w:rFonts w:ascii="Century Gothic" w:hAnsi="Century Gothic"/>
          <w:sz w:val="22"/>
          <w:szCs w:val="22"/>
        </w:rPr>
      </w:pPr>
      <w:proofErr w:type="gramStart"/>
      <w:r>
        <w:rPr>
          <w:rFonts w:ascii="Century Gothic" w:hAnsi="Century Gothic"/>
          <w:b/>
          <w:sz w:val="22"/>
          <w:szCs w:val="22"/>
        </w:rPr>
        <w:t xml:space="preserve">Que,  </w:t>
      </w:r>
      <w:r w:rsidR="00F80205" w:rsidRPr="00F80205">
        <w:rPr>
          <w:rFonts w:ascii="Century Gothic" w:hAnsi="Century Gothic"/>
          <w:sz w:val="22"/>
          <w:szCs w:val="22"/>
        </w:rPr>
        <w:t>la</w:t>
      </w:r>
      <w:proofErr w:type="gramEnd"/>
      <w:r w:rsidR="00F80205" w:rsidRPr="00F80205">
        <w:rPr>
          <w:rFonts w:ascii="Century Gothic" w:hAnsi="Century Gothic"/>
          <w:sz w:val="22"/>
          <w:szCs w:val="22"/>
        </w:rPr>
        <w:t xml:space="preserve"> Unidad de Territorio y Vivienda de la </w:t>
      </w:r>
      <w:r w:rsidR="00D80CBE" w:rsidRPr="00F80205">
        <w:rPr>
          <w:rFonts w:ascii="Century Gothic" w:hAnsi="Century Gothic"/>
          <w:sz w:val="22"/>
          <w:szCs w:val="22"/>
        </w:rPr>
        <w:t>Administración</w:t>
      </w:r>
      <w:r w:rsidR="00F80205" w:rsidRPr="00F80205">
        <w:rPr>
          <w:rFonts w:ascii="Century Gothic" w:hAnsi="Century Gothic"/>
          <w:sz w:val="22"/>
          <w:szCs w:val="22"/>
        </w:rPr>
        <w:t xml:space="preserve"> Zonal Eloy Alfaro, mediante memorando No. GADDMQ-AZEA-DGT-UTV-2021-0196-M de 29 de julio de 2021, emite criterio favorable para continuar con el proceso de decl</w:t>
      </w:r>
      <w:r w:rsidR="00F803D4">
        <w:rPr>
          <w:rFonts w:ascii="Century Gothic" w:hAnsi="Century Gothic"/>
          <w:sz w:val="22"/>
          <w:szCs w:val="22"/>
        </w:rPr>
        <w:t>aratoria de bien mostrenco, de la siguiente área con los siguientes datos:</w:t>
      </w:r>
    </w:p>
    <w:p w:rsidR="00F803D4" w:rsidRDefault="00F803D4" w:rsidP="00F803D4">
      <w:pPr>
        <w:ind w:left="700" w:hanging="700"/>
        <w:jc w:val="both"/>
        <w:rPr>
          <w:rFonts w:ascii="Century Gothic" w:hAnsi="Century Gothic"/>
          <w:sz w:val="22"/>
          <w:szCs w:val="22"/>
        </w:rPr>
      </w:pPr>
    </w:p>
    <w:p w:rsidR="00F803D4" w:rsidRPr="00F803D4" w:rsidRDefault="00F803D4" w:rsidP="00F803D4">
      <w:pPr>
        <w:ind w:left="700"/>
        <w:jc w:val="both"/>
        <w:rPr>
          <w:rFonts w:ascii="Century Gothic" w:hAnsi="Century Gothic"/>
          <w:b/>
          <w:i/>
          <w:sz w:val="22"/>
          <w:szCs w:val="22"/>
        </w:rPr>
      </w:pPr>
      <w:r w:rsidRPr="00F803D4">
        <w:rPr>
          <w:rFonts w:ascii="Century Gothic" w:hAnsi="Century Gothic"/>
          <w:i/>
          <w:sz w:val="22"/>
          <w:szCs w:val="22"/>
        </w:rPr>
        <w:t xml:space="preserve"> “</w:t>
      </w:r>
      <w:r w:rsidRPr="00F803D4">
        <w:rPr>
          <w:rFonts w:ascii="Century Gothic" w:hAnsi="Century Gothic"/>
          <w:b/>
          <w:i/>
          <w:sz w:val="22"/>
          <w:szCs w:val="22"/>
        </w:rPr>
        <w:t xml:space="preserve">DATOS DEL ÁREA A DECLARAR BIEN MOSTRENCO  </w:t>
      </w:r>
    </w:p>
    <w:p w:rsidR="00F803D4" w:rsidRPr="00F803D4" w:rsidRDefault="00F803D4" w:rsidP="00F803D4">
      <w:pPr>
        <w:ind w:left="700"/>
        <w:jc w:val="both"/>
        <w:rPr>
          <w:rFonts w:ascii="Century Gothic" w:hAnsi="Century Gothic"/>
          <w:i/>
          <w:sz w:val="22"/>
          <w:szCs w:val="22"/>
        </w:rPr>
      </w:pPr>
      <w:r w:rsidRPr="00F803D4">
        <w:rPr>
          <w:rFonts w:ascii="Century Gothic" w:hAnsi="Century Gothic"/>
          <w:b/>
          <w:i/>
          <w:sz w:val="22"/>
          <w:szCs w:val="22"/>
        </w:rPr>
        <w:t>N° Predio referencial</w:t>
      </w:r>
      <w:r w:rsidRPr="00F803D4">
        <w:rPr>
          <w:rFonts w:ascii="Century Gothic" w:hAnsi="Century Gothic"/>
          <w:i/>
          <w:sz w:val="22"/>
          <w:szCs w:val="22"/>
        </w:rPr>
        <w:t xml:space="preserve">: 801820  </w:t>
      </w:r>
    </w:p>
    <w:p w:rsidR="00F803D4" w:rsidRPr="00F803D4" w:rsidRDefault="00F803D4" w:rsidP="00F803D4">
      <w:pPr>
        <w:ind w:left="700"/>
        <w:jc w:val="both"/>
        <w:rPr>
          <w:rFonts w:ascii="Century Gothic" w:hAnsi="Century Gothic"/>
          <w:i/>
          <w:sz w:val="22"/>
          <w:szCs w:val="22"/>
        </w:rPr>
      </w:pPr>
      <w:r w:rsidRPr="00F803D4">
        <w:rPr>
          <w:rFonts w:ascii="Century Gothic" w:hAnsi="Century Gothic"/>
          <w:b/>
          <w:i/>
          <w:sz w:val="22"/>
          <w:szCs w:val="22"/>
        </w:rPr>
        <w:t>Clave catastral referencial:</w:t>
      </w:r>
      <w:r w:rsidRPr="00F803D4">
        <w:rPr>
          <w:rFonts w:ascii="Century Gothic" w:hAnsi="Century Gothic"/>
          <w:i/>
          <w:sz w:val="22"/>
          <w:szCs w:val="22"/>
        </w:rPr>
        <w:t xml:space="preserve"> 3100510001 </w:t>
      </w:r>
    </w:p>
    <w:p w:rsidR="00F803D4" w:rsidRPr="00F803D4" w:rsidRDefault="00F803D4" w:rsidP="00F803D4">
      <w:pPr>
        <w:ind w:left="700"/>
        <w:jc w:val="both"/>
        <w:rPr>
          <w:rFonts w:ascii="Century Gothic" w:hAnsi="Century Gothic"/>
          <w:i/>
          <w:sz w:val="22"/>
          <w:szCs w:val="22"/>
        </w:rPr>
      </w:pPr>
      <w:r w:rsidRPr="00F803D4">
        <w:rPr>
          <w:rFonts w:ascii="Century Gothic" w:hAnsi="Century Gothic"/>
          <w:b/>
          <w:i/>
          <w:sz w:val="22"/>
          <w:szCs w:val="22"/>
        </w:rPr>
        <w:t>Ubicación:</w:t>
      </w:r>
      <w:r w:rsidRPr="00F803D4">
        <w:rPr>
          <w:rFonts w:ascii="Century Gothic" w:hAnsi="Century Gothic"/>
          <w:i/>
          <w:sz w:val="22"/>
          <w:szCs w:val="22"/>
        </w:rPr>
        <w:t xml:space="preserve"> Parroquia San Bartolo, sector El Calzado, dirección calle Fernando </w:t>
      </w:r>
      <w:proofErr w:type="spellStart"/>
      <w:r w:rsidRPr="00F803D4">
        <w:rPr>
          <w:rFonts w:ascii="Century Gothic" w:hAnsi="Century Gothic"/>
          <w:i/>
          <w:sz w:val="22"/>
          <w:szCs w:val="22"/>
        </w:rPr>
        <w:t>Teller</w:t>
      </w:r>
      <w:proofErr w:type="spellEnd"/>
      <w:r w:rsidRPr="00F803D4">
        <w:rPr>
          <w:rFonts w:ascii="Century Gothic" w:hAnsi="Century Gothic"/>
          <w:i/>
          <w:sz w:val="22"/>
          <w:szCs w:val="22"/>
        </w:rPr>
        <w:t xml:space="preserve"> </w:t>
      </w:r>
    </w:p>
    <w:p w:rsidR="00F803D4" w:rsidRDefault="00F803D4" w:rsidP="00F803D4">
      <w:pPr>
        <w:ind w:left="700"/>
        <w:jc w:val="both"/>
        <w:rPr>
          <w:rFonts w:ascii="Century Gothic" w:hAnsi="Century Gothic"/>
          <w:i/>
          <w:sz w:val="22"/>
          <w:szCs w:val="22"/>
        </w:rPr>
      </w:pPr>
      <w:r w:rsidRPr="00F803D4">
        <w:rPr>
          <w:rFonts w:ascii="Century Gothic" w:hAnsi="Century Gothic"/>
          <w:b/>
          <w:i/>
          <w:sz w:val="22"/>
          <w:szCs w:val="22"/>
        </w:rPr>
        <w:t>Área:</w:t>
      </w:r>
      <w:r w:rsidRPr="00F803D4">
        <w:rPr>
          <w:rFonts w:ascii="Century Gothic" w:hAnsi="Century Gothic"/>
          <w:i/>
          <w:sz w:val="22"/>
          <w:szCs w:val="22"/>
        </w:rPr>
        <w:t xml:space="preserve"> 48.86 m2   </w:t>
      </w:r>
    </w:p>
    <w:p w:rsidR="00F803D4" w:rsidRPr="00F803D4" w:rsidRDefault="00F803D4" w:rsidP="00F803D4">
      <w:pPr>
        <w:ind w:left="700"/>
        <w:jc w:val="both"/>
        <w:rPr>
          <w:rFonts w:ascii="Century Gothic" w:hAnsi="Century Gothic"/>
          <w:i/>
          <w:sz w:val="22"/>
          <w:szCs w:val="22"/>
        </w:rPr>
      </w:pPr>
    </w:p>
    <w:p w:rsidR="00F803D4" w:rsidRPr="00F803D4" w:rsidRDefault="00F803D4" w:rsidP="00F803D4">
      <w:pPr>
        <w:ind w:left="700"/>
        <w:jc w:val="both"/>
        <w:rPr>
          <w:rFonts w:ascii="Century Gothic" w:hAnsi="Century Gothic"/>
          <w:b/>
          <w:i/>
          <w:sz w:val="22"/>
          <w:szCs w:val="22"/>
        </w:rPr>
      </w:pPr>
      <w:r w:rsidRPr="00F803D4">
        <w:rPr>
          <w:rFonts w:ascii="Century Gothic" w:hAnsi="Century Gothic"/>
          <w:b/>
          <w:i/>
          <w:sz w:val="22"/>
          <w:szCs w:val="22"/>
        </w:rPr>
        <w:t xml:space="preserve">Linderos del área solicitada:  </w:t>
      </w:r>
    </w:p>
    <w:p w:rsidR="00F803D4" w:rsidRPr="00F803D4" w:rsidRDefault="00F803D4" w:rsidP="00F803D4">
      <w:pPr>
        <w:ind w:left="700"/>
        <w:jc w:val="both"/>
        <w:rPr>
          <w:rFonts w:ascii="Century Gothic" w:hAnsi="Century Gothic"/>
          <w:i/>
          <w:sz w:val="22"/>
          <w:szCs w:val="22"/>
        </w:rPr>
      </w:pPr>
      <w:r w:rsidRPr="00F803D4">
        <w:rPr>
          <w:rFonts w:ascii="Century Gothic" w:hAnsi="Century Gothic"/>
          <w:i/>
          <w:sz w:val="22"/>
          <w:szCs w:val="22"/>
        </w:rPr>
        <w:t xml:space="preserve">• </w:t>
      </w:r>
      <w:r w:rsidRPr="00F803D4">
        <w:rPr>
          <w:rFonts w:ascii="Century Gothic" w:hAnsi="Century Gothic"/>
          <w:b/>
          <w:i/>
          <w:sz w:val="22"/>
          <w:szCs w:val="22"/>
        </w:rPr>
        <w:t>Norte:</w:t>
      </w:r>
      <w:r w:rsidRPr="00F803D4">
        <w:rPr>
          <w:rFonts w:ascii="Century Gothic" w:hAnsi="Century Gothic"/>
          <w:i/>
          <w:sz w:val="22"/>
          <w:szCs w:val="22"/>
        </w:rPr>
        <w:t xml:space="preserve"> Pasaje S/N; 0,80 m; </w:t>
      </w:r>
    </w:p>
    <w:p w:rsidR="00F803D4" w:rsidRPr="00F803D4" w:rsidRDefault="00F803D4" w:rsidP="00F803D4">
      <w:pPr>
        <w:ind w:left="700"/>
        <w:jc w:val="both"/>
        <w:rPr>
          <w:rFonts w:ascii="Century Gothic" w:hAnsi="Century Gothic"/>
          <w:i/>
          <w:sz w:val="22"/>
          <w:szCs w:val="22"/>
        </w:rPr>
      </w:pPr>
      <w:r w:rsidRPr="00F803D4">
        <w:rPr>
          <w:rFonts w:ascii="Century Gothic" w:hAnsi="Century Gothic"/>
          <w:i/>
          <w:sz w:val="22"/>
          <w:szCs w:val="22"/>
        </w:rPr>
        <w:t xml:space="preserve">• </w:t>
      </w:r>
      <w:r w:rsidRPr="00F803D4">
        <w:rPr>
          <w:rFonts w:ascii="Century Gothic" w:hAnsi="Century Gothic"/>
          <w:b/>
          <w:i/>
          <w:sz w:val="22"/>
          <w:szCs w:val="22"/>
        </w:rPr>
        <w:t>Sur:</w:t>
      </w:r>
      <w:r w:rsidRPr="00F803D4">
        <w:rPr>
          <w:rFonts w:ascii="Century Gothic" w:hAnsi="Century Gothic"/>
          <w:i/>
          <w:sz w:val="22"/>
          <w:szCs w:val="22"/>
        </w:rPr>
        <w:t xml:space="preserve"> Propiedad particular; 3.05 m  </w:t>
      </w:r>
    </w:p>
    <w:p w:rsidR="00F803D4" w:rsidRPr="00F803D4" w:rsidRDefault="00F803D4" w:rsidP="00F803D4">
      <w:pPr>
        <w:ind w:left="700"/>
        <w:jc w:val="both"/>
        <w:rPr>
          <w:rFonts w:ascii="Century Gothic" w:hAnsi="Century Gothic"/>
          <w:i/>
          <w:sz w:val="22"/>
          <w:szCs w:val="22"/>
        </w:rPr>
      </w:pPr>
      <w:r w:rsidRPr="00F803D4">
        <w:rPr>
          <w:rFonts w:ascii="Century Gothic" w:hAnsi="Century Gothic"/>
          <w:i/>
          <w:sz w:val="22"/>
          <w:szCs w:val="22"/>
        </w:rPr>
        <w:t xml:space="preserve">• </w:t>
      </w:r>
      <w:r w:rsidRPr="00F803D4">
        <w:rPr>
          <w:rFonts w:ascii="Century Gothic" w:hAnsi="Century Gothic"/>
          <w:b/>
          <w:i/>
          <w:sz w:val="22"/>
          <w:szCs w:val="22"/>
        </w:rPr>
        <w:t>Este:</w:t>
      </w:r>
      <w:r w:rsidRPr="00F803D4">
        <w:rPr>
          <w:rFonts w:ascii="Century Gothic" w:hAnsi="Century Gothic"/>
          <w:i/>
          <w:sz w:val="22"/>
          <w:szCs w:val="22"/>
        </w:rPr>
        <w:t xml:space="preserve"> Propiedad </w:t>
      </w:r>
      <w:proofErr w:type="spellStart"/>
      <w:r w:rsidRPr="00F803D4">
        <w:rPr>
          <w:rFonts w:ascii="Century Gothic" w:hAnsi="Century Gothic"/>
          <w:i/>
          <w:sz w:val="22"/>
          <w:szCs w:val="22"/>
        </w:rPr>
        <w:t>Sagal</w:t>
      </w:r>
      <w:proofErr w:type="spellEnd"/>
      <w:r w:rsidRPr="00F803D4">
        <w:rPr>
          <w:rFonts w:ascii="Century Gothic" w:hAnsi="Century Gothic"/>
          <w:i/>
          <w:sz w:val="22"/>
          <w:szCs w:val="22"/>
        </w:rPr>
        <w:t xml:space="preserve"> María Elena </w:t>
      </w:r>
      <w:proofErr w:type="spellStart"/>
      <w:r w:rsidRPr="00F803D4">
        <w:rPr>
          <w:rFonts w:ascii="Century Gothic" w:hAnsi="Century Gothic"/>
          <w:i/>
          <w:sz w:val="22"/>
          <w:szCs w:val="22"/>
        </w:rPr>
        <w:t>Hdrs</w:t>
      </w:r>
      <w:proofErr w:type="spellEnd"/>
      <w:r w:rsidRPr="00F803D4">
        <w:rPr>
          <w:rFonts w:ascii="Century Gothic" w:hAnsi="Century Gothic"/>
          <w:i/>
          <w:sz w:val="22"/>
          <w:szCs w:val="22"/>
        </w:rPr>
        <w:t xml:space="preserve">; 31.50 m  </w:t>
      </w:r>
    </w:p>
    <w:p w:rsidR="00E34463" w:rsidRPr="00F803D4" w:rsidRDefault="00F803D4" w:rsidP="00F803D4">
      <w:pPr>
        <w:ind w:left="700"/>
        <w:jc w:val="both"/>
        <w:rPr>
          <w:rFonts w:ascii="Century Gothic" w:hAnsi="Century Gothic"/>
          <w:i/>
          <w:sz w:val="22"/>
          <w:szCs w:val="22"/>
        </w:rPr>
      </w:pPr>
      <w:r w:rsidRPr="00F803D4">
        <w:rPr>
          <w:rFonts w:ascii="Century Gothic" w:hAnsi="Century Gothic"/>
          <w:i/>
          <w:sz w:val="22"/>
          <w:szCs w:val="22"/>
        </w:rPr>
        <w:t xml:space="preserve">• </w:t>
      </w:r>
      <w:r w:rsidRPr="00F803D4">
        <w:rPr>
          <w:rFonts w:ascii="Century Gothic" w:hAnsi="Century Gothic"/>
          <w:b/>
          <w:i/>
          <w:sz w:val="22"/>
          <w:szCs w:val="22"/>
        </w:rPr>
        <w:t>Oeste:</w:t>
      </w:r>
      <w:r w:rsidRPr="00F803D4">
        <w:rPr>
          <w:rFonts w:ascii="Century Gothic" w:hAnsi="Century Gothic"/>
          <w:i/>
          <w:sz w:val="22"/>
          <w:szCs w:val="22"/>
        </w:rPr>
        <w:t xml:space="preserve"> Calle Fernando </w:t>
      </w:r>
      <w:proofErr w:type="spellStart"/>
      <w:r w:rsidRPr="00F803D4">
        <w:rPr>
          <w:rFonts w:ascii="Century Gothic" w:hAnsi="Century Gothic"/>
          <w:i/>
          <w:sz w:val="22"/>
          <w:szCs w:val="22"/>
        </w:rPr>
        <w:t>Teller</w:t>
      </w:r>
      <w:proofErr w:type="spellEnd"/>
      <w:r w:rsidRPr="00F803D4">
        <w:rPr>
          <w:rFonts w:ascii="Century Gothic" w:hAnsi="Century Gothic"/>
          <w:i/>
          <w:sz w:val="22"/>
          <w:szCs w:val="22"/>
        </w:rPr>
        <w:t>; 30.65 m […]</w:t>
      </w:r>
      <w:r>
        <w:rPr>
          <w:rFonts w:ascii="Century Gothic" w:hAnsi="Century Gothic"/>
          <w:i/>
          <w:sz w:val="22"/>
          <w:szCs w:val="22"/>
        </w:rPr>
        <w:t>”</w:t>
      </w:r>
    </w:p>
    <w:p w:rsidR="00F803D4" w:rsidRDefault="00F803D4" w:rsidP="001A7AEC">
      <w:pPr>
        <w:ind w:left="700" w:hanging="700"/>
        <w:jc w:val="both"/>
        <w:rPr>
          <w:rFonts w:ascii="Century Gothic" w:hAnsi="Century Gothic"/>
          <w:b/>
          <w:sz w:val="22"/>
          <w:szCs w:val="22"/>
        </w:rPr>
      </w:pPr>
    </w:p>
    <w:p w:rsidR="00F80205" w:rsidRDefault="00F80205" w:rsidP="001A7AEC">
      <w:pPr>
        <w:ind w:left="700" w:hanging="700"/>
        <w:jc w:val="both"/>
        <w:rPr>
          <w:rFonts w:ascii="Century Gothic" w:hAnsi="Century Gothic"/>
          <w:b/>
          <w:sz w:val="22"/>
          <w:szCs w:val="22"/>
        </w:rPr>
      </w:pPr>
    </w:p>
    <w:p w:rsidR="00F80205" w:rsidRPr="00F80205" w:rsidRDefault="00F80205" w:rsidP="001A7AEC">
      <w:pPr>
        <w:ind w:left="700" w:hanging="700"/>
        <w:jc w:val="both"/>
        <w:rPr>
          <w:rFonts w:ascii="Century Gothic" w:hAnsi="Century Gothic"/>
          <w:sz w:val="22"/>
          <w:szCs w:val="22"/>
        </w:rPr>
      </w:pPr>
      <w:r>
        <w:rPr>
          <w:rFonts w:ascii="Century Gothic" w:hAnsi="Century Gothic"/>
          <w:b/>
          <w:sz w:val="22"/>
          <w:szCs w:val="22"/>
        </w:rPr>
        <w:t xml:space="preserve">Que, </w:t>
      </w:r>
      <w:r w:rsidRPr="00F80205">
        <w:rPr>
          <w:rFonts w:ascii="Century Gothic" w:hAnsi="Century Gothic"/>
          <w:sz w:val="22"/>
          <w:szCs w:val="22"/>
        </w:rPr>
        <w:t xml:space="preserve"> la Dirección Jurídica de la Administración Zonal Eloy Alfaro, emite informe legal N° 228-DJ-2021, en el cual manifiesta lo siguiente: </w:t>
      </w:r>
      <w:r w:rsidRPr="00F80205">
        <w:rPr>
          <w:rFonts w:ascii="Century Gothic" w:hAnsi="Century Gothic"/>
          <w:i/>
          <w:sz w:val="22"/>
          <w:szCs w:val="22"/>
        </w:rPr>
        <w:t>“… emite</w:t>
      </w:r>
      <w:r w:rsidRPr="00F80205">
        <w:rPr>
          <w:rFonts w:ascii="Century Gothic" w:hAnsi="Century Gothic"/>
          <w:b/>
          <w:i/>
          <w:sz w:val="22"/>
          <w:szCs w:val="22"/>
        </w:rPr>
        <w:t xml:space="preserve"> INFORME LEGAL FAVORABLE</w:t>
      </w:r>
      <w:r w:rsidRPr="00F80205">
        <w:rPr>
          <w:rFonts w:ascii="Century Gothic" w:hAnsi="Century Gothic"/>
          <w:i/>
          <w:sz w:val="22"/>
          <w:szCs w:val="22"/>
        </w:rPr>
        <w:t xml:space="preserve"> para que se Declare Bien Mostrenco al inmueble colindante con el predio No. 802820 (Referencial), clave catastral 31005-10-001 (REFERENCIAL), ubicado en la calle Fernando </w:t>
      </w:r>
      <w:proofErr w:type="spellStart"/>
      <w:r w:rsidRPr="00F80205">
        <w:rPr>
          <w:rFonts w:ascii="Century Gothic" w:hAnsi="Century Gothic"/>
          <w:i/>
          <w:sz w:val="22"/>
          <w:szCs w:val="22"/>
        </w:rPr>
        <w:t>Teller</w:t>
      </w:r>
      <w:proofErr w:type="spellEnd"/>
      <w:r w:rsidRPr="00F80205">
        <w:rPr>
          <w:rFonts w:ascii="Century Gothic" w:hAnsi="Century Gothic"/>
          <w:i/>
          <w:sz w:val="22"/>
          <w:szCs w:val="22"/>
        </w:rPr>
        <w:t xml:space="preserve">, de esta ciudad de Quito, cuyos linderos de conformidad con el Memorando No. GADDMQ-DGT-UTV-2021-0196-M, suscrito por el responsable de la Unidad de Territorio y Vivienda, son los siguientes: </w:t>
      </w:r>
      <w:r w:rsidRPr="00F80205">
        <w:rPr>
          <w:rFonts w:ascii="Century Gothic" w:hAnsi="Century Gothic"/>
          <w:b/>
          <w:i/>
          <w:sz w:val="22"/>
          <w:szCs w:val="22"/>
        </w:rPr>
        <w:t>NORTE.-</w:t>
      </w:r>
      <w:r w:rsidRPr="00F80205">
        <w:rPr>
          <w:rFonts w:ascii="Century Gothic" w:hAnsi="Century Gothic"/>
          <w:i/>
          <w:sz w:val="22"/>
          <w:szCs w:val="22"/>
        </w:rPr>
        <w:t xml:space="preserve"> En una extensión de 00,80 metros con el Pasaje sin nombre; </w:t>
      </w:r>
      <w:r w:rsidRPr="00F80205">
        <w:rPr>
          <w:rFonts w:ascii="Century Gothic" w:hAnsi="Century Gothic"/>
          <w:b/>
          <w:i/>
          <w:sz w:val="22"/>
          <w:szCs w:val="22"/>
        </w:rPr>
        <w:t>SUR:</w:t>
      </w:r>
      <w:r w:rsidRPr="00F80205">
        <w:rPr>
          <w:rFonts w:ascii="Century Gothic" w:hAnsi="Century Gothic"/>
          <w:i/>
          <w:sz w:val="22"/>
          <w:szCs w:val="22"/>
        </w:rPr>
        <w:t xml:space="preserve"> En una extensión de 3,05 metros con Propiedad Particular; </w:t>
      </w:r>
      <w:r w:rsidRPr="00F80205">
        <w:rPr>
          <w:rFonts w:ascii="Century Gothic" w:hAnsi="Century Gothic"/>
          <w:b/>
          <w:i/>
          <w:sz w:val="22"/>
          <w:szCs w:val="22"/>
        </w:rPr>
        <w:t>ESTE.-</w:t>
      </w:r>
      <w:r w:rsidRPr="00F80205">
        <w:rPr>
          <w:rFonts w:ascii="Century Gothic" w:hAnsi="Century Gothic"/>
          <w:i/>
          <w:sz w:val="22"/>
          <w:szCs w:val="22"/>
        </w:rPr>
        <w:t xml:space="preserve"> En una extensión de 31,50 metros con Propiedad de la señora </w:t>
      </w:r>
      <w:proofErr w:type="spellStart"/>
      <w:r w:rsidRPr="00F80205">
        <w:rPr>
          <w:rFonts w:ascii="Century Gothic" w:hAnsi="Century Gothic"/>
          <w:i/>
          <w:sz w:val="22"/>
          <w:szCs w:val="22"/>
        </w:rPr>
        <w:t>Sagal</w:t>
      </w:r>
      <w:proofErr w:type="spellEnd"/>
      <w:r w:rsidRPr="00F80205">
        <w:rPr>
          <w:rFonts w:ascii="Century Gothic" w:hAnsi="Century Gothic"/>
          <w:i/>
          <w:sz w:val="22"/>
          <w:szCs w:val="22"/>
        </w:rPr>
        <w:t xml:space="preserve"> María Elene, herederos; y, </w:t>
      </w:r>
      <w:r w:rsidRPr="00F80205">
        <w:rPr>
          <w:rFonts w:ascii="Century Gothic" w:hAnsi="Century Gothic"/>
          <w:b/>
          <w:i/>
          <w:sz w:val="22"/>
          <w:szCs w:val="22"/>
        </w:rPr>
        <w:t>OESTE.-</w:t>
      </w:r>
      <w:r w:rsidRPr="00F80205">
        <w:rPr>
          <w:rFonts w:ascii="Century Gothic" w:hAnsi="Century Gothic"/>
          <w:i/>
          <w:sz w:val="22"/>
          <w:szCs w:val="22"/>
        </w:rPr>
        <w:t xml:space="preserve"> En una extensión de 30,65 metros con la calle Fernando </w:t>
      </w:r>
      <w:proofErr w:type="spellStart"/>
      <w:r w:rsidRPr="00F80205">
        <w:rPr>
          <w:rFonts w:ascii="Century Gothic" w:hAnsi="Century Gothic"/>
          <w:i/>
          <w:sz w:val="22"/>
          <w:szCs w:val="22"/>
        </w:rPr>
        <w:t>Teller</w:t>
      </w:r>
      <w:proofErr w:type="spellEnd"/>
      <w:r w:rsidRPr="00F80205">
        <w:rPr>
          <w:rFonts w:ascii="Century Gothic" w:hAnsi="Century Gothic"/>
          <w:i/>
          <w:sz w:val="22"/>
          <w:szCs w:val="22"/>
        </w:rPr>
        <w:t>. La superficie Total y Aproximada es de 48,86 metros.”</w:t>
      </w:r>
    </w:p>
    <w:p w:rsidR="00E34463" w:rsidRDefault="00E34463" w:rsidP="001A7AEC">
      <w:pPr>
        <w:ind w:left="700" w:hanging="700"/>
        <w:jc w:val="both"/>
        <w:rPr>
          <w:rFonts w:ascii="Century Gothic" w:hAnsi="Century Gothic"/>
          <w:b/>
          <w:sz w:val="22"/>
          <w:szCs w:val="22"/>
        </w:rPr>
      </w:pPr>
    </w:p>
    <w:p w:rsidR="00E34463" w:rsidRDefault="00E34463" w:rsidP="001A7AEC">
      <w:pPr>
        <w:ind w:left="700" w:hanging="700"/>
        <w:jc w:val="both"/>
        <w:rPr>
          <w:rFonts w:ascii="Century Gothic" w:hAnsi="Century Gothic"/>
          <w:i/>
          <w:sz w:val="22"/>
          <w:szCs w:val="22"/>
        </w:rPr>
      </w:pPr>
      <w:r>
        <w:rPr>
          <w:rFonts w:ascii="Century Gothic" w:hAnsi="Century Gothic"/>
          <w:b/>
          <w:sz w:val="22"/>
          <w:szCs w:val="22"/>
        </w:rPr>
        <w:t xml:space="preserve">Que, </w:t>
      </w:r>
      <w:r w:rsidRPr="00F80205">
        <w:rPr>
          <w:rFonts w:ascii="Century Gothic" w:hAnsi="Century Gothic"/>
          <w:sz w:val="22"/>
          <w:szCs w:val="22"/>
        </w:rPr>
        <w:t xml:space="preserve">la </w:t>
      </w:r>
      <w:r w:rsidR="00F80205" w:rsidRPr="00F80205">
        <w:rPr>
          <w:rFonts w:ascii="Century Gothic" w:hAnsi="Century Gothic"/>
          <w:sz w:val="22"/>
          <w:szCs w:val="22"/>
        </w:rPr>
        <w:t>Administración</w:t>
      </w:r>
      <w:r w:rsidRPr="00F80205">
        <w:rPr>
          <w:rFonts w:ascii="Century Gothic" w:hAnsi="Century Gothic"/>
          <w:sz w:val="22"/>
          <w:szCs w:val="22"/>
        </w:rPr>
        <w:t xml:space="preserve"> Zonal Eloy Alfaro, mediante oficio No. GADDMQ-AZEA-AZ-2</w:t>
      </w:r>
      <w:r w:rsidR="00F1025C">
        <w:rPr>
          <w:rFonts w:ascii="Century Gothic" w:hAnsi="Century Gothic"/>
          <w:sz w:val="22"/>
          <w:szCs w:val="22"/>
        </w:rPr>
        <w:t>0</w:t>
      </w:r>
      <w:r w:rsidRPr="00F80205">
        <w:rPr>
          <w:rFonts w:ascii="Century Gothic" w:hAnsi="Century Gothic"/>
          <w:sz w:val="22"/>
          <w:szCs w:val="22"/>
        </w:rPr>
        <w:t xml:space="preserve">21-1911-O de 18 de agosto de 2021, emite el siguiente </w:t>
      </w:r>
      <w:r w:rsidRPr="00F80205">
        <w:rPr>
          <w:rFonts w:ascii="Century Gothic" w:hAnsi="Century Gothic"/>
          <w:sz w:val="22"/>
          <w:szCs w:val="22"/>
        </w:rPr>
        <w:lastRenderedPageBreak/>
        <w:t>pronunciamiento:</w:t>
      </w:r>
      <w:r>
        <w:rPr>
          <w:rFonts w:ascii="Century Gothic" w:hAnsi="Century Gothic"/>
          <w:b/>
          <w:sz w:val="22"/>
          <w:szCs w:val="22"/>
        </w:rPr>
        <w:t xml:space="preserve"> </w:t>
      </w:r>
      <w:r w:rsidRPr="00F80205">
        <w:rPr>
          <w:rFonts w:ascii="Century Gothic" w:hAnsi="Century Gothic"/>
          <w:i/>
          <w:sz w:val="22"/>
          <w:szCs w:val="22"/>
        </w:rPr>
        <w:t xml:space="preserve">“…Por lo expuesto, y por cuanto se ha dado estricto cumplimiento a lo dispuesto en la normativa municipal enunciada, la Administración Zonal Eloy Alfaro, remite los Informes TÉCNICO Y LEGAL FAVORABLES para que se Declare Bien Mostrenco al inmueble colindante con el predio No. 802820 (Referencial), clave catastral 31005-10-001 (REFERENCIAL), ubicado en la calle Fernando </w:t>
      </w:r>
      <w:proofErr w:type="spellStart"/>
      <w:r w:rsidRPr="00F80205">
        <w:rPr>
          <w:rFonts w:ascii="Century Gothic" w:hAnsi="Century Gothic"/>
          <w:i/>
          <w:sz w:val="22"/>
          <w:szCs w:val="22"/>
        </w:rPr>
        <w:t>Teller</w:t>
      </w:r>
      <w:proofErr w:type="spellEnd"/>
      <w:r w:rsidRPr="00F80205">
        <w:rPr>
          <w:rFonts w:ascii="Century Gothic" w:hAnsi="Century Gothic"/>
          <w:i/>
          <w:sz w:val="22"/>
          <w:szCs w:val="22"/>
        </w:rPr>
        <w:t xml:space="preserve">, de esta ciudad de Quito, cuyos linderos de conformidad con el Memorando No. GADDMQ-DGT-UTV-2021-0196-M, suscrito por el responsable de la Unidad de Territorio y Vivienda, son los siguientes: </w:t>
      </w:r>
      <w:r w:rsidRPr="00F80205">
        <w:rPr>
          <w:rFonts w:ascii="Century Gothic" w:hAnsi="Century Gothic"/>
          <w:b/>
          <w:i/>
          <w:sz w:val="22"/>
          <w:szCs w:val="22"/>
        </w:rPr>
        <w:t>NORTE.-</w:t>
      </w:r>
      <w:r w:rsidRPr="00F80205">
        <w:rPr>
          <w:rFonts w:ascii="Century Gothic" w:hAnsi="Century Gothic"/>
          <w:i/>
          <w:sz w:val="22"/>
          <w:szCs w:val="22"/>
        </w:rPr>
        <w:t xml:space="preserve"> En una extensión de 00,80 metros con el Pasaje sin nombre; </w:t>
      </w:r>
      <w:r w:rsidRPr="00F80205">
        <w:rPr>
          <w:rFonts w:ascii="Century Gothic" w:hAnsi="Century Gothic"/>
          <w:b/>
          <w:i/>
          <w:sz w:val="22"/>
          <w:szCs w:val="22"/>
        </w:rPr>
        <w:t>SUR:</w:t>
      </w:r>
      <w:r w:rsidRPr="00F80205">
        <w:rPr>
          <w:rFonts w:ascii="Century Gothic" w:hAnsi="Century Gothic"/>
          <w:i/>
          <w:sz w:val="22"/>
          <w:szCs w:val="22"/>
        </w:rPr>
        <w:t xml:space="preserve"> En una extensión de 3,05 metros con Propiedad Particular; </w:t>
      </w:r>
      <w:r w:rsidRPr="00F80205">
        <w:rPr>
          <w:rFonts w:ascii="Century Gothic" w:hAnsi="Century Gothic"/>
          <w:b/>
          <w:i/>
          <w:sz w:val="22"/>
          <w:szCs w:val="22"/>
        </w:rPr>
        <w:t>ESTE.-</w:t>
      </w:r>
      <w:r w:rsidRPr="00F80205">
        <w:rPr>
          <w:rFonts w:ascii="Century Gothic" w:hAnsi="Century Gothic"/>
          <w:i/>
          <w:sz w:val="22"/>
          <w:szCs w:val="22"/>
        </w:rPr>
        <w:t xml:space="preserve"> En una extensión de 31,50 metros con Propiedad de la señora </w:t>
      </w:r>
      <w:proofErr w:type="spellStart"/>
      <w:r w:rsidRPr="00F80205">
        <w:rPr>
          <w:rFonts w:ascii="Century Gothic" w:hAnsi="Century Gothic"/>
          <w:i/>
          <w:sz w:val="22"/>
          <w:szCs w:val="22"/>
        </w:rPr>
        <w:t>Sagal</w:t>
      </w:r>
      <w:proofErr w:type="spellEnd"/>
      <w:r w:rsidRPr="00F80205">
        <w:rPr>
          <w:rFonts w:ascii="Century Gothic" w:hAnsi="Century Gothic"/>
          <w:i/>
          <w:sz w:val="22"/>
          <w:szCs w:val="22"/>
        </w:rPr>
        <w:t xml:space="preserve"> María Elene, herederos; y, </w:t>
      </w:r>
      <w:r w:rsidRPr="00F80205">
        <w:rPr>
          <w:rFonts w:ascii="Century Gothic" w:hAnsi="Century Gothic"/>
          <w:b/>
          <w:i/>
          <w:sz w:val="22"/>
          <w:szCs w:val="22"/>
        </w:rPr>
        <w:t>OESTE.-</w:t>
      </w:r>
      <w:r w:rsidRPr="00F80205">
        <w:rPr>
          <w:rFonts w:ascii="Century Gothic" w:hAnsi="Century Gothic"/>
          <w:i/>
          <w:sz w:val="22"/>
          <w:szCs w:val="22"/>
        </w:rPr>
        <w:t xml:space="preserve"> En una extensión de 30,65 metros con la calle Fernando </w:t>
      </w:r>
      <w:proofErr w:type="spellStart"/>
      <w:r w:rsidRPr="00F80205">
        <w:rPr>
          <w:rFonts w:ascii="Century Gothic" w:hAnsi="Century Gothic"/>
          <w:i/>
          <w:sz w:val="22"/>
          <w:szCs w:val="22"/>
        </w:rPr>
        <w:t>Teller</w:t>
      </w:r>
      <w:proofErr w:type="spellEnd"/>
      <w:r w:rsidRPr="00F80205">
        <w:rPr>
          <w:rFonts w:ascii="Century Gothic" w:hAnsi="Century Gothic"/>
          <w:i/>
          <w:sz w:val="22"/>
          <w:szCs w:val="22"/>
        </w:rPr>
        <w:t>. La superficie Total y Aproximada es de 48,86 metros".</w:t>
      </w:r>
    </w:p>
    <w:p w:rsidR="00D80CBE" w:rsidRDefault="00D80CBE" w:rsidP="001A7AEC">
      <w:pPr>
        <w:ind w:left="700" w:hanging="700"/>
        <w:jc w:val="both"/>
        <w:rPr>
          <w:rFonts w:ascii="Century Gothic" w:hAnsi="Century Gothic"/>
          <w:i/>
          <w:sz w:val="22"/>
          <w:szCs w:val="22"/>
        </w:rPr>
      </w:pPr>
    </w:p>
    <w:p w:rsidR="00D80CBE" w:rsidRDefault="00D80CBE" w:rsidP="001A7AEC">
      <w:pPr>
        <w:ind w:left="700" w:hanging="700"/>
        <w:jc w:val="both"/>
        <w:rPr>
          <w:rFonts w:ascii="Century Gothic" w:hAnsi="Century Gothic"/>
          <w:i/>
          <w:sz w:val="22"/>
          <w:szCs w:val="22"/>
        </w:rPr>
      </w:pPr>
      <w:r>
        <w:rPr>
          <w:rFonts w:ascii="Century Gothic" w:hAnsi="Century Gothic"/>
          <w:b/>
          <w:sz w:val="22"/>
          <w:szCs w:val="22"/>
        </w:rPr>
        <w:t xml:space="preserve">Que, </w:t>
      </w:r>
      <w:r w:rsidRPr="00D80CBE">
        <w:rPr>
          <w:rFonts w:ascii="Century Gothic" w:hAnsi="Century Gothic"/>
          <w:sz w:val="22"/>
          <w:szCs w:val="22"/>
        </w:rPr>
        <w:t xml:space="preserve"> el Registro de la Propiedad, mediante oficio No. GADDMQ-RPDMQ-DA-2020-0337-OF de 31 de agosto de 2020, establece lo siguiente</w:t>
      </w:r>
      <w:r>
        <w:rPr>
          <w:rFonts w:ascii="Century Gothic" w:hAnsi="Century Gothic"/>
          <w:sz w:val="22"/>
          <w:szCs w:val="22"/>
        </w:rPr>
        <w:t xml:space="preserve">: </w:t>
      </w:r>
      <w:r w:rsidRPr="00D80CBE">
        <w:rPr>
          <w:rFonts w:ascii="Century Gothic" w:hAnsi="Century Gothic"/>
          <w:i/>
          <w:sz w:val="22"/>
          <w:szCs w:val="22"/>
        </w:rPr>
        <w:t>“ El Registro de la Propiedad del Distrito Metropolitano de Quito, de acuerdo a la Ley de Registro en sus artículos 23 y 24, tiene organizado su archivo por nombres y apellidos de los propietarios de los bienes inmuebles y adicionalmente por fechas de ingreso de los títulos o documentos para su inscripción; más no por la ubicación del inmueble, su descripción o número predial; información que es provista con base a los asientos registrales existentes en los archivos entregados a esta entidad en el año 2011 cuando pasó a la administración Municipal. Por consiguiente, con la información proporcionada no es posible vincular la faja de terreno con un título de propiedad legalmente inscrito.”</w:t>
      </w:r>
    </w:p>
    <w:p w:rsidR="00A83681" w:rsidRDefault="00A83681" w:rsidP="001A7AEC">
      <w:pPr>
        <w:ind w:left="700" w:hanging="700"/>
        <w:jc w:val="both"/>
        <w:rPr>
          <w:rFonts w:ascii="Century Gothic" w:hAnsi="Century Gothic"/>
          <w:i/>
          <w:sz w:val="22"/>
          <w:szCs w:val="22"/>
        </w:rPr>
      </w:pPr>
    </w:p>
    <w:p w:rsidR="00A83681" w:rsidRDefault="00A83681" w:rsidP="001A7AEC">
      <w:pPr>
        <w:ind w:left="700" w:hanging="700"/>
        <w:jc w:val="both"/>
        <w:rPr>
          <w:rFonts w:ascii="Century Gothic" w:hAnsi="Century Gothic"/>
          <w:sz w:val="22"/>
          <w:szCs w:val="22"/>
        </w:rPr>
      </w:pPr>
      <w:proofErr w:type="gramStart"/>
      <w:r>
        <w:rPr>
          <w:rFonts w:ascii="Century Gothic" w:hAnsi="Century Gothic"/>
          <w:b/>
          <w:sz w:val="22"/>
          <w:szCs w:val="22"/>
        </w:rPr>
        <w:t xml:space="preserve">Que,  </w:t>
      </w:r>
      <w:r w:rsidRPr="00A83681">
        <w:rPr>
          <w:rFonts w:ascii="Century Gothic" w:hAnsi="Century Gothic"/>
          <w:sz w:val="22"/>
          <w:szCs w:val="22"/>
        </w:rPr>
        <w:t>la</w:t>
      </w:r>
      <w:proofErr w:type="gramEnd"/>
      <w:r w:rsidRPr="00A83681">
        <w:rPr>
          <w:rFonts w:ascii="Century Gothic" w:hAnsi="Century Gothic"/>
          <w:sz w:val="22"/>
          <w:szCs w:val="22"/>
        </w:rPr>
        <w:t xml:space="preserve"> Dirección Metropolitana de Gestión de Bienes Inmuebles, mediante oficio No. GADDMQ-DMGBI-2021-2522-O  de 26 de agosto de 2021,</w:t>
      </w:r>
      <w:r>
        <w:rPr>
          <w:rFonts w:ascii="Century Gothic" w:hAnsi="Century Gothic"/>
          <w:sz w:val="22"/>
          <w:szCs w:val="22"/>
        </w:rPr>
        <w:t xml:space="preserve"> en concordancia con los informes emitidos por las dependencias involucradas en el proceso de Declaratoria de Bien Mostrenco,</w:t>
      </w:r>
      <w:r>
        <w:rPr>
          <w:rFonts w:ascii="Century Gothic" w:hAnsi="Century Gothic"/>
          <w:i/>
          <w:sz w:val="22"/>
          <w:szCs w:val="22"/>
        </w:rPr>
        <w:t xml:space="preserve"> </w:t>
      </w:r>
      <w:r>
        <w:rPr>
          <w:rFonts w:ascii="Century Gothic" w:hAnsi="Century Gothic"/>
          <w:sz w:val="22"/>
          <w:szCs w:val="22"/>
        </w:rPr>
        <w:t xml:space="preserve">emite criterio técnico Favorable para que se continúe con el proceso administrativo. </w:t>
      </w:r>
    </w:p>
    <w:p w:rsidR="00A83681" w:rsidRDefault="00A83681" w:rsidP="001A7AEC">
      <w:pPr>
        <w:ind w:left="700" w:hanging="700"/>
        <w:jc w:val="both"/>
        <w:rPr>
          <w:rFonts w:ascii="Century Gothic" w:hAnsi="Century Gothic"/>
          <w:sz w:val="22"/>
          <w:szCs w:val="22"/>
        </w:rPr>
      </w:pPr>
    </w:p>
    <w:p w:rsidR="00A83681" w:rsidRDefault="00A83681" w:rsidP="00A83681">
      <w:pPr>
        <w:ind w:left="700" w:hanging="700"/>
        <w:jc w:val="both"/>
        <w:rPr>
          <w:rFonts w:ascii="Century Gothic" w:hAnsi="Century Gothic"/>
          <w:i/>
          <w:sz w:val="22"/>
          <w:szCs w:val="22"/>
        </w:rPr>
      </w:pPr>
      <w:r>
        <w:rPr>
          <w:rFonts w:ascii="Century Gothic" w:hAnsi="Century Gothic"/>
          <w:b/>
          <w:sz w:val="22"/>
          <w:szCs w:val="22"/>
        </w:rPr>
        <w:t xml:space="preserve">Que,  </w:t>
      </w:r>
      <w:r w:rsidRPr="00A83681">
        <w:rPr>
          <w:rFonts w:ascii="Century Gothic" w:hAnsi="Century Gothic"/>
          <w:sz w:val="22"/>
          <w:szCs w:val="22"/>
        </w:rPr>
        <w:t xml:space="preserve">la Procuraduría Metropolitana, mediante oficio No. GADDMQ-PM-2021-3169-O  de 28 de octubre de 2021, menciona lo siguiente: </w:t>
      </w:r>
      <w:r w:rsidRPr="00A83681">
        <w:rPr>
          <w:rFonts w:ascii="Century Gothic" w:hAnsi="Century Gothic"/>
          <w:i/>
          <w:sz w:val="22"/>
          <w:szCs w:val="22"/>
        </w:rPr>
        <w:t xml:space="preserve">“Con los antecedentes, fundamentos e informes expuestos, en consideración a que la declaratoria y regularización de los bienes mostrencos es competencia del Concejo Metropolitano de conformidad con los arts. 87 literal d) del COOTAD; y, Art. 3635 del Código Municipal para el Distrito Metropolitano de Quito, Procuraduría Metropolitana concluye que es procedente legalmente continuar con el presente trámite, por lo que emite informe jurídico favorable para que, de estimarlo pertinente, la Comisión de Propiedad y Espacio Público, una vez efectuadas las publicaciones a las que se refiere el Art. 3645, inciso 2, del Código Municipal para el Distrito Metropolitano de Quito, continúe con el procedimiento para obtener del Concejo Metropolitano la declaratoria y </w:t>
      </w:r>
      <w:r w:rsidRPr="00A83681">
        <w:rPr>
          <w:rFonts w:ascii="Century Gothic" w:hAnsi="Century Gothic"/>
          <w:i/>
          <w:sz w:val="22"/>
          <w:szCs w:val="22"/>
        </w:rPr>
        <w:lastRenderedPageBreak/>
        <w:t>regularización como bien mostrenco del inmueble colindante con el predio No. 801820 (Referencial), clave catastral 31005-10-001 (Referencial), con un área de 48,86 m2, ubicado en la Parroquia San Bartolo, sector El Calzado, de conformidad con los datos técnicos constantes en la ficha técnica para la declaratoria de bienes mostrencos emitida por la Dirección Metropolitana de Catastro. Una vez que se expida la resolución de</w:t>
      </w:r>
      <w:r>
        <w:rPr>
          <w:rFonts w:ascii="Century Gothic" w:hAnsi="Century Gothic"/>
          <w:i/>
          <w:sz w:val="22"/>
          <w:szCs w:val="22"/>
        </w:rPr>
        <w:t xml:space="preserve"> declaratoria de bien mostrenco </w:t>
      </w:r>
      <w:r w:rsidRPr="00A83681">
        <w:rPr>
          <w:rFonts w:ascii="Century Gothic" w:hAnsi="Century Gothic"/>
          <w:i/>
          <w:sz w:val="22"/>
          <w:szCs w:val="22"/>
        </w:rPr>
        <w:t xml:space="preserve">por parte del Concejo Metropolitano, </w:t>
      </w:r>
      <w:r>
        <w:rPr>
          <w:rFonts w:ascii="Century Gothic" w:hAnsi="Century Gothic"/>
          <w:i/>
          <w:sz w:val="22"/>
          <w:szCs w:val="22"/>
        </w:rPr>
        <w:t xml:space="preserve">se realizarán las publicaciones </w:t>
      </w:r>
      <w:r w:rsidRPr="00A83681">
        <w:rPr>
          <w:rFonts w:ascii="Century Gothic" w:hAnsi="Century Gothic"/>
          <w:i/>
          <w:sz w:val="22"/>
          <w:szCs w:val="22"/>
        </w:rPr>
        <w:t>establecidas en el Art. 3647 del Código Municipal para el Dist</w:t>
      </w:r>
      <w:r>
        <w:rPr>
          <w:rFonts w:ascii="Century Gothic" w:hAnsi="Century Gothic"/>
          <w:i/>
          <w:sz w:val="22"/>
          <w:szCs w:val="22"/>
        </w:rPr>
        <w:t xml:space="preserve">rito </w:t>
      </w:r>
      <w:r w:rsidRPr="00A83681">
        <w:rPr>
          <w:rFonts w:ascii="Century Gothic" w:hAnsi="Century Gothic"/>
          <w:i/>
          <w:sz w:val="22"/>
          <w:szCs w:val="22"/>
        </w:rPr>
        <w:t>Metropolitano de Quito.</w:t>
      </w:r>
      <w:r>
        <w:rPr>
          <w:rFonts w:ascii="Century Gothic" w:hAnsi="Century Gothic"/>
          <w:i/>
          <w:sz w:val="22"/>
          <w:szCs w:val="22"/>
        </w:rPr>
        <w:t>”</w:t>
      </w:r>
      <w:r w:rsidRPr="00A83681">
        <w:rPr>
          <w:rFonts w:ascii="Century Gothic" w:hAnsi="Century Gothic"/>
          <w:i/>
          <w:sz w:val="22"/>
          <w:szCs w:val="22"/>
        </w:rPr>
        <w:t xml:space="preserve">  </w:t>
      </w:r>
    </w:p>
    <w:p w:rsidR="00AB0D77" w:rsidRDefault="00AB0D77" w:rsidP="00A83681">
      <w:pPr>
        <w:ind w:left="700" w:hanging="700"/>
        <w:jc w:val="both"/>
        <w:rPr>
          <w:rFonts w:ascii="Century Gothic" w:hAnsi="Century Gothic"/>
          <w:i/>
          <w:sz w:val="22"/>
          <w:szCs w:val="22"/>
        </w:rPr>
      </w:pPr>
    </w:p>
    <w:p w:rsidR="00A83681" w:rsidRDefault="00AB0D77" w:rsidP="00A83681">
      <w:pPr>
        <w:ind w:left="700" w:hanging="700"/>
        <w:jc w:val="both"/>
        <w:rPr>
          <w:rFonts w:ascii="Century Gothic" w:hAnsi="Century Gothic"/>
          <w:i/>
          <w:sz w:val="22"/>
          <w:szCs w:val="22"/>
        </w:rPr>
      </w:pPr>
      <w:r>
        <w:rPr>
          <w:rFonts w:ascii="Century Gothic" w:hAnsi="Century Gothic"/>
          <w:b/>
          <w:sz w:val="22"/>
          <w:szCs w:val="22"/>
        </w:rPr>
        <w:t xml:space="preserve">Que, </w:t>
      </w:r>
      <w:r w:rsidRPr="00CF719D">
        <w:rPr>
          <w:rFonts w:ascii="Century Gothic" w:hAnsi="Century Gothic"/>
          <w:sz w:val="22"/>
          <w:szCs w:val="22"/>
        </w:rPr>
        <w:t xml:space="preserve">mediante oficio </w:t>
      </w:r>
      <w:proofErr w:type="spellStart"/>
      <w:proofErr w:type="gramStart"/>
      <w:r w:rsidRPr="00CF719D">
        <w:rPr>
          <w:rFonts w:ascii="Century Gothic" w:hAnsi="Century Gothic"/>
          <w:sz w:val="22"/>
          <w:szCs w:val="22"/>
        </w:rPr>
        <w:t>No.XXXXXXXXXXXX</w:t>
      </w:r>
      <w:proofErr w:type="spellEnd"/>
      <w:proofErr w:type="gramEnd"/>
      <w:r w:rsidRPr="00CF719D">
        <w:rPr>
          <w:rFonts w:ascii="Century Gothic" w:hAnsi="Century Gothic"/>
          <w:sz w:val="22"/>
          <w:szCs w:val="22"/>
        </w:rPr>
        <w:t xml:space="preserve">, de XX de XXXXX del XXXX, la Secretaría de Comunicación, remitió su informe respecto a la publicación del extracto </w:t>
      </w:r>
      <w:r w:rsidR="00CF719D">
        <w:rPr>
          <w:rFonts w:ascii="Century Gothic" w:hAnsi="Century Gothic"/>
          <w:sz w:val="22"/>
          <w:szCs w:val="22"/>
        </w:rPr>
        <w:t xml:space="preserve">DE </w:t>
      </w:r>
      <w:r w:rsidRPr="00CF719D">
        <w:rPr>
          <w:rFonts w:ascii="Century Gothic" w:hAnsi="Century Gothic"/>
          <w:sz w:val="22"/>
          <w:szCs w:val="22"/>
        </w:rPr>
        <w:t xml:space="preserve">bien mostrenco por </w:t>
      </w:r>
      <w:r w:rsidR="00CF719D">
        <w:rPr>
          <w:rFonts w:ascii="Century Gothic" w:hAnsi="Century Gothic"/>
          <w:sz w:val="22"/>
          <w:szCs w:val="22"/>
        </w:rPr>
        <w:t xml:space="preserve">única vez en el Diario XXXXXXX, realizada el XX de XXXXX de XXXX. </w:t>
      </w:r>
    </w:p>
    <w:p w:rsidR="00AB0D77" w:rsidRDefault="00AB0D77" w:rsidP="00A83681">
      <w:pPr>
        <w:ind w:left="700" w:hanging="700"/>
        <w:jc w:val="both"/>
        <w:rPr>
          <w:rFonts w:ascii="Century Gothic" w:hAnsi="Century Gothic"/>
          <w:i/>
          <w:sz w:val="22"/>
          <w:szCs w:val="22"/>
        </w:rPr>
      </w:pPr>
    </w:p>
    <w:p w:rsidR="00AB0D77" w:rsidRDefault="00AB0D77" w:rsidP="00AB0D77">
      <w:pPr>
        <w:ind w:left="700" w:hanging="700"/>
        <w:jc w:val="both"/>
        <w:rPr>
          <w:rFonts w:ascii="Century Gothic" w:hAnsi="Century Gothic"/>
          <w:sz w:val="22"/>
          <w:szCs w:val="22"/>
        </w:rPr>
      </w:pPr>
      <w:proofErr w:type="gramStart"/>
      <w:r w:rsidRPr="00CF719D">
        <w:rPr>
          <w:rFonts w:ascii="Century Gothic" w:hAnsi="Century Gothic"/>
          <w:b/>
          <w:sz w:val="22"/>
          <w:szCs w:val="22"/>
        </w:rPr>
        <w:t>Que,</w:t>
      </w:r>
      <w:r>
        <w:rPr>
          <w:rFonts w:ascii="Century Gothic" w:hAnsi="Century Gothic"/>
          <w:sz w:val="22"/>
          <w:szCs w:val="22"/>
        </w:rPr>
        <w:t xml:space="preserve">  mediante</w:t>
      </w:r>
      <w:proofErr w:type="gramEnd"/>
      <w:r>
        <w:rPr>
          <w:rFonts w:ascii="Century Gothic" w:hAnsi="Century Gothic"/>
          <w:sz w:val="22"/>
          <w:szCs w:val="22"/>
        </w:rPr>
        <w:t xml:space="preserve"> oficio No. XXXXXXX de XX de XXXXXX de XXXX, la Dirección Metropolitana de Servicios Ciudadanos</w:t>
      </w:r>
      <w:r w:rsidR="00CF719D">
        <w:rPr>
          <w:rFonts w:ascii="Century Gothic" w:hAnsi="Century Gothic"/>
          <w:sz w:val="22"/>
          <w:szCs w:val="22"/>
        </w:rPr>
        <w:t xml:space="preserve">, remitió su informe respecto a la publicación del extracto de bien mostrenco desde el XX de XXXXX al XX de XXXX de XXXX. </w:t>
      </w:r>
    </w:p>
    <w:p w:rsidR="00CF719D" w:rsidRDefault="00CF719D" w:rsidP="00AB0D77">
      <w:pPr>
        <w:ind w:left="700" w:hanging="700"/>
        <w:jc w:val="both"/>
        <w:rPr>
          <w:rFonts w:ascii="Century Gothic" w:hAnsi="Century Gothic"/>
          <w:sz w:val="22"/>
          <w:szCs w:val="22"/>
        </w:rPr>
      </w:pPr>
    </w:p>
    <w:p w:rsidR="00CF719D" w:rsidRDefault="00CF719D" w:rsidP="00AB0D77">
      <w:pPr>
        <w:ind w:left="700" w:hanging="700"/>
        <w:jc w:val="both"/>
        <w:rPr>
          <w:rFonts w:ascii="Century Gothic" w:hAnsi="Century Gothic"/>
          <w:sz w:val="22"/>
          <w:szCs w:val="22"/>
        </w:rPr>
      </w:pPr>
      <w:proofErr w:type="gramStart"/>
      <w:r w:rsidRPr="00CF719D">
        <w:rPr>
          <w:rFonts w:ascii="Century Gothic" w:hAnsi="Century Gothic"/>
          <w:b/>
          <w:sz w:val="22"/>
          <w:szCs w:val="22"/>
        </w:rPr>
        <w:t>Que,</w:t>
      </w:r>
      <w:r>
        <w:rPr>
          <w:rFonts w:ascii="Century Gothic" w:hAnsi="Century Gothic"/>
          <w:sz w:val="22"/>
          <w:szCs w:val="22"/>
        </w:rPr>
        <w:t xml:space="preserve">  mediante</w:t>
      </w:r>
      <w:proofErr w:type="gramEnd"/>
      <w:r>
        <w:rPr>
          <w:rFonts w:ascii="Century Gothic" w:hAnsi="Century Gothic"/>
          <w:sz w:val="22"/>
          <w:szCs w:val="22"/>
        </w:rPr>
        <w:t xml:space="preserve"> oficio No. XXXXX de XX de XXXXX de XXXX, la Administración Zonal Eloy Alfaro, remitió su informe respecto a la publicación del extracto de bien mostrenco realizada desde el día XX de XXXXX al XX de XXXX de XXXX. </w:t>
      </w:r>
    </w:p>
    <w:p w:rsidR="00CF719D" w:rsidRDefault="00CF719D" w:rsidP="00AB0D77">
      <w:pPr>
        <w:ind w:left="700" w:hanging="700"/>
        <w:jc w:val="both"/>
        <w:rPr>
          <w:rFonts w:ascii="Century Gothic" w:hAnsi="Century Gothic"/>
          <w:sz w:val="22"/>
          <w:szCs w:val="22"/>
        </w:rPr>
      </w:pPr>
    </w:p>
    <w:p w:rsidR="00CC4DB7" w:rsidRDefault="00CF719D" w:rsidP="00CF719D">
      <w:pPr>
        <w:ind w:left="700" w:hanging="700"/>
        <w:jc w:val="both"/>
        <w:rPr>
          <w:rFonts w:ascii="Century Gothic" w:hAnsi="Century Gothic"/>
          <w:sz w:val="22"/>
          <w:szCs w:val="22"/>
        </w:rPr>
      </w:pPr>
      <w:proofErr w:type="gramStart"/>
      <w:r w:rsidRPr="00CF719D">
        <w:rPr>
          <w:rFonts w:ascii="Century Gothic" w:hAnsi="Century Gothic"/>
          <w:b/>
          <w:sz w:val="22"/>
          <w:szCs w:val="22"/>
        </w:rPr>
        <w:t>Que,</w:t>
      </w:r>
      <w:r>
        <w:rPr>
          <w:rFonts w:ascii="Century Gothic" w:hAnsi="Century Gothic"/>
          <w:sz w:val="22"/>
          <w:szCs w:val="22"/>
        </w:rPr>
        <w:t xml:space="preserve">  mediante</w:t>
      </w:r>
      <w:proofErr w:type="gramEnd"/>
      <w:r>
        <w:rPr>
          <w:rFonts w:ascii="Century Gothic" w:hAnsi="Century Gothic"/>
          <w:sz w:val="22"/>
          <w:szCs w:val="22"/>
        </w:rPr>
        <w:t xml:space="preserve"> oficio No. XXXXXXXXXX de XX de XXXX de XXXX, la Dirección Metropolitana de Catastro, remitió el informe respecto a la publicación del extracto de bien mostrenco, desde el día XX de XXXXX al XX de XXXXX  de XXXX. </w:t>
      </w:r>
    </w:p>
    <w:p w:rsidR="001B5AA3" w:rsidRPr="00C5708A" w:rsidRDefault="001B5AA3" w:rsidP="00C5708A">
      <w:pPr>
        <w:jc w:val="both"/>
        <w:rPr>
          <w:rFonts w:ascii="Century Gothic" w:hAnsi="Century Gothic"/>
          <w:b/>
          <w:sz w:val="22"/>
          <w:szCs w:val="22"/>
        </w:rPr>
      </w:pPr>
    </w:p>
    <w:p w:rsidR="00FF5C8F" w:rsidRDefault="001B5AA3" w:rsidP="00CF719D">
      <w:pPr>
        <w:ind w:left="700" w:hanging="700"/>
        <w:jc w:val="both"/>
        <w:rPr>
          <w:rFonts w:ascii="Century Gothic" w:hAnsi="Century Gothic"/>
          <w:sz w:val="22"/>
          <w:szCs w:val="22"/>
        </w:rPr>
      </w:pPr>
      <w:proofErr w:type="gramStart"/>
      <w:r w:rsidRPr="00C5708A">
        <w:rPr>
          <w:rFonts w:ascii="Century Gothic" w:hAnsi="Century Gothic"/>
          <w:b/>
          <w:sz w:val="22"/>
          <w:szCs w:val="22"/>
        </w:rPr>
        <w:t>Que,</w:t>
      </w:r>
      <w:r>
        <w:rPr>
          <w:rFonts w:ascii="Century Gothic" w:hAnsi="Century Gothic"/>
          <w:sz w:val="22"/>
          <w:szCs w:val="22"/>
        </w:rPr>
        <w:t xml:space="preserve">  </w:t>
      </w:r>
      <w:r w:rsidRPr="001B5AA3">
        <w:rPr>
          <w:rFonts w:ascii="Century Gothic" w:hAnsi="Century Gothic"/>
          <w:sz w:val="22"/>
          <w:szCs w:val="22"/>
        </w:rPr>
        <w:t>la</w:t>
      </w:r>
      <w:proofErr w:type="gramEnd"/>
      <w:r w:rsidRPr="001B5AA3">
        <w:rPr>
          <w:rFonts w:ascii="Century Gothic" w:hAnsi="Century Gothic"/>
          <w:sz w:val="22"/>
          <w:szCs w:val="22"/>
        </w:rPr>
        <w:t xml:space="preserve"> Comisión de Propiedad y Espacio Públi</w:t>
      </w:r>
      <w:r w:rsidR="00C5708A">
        <w:rPr>
          <w:rFonts w:ascii="Century Gothic" w:hAnsi="Century Gothic"/>
          <w:sz w:val="22"/>
          <w:szCs w:val="22"/>
        </w:rPr>
        <w:t>co, emitió el Informe No. IC-XXX</w:t>
      </w:r>
      <w:r w:rsidR="008E7696">
        <w:rPr>
          <w:rFonts w:ascii="Century Gothic" w:hAnsi="Century Gothic"/>
          <w:sz w:val="22"/>
          <w:szCs w:val="22"/>
        </w:rPr>
        <w:t>-2021-XXX</w:t>
      </w:r>
      <w:r w:rsidRPr="001B5AA3">
        <w:rPr>
          <w:rFonts w:ascii="Century Gothic" w:hAnsi="Century Gothic"/>
          <w:sz w:val="22"/>
          <w:szCs w:val="22"/>
        </w:rPr>
        <w:t xml:space="preserve"> </w:t>
      </w:r>
      <w:r w:rsidR="008E7696">
        <w:rPr>
          <w:rFonts w:ascii="Century Gothic" w:hAnsi="Century Gothic"/>
          <w:sz w:val="22"/>
          <w:szCs w:val="22"/>
        </w:rPr>
        <w:t>de XX de XXXX</w:t>
      </w:r>
      <w:r w:rsidRPr="001B5AA3">
        <w:rPr>
          <w:rFonts w:ascii="Century Gothic" w:hAnsi="Century Gothic"/>
          <w:sz w:val="22"/>
          <w:szCs w:val="22"/>
        </w:rPr>
        <w:t xml:space="preserve"> de 2021, el que contiene el dictamen favorable para que el Concejo Metropolitano se pronuncie en los términos previstos en la presente resolución.</w:t>
      </w:r>
    </w:p>
    <w:p w:rsidR="00FF5C8F" w:rsidRDefault="00FF5C8F" w:rsidP="00FF5C8F">
      <w:pPr>
        <w:ind w:left="700" w:hanging="700"/>
        <w:jc w:val="both"/>
        <w:rPr>
          <w:rFonts w:ascii="Century Gothic" w:hAnsi="Century Gothic"/>
          <w:sz w:val="22"/>
          <w:szCs w:val="22"/>
        </w:rPr>
      </w:pPr>
    </w:p>
    <w:p w:rsidR="00FF5C8F" w:rsidRDefault="00FF5C8F" w:rsidP="004A1782">
      <w:pPr>
        <w:ind w:left="700" w:hanging="700"/>
        <w:jc w:val="both"/>
        <w:rPr>
          <w:rFonts w:ascii="Century Gothic" w:hAnsi="Century Gothic"/>
          <w:sz w:val="22"/>
          <w:szCs w:val="22"/>
        </w:rPr>
      </w:pPr>
    </w:p>
    <w:p w:rsidR="00FF5C8F" w:rsidRDefault="00FF5C8F" w:rsidP="004A1782">
      <w:pPr>
        <w:jc w:val="both"/>
        <w:rPr>
          <w:rFonts w:ascii="Century Gothic" w:hAnsi="Century Gothic"/>
          <w:b/>
          <w:sz w:val="22"/>
          <w:szCs w:val="22"/>
        </w:rPr>
      </w:pPr>
      <w:r w:rsidRPr="00CF719D">
        <w:rPr>
          <w:rFonts w:ascii="Century Gothic" w:hAnsi="Century Gothic"/>
          <w:b/>
          <w:sz w:val="22"/>
          <w:szCs w:val="22"/>
        </w:rPr>
        <w:t>El Concejo Metropolitana de Quito, luego de analizar el Informe No. IC-2021</w:t>
      </w:r>
      <w:r w:rsidR="001B5AA3" w:rsidRPr="00CF719D">
        <w:rPr>
          <w:rFonts w:ascii="Century Gothic" w:hAnsi="Century Gothic"/>
          <w:b/>
          <w:sz w:val="22"/>
          <w:szCs w:val="22"/>
        </w:rPr>
        <w:t xml:space="preserve"> XXX</w:t>
      </w:r>
      <w:r w:rsidRPr="00CF719D">
        <w:rPr>
          <w:rFonts w:ascii="Century Gothic" w:hAnsi="Century Gothic"/>
          <w:b/>
          <w:sz w:val="22"/>
          <w:szCs w:val="22"/>
        </w:rPr>
        <w:t>, emitido</w:t>
      </w:r>
      <w:r w:rsidR="001B5AA3" w:rsidRPr="00CF719D">
        <w:rPr>
          <w:rFonts w:ascii="Century Gothic" w:hAnsi="Century Gothic"/>
          <w:b/>
          <w:sz w:val="22"/>
          <w:szCs w:val="22"/>
        </w:rPr>
        <w:t xml:space="preserve"> </w:t>
      </w:r>
      <w:r w:rsidRPr="00CF719D">
        <w:rPr>
          <w:rFonts w:ascii="Century Gothic" w:hAnsi="Century Gothic"/>
          <w:b/>
          <w:sz w:val="22"/>
          <w:szCs w:val="22"/>
        </w:rPr>
        <w:t>por la Comisión de Propiedad y Espacio Público, y en ejercicio de sus atribuciones</w:t>
      </w:r>
      <w:r w:rsidR="001B5AA3" w:rsidRPr="00CF719D">
        <w:rPr>
          <w:rFonts w:ascii="Century Gothic" w:hAnsi="Century Gothic"/>
          <w:b/>
          <w:sz w:val="22"/>
          <w:szCs w:val="22"/>
        </w:rPr>
        <w:t xml:space="preserve"> </w:t>
      </w:r>
      <w:r w:rsidRPr="00CF719D">
        <w:rPr>
          <w:rFonts w:ascii="Century Gothic" w:hAnsi="Century Gothic"/>
          <w:b/>
          <w:sz w:val="22"/>
          <w:szCs w:val="22"/>
        </w:rPr>
        <w:t>previstas en los artículos: 87 literal d), 415, 41</w:t>
      </w:r>
      <w:r w:rsidR="001B5AA3" w:rsidRPr="00CF719D">
        <w:rPr>
          <w:rFonts w:ascii="Century Gothic" w:hAnsi="Century Gothic"/>
          <w:b/>
          <w:sz w:val="22"/>
          <w:szCs w:val="22"/>
        </w:rPr>
        <w:t xml:space="preserve">9 y, 481 del Código Orgánico de </w:t>
      </w:r>
      <w:r w:rsidRPr="00CF719D">
        <w:rPr>
          <w:rFonts w:ascii="Century Gothic" w:hAnsi="Century Gothic"/>
          <w:b/>
          <w:sz w:val="22"/>
          <w:szCs w:val="22"/>
        </w:rPr>
        <w:t>Organización Territorial, Autonomía y Descentralizació</w:t>
      </w:r>
      <w:r w:rsidR="001B5AA3" w:rsidRPr="00CF719D">
        <w:rPr>
          <w:rFonts w:ascii="Century Gothic" w:hAnsi="Century Gothic"/>
          <w:b/>
          <w:sz w:val="22"/>
          <w:szCs w:val="22"/>
        </w:rPr>
        <w:t xml:space="preserve">n; artículos: 3634 y 3635 </w:t>
      </w:r>
      <w:r w:rsidRPr="00CF719D">
        <w:rPr>
          <w:rFonts w:ascii="Century Gothic" w:hAnsi="Century Gothic"/>
          <w:b/>
          <w:sz w:val="22"/>
          <w:szCs w:val="22"/>
        </w:rPr>
        <w:t>contenidos en el Título IV, del Código Municipal pa</w:t>
      </w:r>
      <w:r w:rsidR="001B5AA3" w:rsidRPr="00CF719D">
        <w:rPr>
          <w:rFonts w:ascii="Century Gothic" w:hAnsi="Century Gothic"/>
          <w:b/>
          <w:sz w:val="22"/>
          <w:szCs w:val="22"/>
        </w:rPr>
        <w:t xml:space="preserve">ra el Distrito Metropolitano de </w:t>
      </w:r>
      <w:r w:rsidRPr="00CF719D">
        <w:rPr>
          <w:rFonts w:ascii="Century Gothic" w:hAnsi="Century Gothic"/>
          <w:b/>
          <w:sz w:val="22"/>
          <w:szCs w:val="22"/>
        </w:rPr>
        <w:t>Quito.</w:t>
      </w:r>
    </w:p>
    <w:p w:rsidR="00CF719D" w:rsidRDefault="00CF719D" w:rsidP="004A1782">
      <w:pPr>
        <w:jc w:val="both"/>
        <w:rPr>
          <w:rFonts w:ascii="Century Gothic" w:hAnsi="Century Gothic"/>
          <w:b/>
          <w:sz w:val="22"/>
          <w:szCs w:val="22"/>
        </w:rPr>
      </w:pPr>
    </w:p>
    <w:p w:rsidR="00CF719D" w:rsidRDefault="00CF719D" w:rsidP="00F1025C">
      <w:pPr>
        <w:jc w:val="center"/>
        <w:rPr>
          <w:rFonts w:ascii="Century Gothic" w:hAnsi="Century Gothic"/>
          <w:b/>
          <w:sz w:val="22"/>
          <w:szCs w:val="22"/>
        </w:rPr>
      </w:pPr>
      <w:r>
        <w:rPr>
          <w:rFonts w:ascii="Century Gothic" w:hAnsi="Century Gothic"/>
          <w:b/>
          <w:sz w:val="22"/>
          <w:szCs w:val="22"/>
        </w:rPr>
        <w:t>RESUELVE:</w:t>
      </w:r>
    </w:p>
    <w:p w:rsidR="00CF719D" w:rsidRDefault="00CF719D" w:rsidP="004A1782">
      <w:pPr>
        <w:jc w:val="both"/>
        <w:rPr>
          <w:rFonts w:ascii="Century Gothic" w:hAnsi="Century Gothic"/>
          <w:b/>
          <w:sz w:val="22"/>
          <w:szCs w:val="22"/>
        </w:rPr>
      </w:pPr>
    </w:p>
    <w:p w:rsidR="00C32402" w:rsidRDefault="00CF719D" w:rsidP="004A1782">
      <w:pPr>
        <w:jc w:val="both"/>
        <w:rPr>
          <w:rFonts w:ascii="Century Gothic" w:hAnsi="Century Gothic"/>
          <w:sz w:val="22"/>
          <w:szCs w:val="22"/>
        </w:rPr>
      </w:pPr>
      <w:r w:rsidRPr="00CF719D">
        <w:rPr>
          <w:rFonts w:ascii="Century Gothic" w:hAnsi="Century Gothic"/>
          <w:b/>
          <w:sz w:val="22"/>
          <w:szCs w:val="22"/>
        </w:rPr>
        <w:t>Artículo 1.-</w:t>
      </w:r>
      <w:r w:rsidRPr="00CF719D">
        <w:rPr>
          <w:rFonts w:ascii="Century Gothic" w:hAnsi="Century Gothic"/>
          <w:sz w:val="22"/>
          <w:szCs w:val="22"/>
        </w:rPr>
        <w:t xml:space="preserve"> Declarar y regularizar</w:t>
      </w:r>
      <w:r>
        <w:rPr>
          <w:rFonts w:ascii="Century Gothic" w:hAnsi="Century Gothic"/>
          <w:sz w:val="22"/>
          <w:szCs w:val="22"/>
        </w:rPr>
        <w:t xml:space="preserve"> como bien inmueble mostrenco e incorporarlo al catastro </w:t>
      </w:r>
      <w:r w:rsidRPr="00CF719D">
        <w:rPr>
          <w:rFonts w:ascii="Century Gothic" w:hAnsi="Century Gothic"/>
          <w:sz w:val="22"/>
          <w:szCs w:val="22"/>
        </w:rPr>
        <w:t>del Municipio del Distrito Metropolitano de Quito, como bien de dominio</w:t>
      </w:r>
      <w:r>
        <w:rPr>
          <w:rFonts w:ascii="Century Gothic" w:hAnsi="Century Gothic"/>
          <w:sz w:val="22"/>
          <w:szCs w:val="22"/>
        </w:rPr>
        <w:t xml:space="preserve"> </w:t>
      </w:r>
      <w:r w:rsidR="00C32402">
        <w:rPr>
          <w:rFonts w:ascii="Century Gothic" w:hAnsi="Century Gothic"/>
          <w:sz w:val="22"/>
          <w:szCs w:val="22"/>
        </w:rPr>
        <w:t xml:space="preserve">privado, el </w:t>
      </w:r>
      <w:r w:rsidR="00C32402" w:rsidRPr="00C32402">
        <w:rPr>
          <w:rFonts w:ascii="Century Gothic" w:hAnsi="Century Gothic"/>
          <w:sz w:val="22"/>
          <w:szCs w:val="22"/>
        </w:rPr>
        <w:t xml:space="preserve">inmueble colindante con el predio No. 801820 (Referencial), </w:t>
      </w:r>
      <w:r w:rsidR="00C32402" w:rsidRPr="00C32402">
        <w:rPr>
          <w:rFonts w:ascii="Century Gothic" w:hAnsi="Century Gothic"/>
          <w:sz w:val="22"/>
          <w:szCs w:val="22"/>
        </w:rPr>
        <w:lastRenderedPageBreak/>
        <w:t>clave catastral 31005-10-001 (Referencial), con un área de 48,86 m2, ubicado en la Parroquia San Bartolo, sector El Calzado, de conformidad con los datos técnicos constantes en la ficha técnica para la declaratoria de bienes mostrencos emitida por la Dirección Metropolitana de Catastro.</w:t>
      </w:r>
    </w:p>
    <w:p w:rsidR="00C32402" w:rsidRPr="00CF719D" w:rsidRDefault="00C32402" w:rsidP="004A1782">
      <w:pPr>
        <w:jc w:val="both"/>
        <w:rPr>
          <w:rFonts w:ascii="Century Gothic" w:hAnsi="Century Gothic"/>
          <w:sz w:val="22"/>
          <w:szCs w:val="22"/>
        </w:rPr>
      </w:pPr>
    </w:p>
    <w:p w:rsidR="00CF719D" w:rsidRDefault="00CF719D" w:rsidP="004A1782">
      <w:pPr>
        <w:jc w:val="both"/>
        <w:rPr>
          <w:rFonts w:ascii="Century Gothic" w:hAnsi="Century Gothic"/>
          <w:sz w:val="22"/>
          <w:szCs w:val="22"/>
        </w:rPr>
      </w:pPr>
      <w:r w:rsidRPr="00C32402">
        <w:rPr>
          <w:rFonts w:ascii="Century Gothic" w:hAnsi="Century Gothic"/>
          <w:b/>
          <w:sz w:val="22"/>
          <w:szCs w:val="22"/>
        </w:rPr>
        <w:t>Artículo 2.-</w:t>
      </w:r>
      <w:r w:rsidRPr="00CF719D">
        <w:rPr>
          <w:rFonts w:ascii="Century Gothic" w:hAnsi="Century Gothic"/>
          <w:sz w:val="22"/>
          <w:szCs w:val="22"/>
        </w:rPr>
        <w:t xml:space="preserve"> Disponer a la Secretaría de Comunicación la p</w:t>
      </w:r>
      <w:r w:rsidR="00C32402">
        <w:rPr>
          <w:rFonts w:ascii="Century Gothic" w:hAnsi="Century Gothic"/>
          <w:sz w:val="22"/>
          <w:szCs w:val="22"/>
        </w:rPr>
        <w:t xml:space="preserve">ublicación del extracto de esta </w:t>
      </w:r>
      <w:r w:rsidRPr="00CF719D">
        <w:rPr>
          <w:rFonts w:ascii="Century Gothic" w:hAnsi="Century Gothic"/>
          <w:sz w:val="22"/>
          <w:szCs w:val="22"/>
        </w:rPr>
        <w:t>resolución, de conformidad a lo est</w:t>
      </w:r>
      <w:r w:rsidR="00C32402">
        <w:rPr>
          <w:rFonts w:ascii="Century Gothic" w:hAnsi="Century Gothic"/>
          <w:sz w:val="22"/>
          <w:szCs w:val="22"/>
        </w:rPr>
        <w:t xml:space="preserve">ablecido en el artículo 3647 del Código Municipal </w:t>
      </w:r>
      <w:r w:rsidRPr="00CF719D">
        <w:rPr>
          <w:rFonts w:ascii="Century Gothic" w:hAnsi="Century Gothic"/>
          <w:sz w:val="22"/>
          <w:szCs w:val="22"/>
        </w:rPr>
        <w:t>para el Distrito Metropolitano de Quito.</w:t>
      </w:r>
    </w:p>
    <w:p w:rsidR="00C32402" w:rsidRPr="00CF719D" w:rsidRDefault="00C32402" w:rsidP="004A1782">
      <w:pPr>
        <w:jc w:val="both"/>
        <w:rPr>
          <w:rFonts w:ascii="Century Gothic" w:hAnsi="Century Gothic"/>
          <w:sz w:val="22"/>
          <w:szCs w:val="22"/>
        </w:rPr>
      </w:pPr>
    </w:p>
    <w:p w:rsidR="00CF719D" w:rsidRPr="00CF719D" w:rsidRDefault="00CF719D" w:rsidP="004A1782">
      <w:pPr>
        <w:jc w:val="both"/>
        <w:rPr>
          <w:rFonts w:ascii="Century Gothic" w:hAnsi="Century Gothic"/>
          <w:sz w:val="22"/>
          <w:szCs w:val="22"/>
        </w:rPr>
      </w:pPr>
      <w:r w:rsidRPr="00C32402">
        <w:rPr>
          <w:rFonts w:ascii="Century Gothic" w:hAnsi="Century Gothic"/>
          <w:b/>
          <w:sz w:val="22"/>
          <w:szCs w:val="22"/>
        </w:rPr>
        <w:t>Artículo 3.-</w:t>
      </w:r>
      <w:r w:rsidRPr="00CF719D">
        <w:rPr>
          <w:rFonts w:ascii="Century Gothic" w:hAnsi="Century Gothic"/>
          <w:sz w:val="22"/>
          <w:szCs w:val="22"/>
        </w:rPr>
        <w:t xml:space="preserve"> Encárguese a la Procuraduría Metropolitana realizar los trámites</w:t>
      </w:r>
    </w:p>
    <w:p w:rsidR="00CF719D" w:rsidRDefault="00CF719D" w:rsidP="004A1782">
      <w:pPr>
        <w:jc w:val="both"/>
        <w:rPr>
          <w:rFonts w:ascii="Century Gothic" w:hAnsi="Century Gothic"/>
          <w:sz w:val="22"/>
          <w:szCs w:val="22"/>
        </w:rPr>
      </w:pPr>
      <w:r w:rsidRPr="00CF719D">
        <w:rPr>
          <w:rFonts w:ascii="Century Gothic" w:hAnsi="Century Gothic"/>
          <w:sz w:val="22"/>
          <w:szCs w:val="22"/>
        </w:rPr>
        <w:t>administrativos correspondientes a fin de que se protocolice e</w:t>
      </w:r>
      <w:r w:rsidR="00C32402">
        <w:rPr>
          <w:rFonts w:ascii="Century Gothic" w:hAnsi="Century Gothic"/>
          <w:sz w:val="22"/>
          <w:szCs w:val="22"/>
        </w:rPr>
        <w:t xml:space="preserve"> inscriba esta resolución en el </w:t>
      </w:r>
      <w:r w:rsidRPr="00CF719D">
        <w:rPr>
          <w:rFonts w:ascii="Century Gothic" w:hAnsi="Century Gothic"/>
          <w:sz w:val="22"/>
          <w:szCs w:val="22"/>
        </w:rPr>
        <w:t>Registro de la Propiedad del Distrito Metropolitano de Quito.</w:t>
      </w:r>
    </w:p>
    <w:p w:rsidR="00C32402" w:rsidRPr="00CF719D" w:rsidRDefault="00C32402" w:rsidP="004A1782">
      <w:pPr>
        <w:jc w:val="both"/>
        <w:rPr>
          <w:rFonts w:ascii="Century Gothic" w:hAnsi="Century Gothic"/>
          <w:sz w:val="22"/>
          <w:szCs w:val="22"/>
        </w:rPr>
      </w:pPr>
    </w:p>
    <w:p w:rsidR="00CF719D" w:rsidRDefault="00CF719D" w:rsidP="004A1782">
      <w:pPr>
        <w:jc w:val="both"/>
        <w:rPr>
          <w:rFonts w:ascii="Century Gothic" w:hAnsi="Century Gothic"/>
          <w:sz w:val="22"/>
          <w:szCs w:val="22"/>
        </w:rPr>
      </w:pPr>
      <w:r w:rsidRPr="00C32402">
        <w:rPr>
          <w:rFonts w:ascii="Century Gothic" w:hAnsi="Century Gothic"/>
          <w:b/>
          <w:sz w:val="22"/>
          <w:szCs w:val="22"/>
        </w:rPr>
        <w:t>Disposición Transitoria. -</w:t>
      </w:r>
      <w:r w:rsidRPr="00CF719D">
        <w:rPr>
          <w:rFonts w:ascii="Century Gothic" w:hAnsi="Century Gothic"/>
          <w:sz w:val="22"/>
          <w:szCs w:val="22"/>
        </w:rPr>
        <w:t xml:space="preserve"> Encárguese al Registro de la P</w:t>
      </w:r>
      <w:r w:rsidR="00C32402">
        <w:rPr>
          <w:rFonts w:ascii="Century Gothic" w:hAnsi="Century Gothic"/>
          <w:sz w:val="22"/>
          <w:szCs w:val="22"/>
        </w:rPr>
        <w:t xml:space="preserve">ropiedad que en el término de 5 </w:t>
      </w:r>
      <w:r w:rsidRPr="00CF719D">
        <w:rPr>
          <w:rFonts w:ascii="Century Gothic" w:hAnsi="Century Gothic"/>
          <w:sz w:val="22"/>
          <w:szCs w:val="22"/>
        </w:rPr>
        <w:t xml:space="preserve">días subsane y actualice la información necesaria de este </w:t>
      </w:r>
      <w:r w:rsidR="00C32402">
        <w:rPr>
          <w:rFonts w:ascii="Century Gothic" w:hAnsi="Century Gothic"/>
          <w:sz w:val="22"/>
          <w:szCs w:val="22"/>
        </w:rPr>
        <w:t xml:space="preserve">inmueble municipal, para que se </w:t>
      </w:r>
      <w:r w:rsidRPr="00CF719D">
        <w:rPr>
          <w:rFonts w:ascii="Century Gothic" w:hAnsi="Century Gothic"/>
          <w:sz w:val="22"/>
          <w:szCs w:val="22"/>
        </w:rPr>
        <w:t>pueda incluir en el expediente de este proceso el certificado de búsqueda correspondiente.</w:t>
      </w:r>
    </w:p>
    <w:p w:rsidR="00C32402" w:rsidRPr="00CF719D" w:rsidRDefault="00C32402" w:rsidP="004A1782">
      <w:pPr>
        <w:jc w:val="both"/>
        <w:rPr>
          <w:rFonts w:ascii="Century Gothic" w:hAnsi="Century Gothic"/>
          <w:sz w:val="22"/>
          <w:szCs w:val="22"/>
        </w:rPr>
      </w:pPr>
    </w:p>
    <w:p w:rsidR="00CF719D" w:rsidRDefault="00CF719D" w:rsidP="004A1782">
      <w:pPr>
        <w:jc w:val="both"/>
        <w:rPr>
          <w:rFonts w:ascii="Century Gothic" w:hAnsi="Century Gothic"/>
          <w:sz w:val="22"/>
          <w:szCs w:val="22"/>
        </w:rPr>
      </w:pPr>
      <w:r w:rsidRPr="00C32402">
        <w:rPr>
          <w:rFonts w:ascii="Century Gothic" w:hAnsi="Century Gothic"/>
          <w:b/>
          <w:sz w:val="22"/>
          <w:szCs w:val="22"/>
        </w:rPr>
        <w:t>Disposición Final. -</w:t>
      </w:r>
      <w:r w:rsidRPr="00CF719D">
        <w:rPr>
          <w:rFonts w:ascii="Century Gothic" w:hAnsi="Century Gothic"/>
          <w:sz w:val="22"/>
          <w:szCs w:val="22"/>
        </w:rPr>
        <w:t xml:space="preserve"> La presente Resolución entrará en vigencia a partir de su suscripci</w:t>
      </w:r>
      <w:r w:rsidR="00C32402">
        <w:rPr>
          <w:rFonts w:ascii="Century Gothic" w:hAnsi="Century Gothic"/>
          <w:sz w:val="22"/>
          <w:szCs w:val="22"/>
        </w:rPr>
        <w:t xml:space="preserve">ón </w:t>
      </w:r>
      <w:r w:rsidRPr="00CF719D">
        <w:rPr>
          <w:rFonts w:ascii="Century Gothic" w:hAnsi="Century Gothic"/>
          <w:sz w:val="22"/>
          <w:szCs w:val="22"/>
        </w:rPr>
        <w:t>sin perjuicio de su publicación.</w:t>
      </w:r>
    </w:p>
    <w:p w:rsidR="00C32402" w:rsidRPr="00CF719D" w:rsidRDefault="00C32402" w:rsidP="004A1782">
      <w:pPr>
        <w:jc w:val="both"/>
        <w:rPr>
          <w:rFonts w:ascii="Century Gothic" w:hAnsi="Century Gothic"/>
          <w:sz w:val="22"/>
          <w:szCs w:val="22"/>
        </w:rPr>
      </w:pPr>
    </w:p>
    <w:p w:rsidR="00CF719D" w:rsidRPr="00CF719D" w:rsidRDefault="00CF719D" w:rsidP="004A1782">
      <w:pPr>
        <w:jc w:val="both"/>
        <w:rPr>
          <w:rFonts w:ascii="Century Gothic" w:hAnsi="Century Gothic"/>
          <w:sz w:val="22"/>
          <w:szCs w:val="22"/>
        </w:rPr>
      </w:pPr>
      <w:r w:rsidRPr="00CF719D">
        <w:rPr>
          <w:rFonts w:ascii="Century Gothic" w:hAnsi="Century Gothic"/>
          <w:sz w:val="22"/>
          <w:szCs w:val="22"/>
        </w:rPr>
        <w:t xml:space="preserve">Dada en la sesión del Concejo Metropolitano de Quito, </w:t>
      </w:r>
      <w:r w:rsidR="00C32402">
        <w:rPr>
          <w:rFonts w:ascii="Century Gothic" w:hAnsi="Century Gothic"/>
          <w:sz w:val="22"/>
          <w:szCs w:val="22"/>
        </w:rPr>
        <w:t>el XX de XXXXXX</w:t>
      </w:r>
      <w:r w:rsidRPr="00CF719D">
        <w:rPr>
          <w:rFonts w:ascii="Century Gothic" w:hAnsi="Century Gothic"/>
          <w:sz w:val="22"/>
          <w:szCs w:val="22"/>
        </w:rPr>
        <w:t xml:space="preserve"> de</w:t>
      </w:r>
    </w:p>
    <w:p w:rsidR="00CF719D" w:rsidRPr="00CF719D" w:rsidRDefault="00C32402" w:rsidP="004A1782">
      <w:pPr>
        <w:jc w:val="both"/>
        <w:rPr>
          <w:rFonts w:ascii="Century Gothic" w:hAnsi="Century Gothic"/>
          <w:sz w:val="22"/>
          <w:szCs w:val="22"/>
        </w:rPr>
      </w:pPr>
      <w:r>
        <w:rPr>
          <w:rFonts w:ascii="Century Gothic" w:hAnsi="Century Gothic"/>
          <w:sz w:val="22"/>
          <w:szCs w:val="22"/>
        </w:rPr>
        <w:t>XXXX</w:t>
      </w:r>
      <w:r w:rsidR="00CF719D" w:rsidRPr="00CF719D">
        <w:rPr>
          <w:rFonts w:ascii="Century Gothic" w:hAnsi="Century Gothic"/>
          <w:sz w:val="22"/>
          <w:szCs w:val="22"/>
        </w:rPr>
        <w:t>.</w:t>
      </w:r>
    </w:p>
    <w:p w:rsidR="00C32402" w:rsidRDefault="00C32402" w:rsidP="004A1782">
      <w:pPr>
        <w:jc w:val="both"/>
        <w:rPr>
          <w:rFonts w:ascii="Century Gothic" w:hAnsi="Century Gothic"/>
          <w:sz w:val="22"/>
          <w:szCs w:val="22"/>
        </w:rPr>
      </w:pPr>
    </w:p>
    <w:p w:rsidR="00CF719D" w:rsidRDefault="00CF719D" w:rsidP="004A1782">
      <w:pPr>
        <w:jc w:val="both"/>
        <w:rPr>
          <w:rFonts w:ascii="Century Gothic" w:hAnsi="Century Gothic"/>
          <w:sz w:val="22"/>
          <w:szCs w:val="22"/>
        </w:rPr>
      </w:pPr>
      <w:r w:rsidRPr="00F1025C">
        <w:rPr>
          <w:rFonts w:ascii="Century Gothic" w:hAnsi="Century Gothic"/>
          <w:b/>
          <w:sz w:val="22"/>
          <w:szCs w:val="22"/>
        </w:rPr>
        <w:t xml:space="preserve">Alcaldía del Distrito Metropolitano. </w:t>
      </w:r>
      <w:r w:rsidRPr="00CF719D">
        <w:rPr>
          <w:rFonts w:ascii="Century Gothic" w:hAnsi="Century Gothic"/>
          <w:sz w:val="22"/>
          <w:szCs w:val="22"/>
        </w:rPr>
        <w:t>- Dist</w:t>
      </w:r>
      <w:r w:rsidR="00C32402">
        <w:rPr>
          <w:rFonts w:ascii="Century Gothic" w:hAnsi="Century Gothic"/>
          <w:sz w:val="22"/>
          <w:szCs w:val="22"/>
        </w:rPr>
        <w:t>rito Metropolitano de Quito,</w:t>
      </w:r>
    </w:p>
    <w:p w:rsidR="00C32402" w:rsidRDefault="00C32402" w:rsidP="00CF719D">
      <w:pPr>
        <w:rPr>
          <w:rFonts w:ascii="Century Gothic" w:hAnsi="Century Gothic"/>
          <w:sz w:val="22"/>
          <w:szCs w:val="22"/>
        </w:rPr>
      </w:pPr>
    </w:p>
    <w:p w:rsidR="00C32402" w:rsidRDefault="00C32402" w:rsidP="00CF719D">
      <w:pPr>
        <w:rPr>
          <w:rFonts w:ascii="Century Gothic" w:hAnsi="Century Gothic"/>
          <w:sz w:val="22"/>
          <w:szCs w:val="22"/>
        </w:rPr>
      </w:pPr>
    </w:p>
    <w:p w:rsidR="00C32402" w:rsidRDefault="00C32402" w:rsidP="00CF719D">
      <w:pPr>
        <w:rPr>
          <w:rFonts w:ascii="Century Gothic" w:hAnsi="Century Gothic"/>
          <w:sz w:val="22"/>
          <w:szCs w:val="22"/>
        </w:rPr>
      </w:pPr>
    </w:p>
    <w:p w:rsidR="00C32402" w:rsidRDefault="00C32402" w:rsidP="00CF719D">
      <w:pPr>
        <w:rPr>
          <w:rFonts w:ascii="Century Gothic" w:hAnsi="Century Gothic"/>
          <w:sz w:val="22"/>
          <w:szCs w:val="22"/>
        </w:rPr>
      </w:pPr>
    </w:p>
    <w:p w:rsidR="00C32402" w:rsidRDefault="00C32402" w:rsidP="00CF719D">
      <w:pPr>
        <w:rPr>
          <w:rFonts w:ascii="Century Gothic" w:hAnsi="Century Gothic"/>
          <w:sz w:val="22"/>
          <w:szCs w:val="22"/>
        </w:rPr>
      </w:pPr>
    </w:p>
    <w:p w:rsidR="00C32402" w:rsidRDefault="00C32402" w:rsidP="00CF719D">
      <w:pPr>
        <w:rPr>
          <w:rFonts w:ascii="Century Gothic" w:hAnsi="Century Gothic"/>
          <w:sz w:val="22"/>
          <w:szCs w:val="22"/>
        </w:rPr>
      </w:pPr>
    </w:p>
    <w:p w:rsidR="00C32402" w:rsidRDefault="00C32402" w:rsidP="00C32402">
      <w:pPr>
        <w:jc w:val="center"/>
        <w:rPr>
          <w:rFonts w:ascii="Century Gothic" w:hAnsi="Century Gothic"/>
          <w:sz w:val="22"/>
          <w:szCs w:val="22"/>
        </w:rPr>
      </w:pPr>
      <w:r>
        <w:rPr>
          <w:rFonts w:ascii="Century Gothic" w:hAnsi="Century Gothic"/>
          <w:sz w:val="22"/>
          <w:szCs w:val="22"/>
        </w:rPr>
        <w:t xml:space="preserve">Dr. Santiago Mauricio </w:t>
      </w:r>
      <w:proofErr w:type="spellStart"/>
      <w:r>
        <w:rPr>
          <w:rFonts w:ascii="Century Gothic" w:hAnsi="Century Gothic"/>
          <w:sz w:val="22"/>
          <w:szCs w:val="22"/>
        </w:rPr>
        <w:t>Guarderas</w:t>
      </w:r>
      <w:proofErr w:type="spellEnd"/>
      <w:r>
        <w:rPr>
          <w:rFonts w:ascii="Century Gothic" w:hAnsi="Century Gothic"/>
          <w:sz w:val="22"/>
          <w:szCs w:val="22"/>
        </w:rPr>
        <w:t xml:space="preserve"> Izquierdo</w:t>
      </w:r>
    </w:p>
    <w:p w:rsidR="00C32402" w:rsidRPr="00C32402" w:rsidRDefault="00C32402" w:rsidP="00C32402">
      <w:pPr>
        <w:jc w:val="center"/>
        <w:rPr>
          <w:rFonts w:ascii="Century Gothic" w:hAnsi="Century Gothic"/>
          <w:b/>
          <w:sz w:val="22"/>
          <w:szCs w:val="22"/>
        </w:rPr>
      </w:pPr>
      <w:r w:rsidRPr="00C32402">
        <w:rPr>
          <w:rFonts w:ascii="Century Gothic" w:hAnsi="Century Gothic"/>
          <w:b/>
          <w:sz w:val="22"/>
          <w:szCs w:val="22"/>
        </w:rPr>
        <w:t>ALCALDE DEL DISTRITO METROPOLITANO DE QUITO</w:t>
      </w:r>
    </w:p>
    <w:p w:rsidR="00C32402" w:rsidRDefault="00C32402" w:rsidP="00C32402">
      <w:pPr>
        <w:rPr>
          <w:rFonts w:ascii="Century Gothic" w:hAnsi="Century Gothic"/>
          <w:sz w:val="22"/>
          <w:szCs w:val="22"/>
        </w:rPr>
      </w:pPr>
    </w:p>
    <w:p w:rsidR="00C32402" w:rsidRDefault="00C32402" w:rsidP="00C32402">
      <w:pPr>
        <w:rPr>
          <w:rFonts w:ascii="Century Gothic" w:hAnsi="Century Gothic"/>
          <w:sz w:val="22"/>
          <w:szCs w:val="22"/>
        </w:rPr>
      </w:pPr>
      <w:r w:rsidRPr="00C32402">
        <w:rPr>
          <w:rFonts w:ascii="Century Gothic" w:hAnsi="Century Gothic"/>
          <w:sz w:val="22"/>
          <w:szCs w:val="22"/>
        </w:rPr>
        <w:t>CERTIFICO, que la presente resolución fue discutida</w:t>
      </w:r>
      <w:r>
        <w:rPr>
          <w:rFonts w:ascii="Century Gothic" w:hAnsi="Century Gothic"/>
          <w:sz w:val="22"/>
          <w:szCs w:val="22"/>
        </w:rPr>
        <w:t xml:space="preserve"> y aprobada en la sesión No. XXXX </w:t>
      </w:r>
      <w:r w:rsidRPr="00C32402">
        <w:rPr>
          <w:rFonts w:ascii="Century Gothic" w:hAnsi="Century Gothic"/>
          <w:sz w:val="22"/>
          <w:szCs w:val="22"/>
        </w:rPr>
        <w:t xml:space="preserve">ordinaria del Concejo Metropolitano de Quito, </w:t>
      </w:r>
      <w:r>
        <w:rPr>
          <w:rFonts w:ascii="Century Gothic" w:hAnsi="Century Gothic"/>
          <w:sz w:val="22"/>
          <w:szCs w:val="22"/>
        </w:rPr>
        <w:t xml:space="preserve">el XX de XXXX de XXXX; y suscrita por el Dr. Santiago Mauricio </w:t>
      </w:r>
      <w:proofErr w:type="spellStart"/>
      <w:r>
        <w:rPr>
          <w:rFonts w:ascii="Century Gothic" w:hAnsi="Century Gothic"/>
          <w:sz w:val="22"/>
          <w:szCs w:val="22"/>
        </w:rPr>
        <w:t>Guarderas</w:t>
      </w:r>
      <w:proofErr w:type="spellEnd"/>
      <w:r>
        <w:rPr>
          <w:rFonts w:ascii="Century Gothic" w:hAnsi="Century Gothic"/>
          <w:sz w:val="22"/>
          <w:szCs w:val="22"/>
        </w:rPr>
        <w:t xml:space="preserve"> Izquierdo, Alcalde del Distrito Metropolitano de Quito, el XX de XXXX de XXXX. </w:t>
      </w:r>
    </w:p>
    <w:p w:rsidR="00C32402" w:rsidRDefault="00C32402" w:rsidP="00C32402">
      <w:pPr>
        <w:rPr>
          <w:rFonts w:ascii="Century Gothic" w:hAnsi="Century Gothic"/>
          <w:sz w:val="22"/>
          <w:szCs w:val="22"/>
        </w:rPr>
      </w:pPr>
    </w:p>
    <w:p w:rsidR="00C32402" w:rsidRDefault="00C32402" w:rsidP="00C32402">
      <w:pPr>
        <w:rPr>
          <w:rFonts w:ascii="Century Gothic" w:hAnsi="Century Gothic"/>
          <w:sz w:val="22"/>
          <w:szCs w:val="22"/>
        </w:rPr>
      </w:pPr>
      <w:r w:rsidRPr="00C32402">
        <w:rPr>
          <w:rFonts w:ascii="Century Gothic" w:hAnsi="Century Gothic"/>
          <w:b/>
          <w:sz w:val="22"/>
          <w:szCs w:val="22"/>
        </w:rPr>
        <w:t>Lo certifico. -</w:t>
      </w:r>
      <w:r w:rsidRPr="00C32402">
        <w:rPr>
          <w:rFonts w:ascii="Century Gothic" w:hAnsi="Century Gothic"/>
          <w:sz w:val="22"/>
          <w:szCs w:val="22"/>
        </w:rPr>
        <w:t xml:space="preserve"> Dis</w:t>
      </w:r>
      <w:r>
        <w:rPr>
          <w:rFonts w:ascii="Century Gothic" w:hAnsi="Century Gothic"/>
          <w:sz w:val="22"/>
          <w:szCs w:val="22"/>
        </w:rPr>
        <w:t xml:space="preserve">trito Metropolitano de Quito, </w:t>
      </w:r>
      <w:bookmarkStart w:id="0" w:name="_GoBack"/>
      <w:bookmarkEnd w:id="0"/>
    </w:p>
    <w:p w:rsidR="00C32402" w:rsidRDefault="00C32402" w:rsidP="00C32402">
      <w:pPr>
        <w:rPr>
          <w:rFonts w:ascii="Century Gothic" w:hAnsi="Century Gothic"/>
          <w:sz w:val="22"/>
          <w:szCs w:val="22"/>
        </w:rPr>
      </w:pPr>
    </w:p>
    <w:p w:rsidR="00C32402" w:rsidRDefault="00C32402" w:rsidP="00C32402">
      <w:pPr>
        <w:rPr>
          <w:rFonts w:ascii="Century Gothic" w:hAnsi="Century Gothic"/>
          <w:sz w:val="22"/>
          <w:szCs w:val="22"/>
        </w:rPr>
      </w:pPr>
    </w:p>
    <w:p w:rsidR="00C32402" w:rsidRDefault="00C32402" w:rsidP="00C32402">
      <w:pPr>
        <w:rPr>
          <w:rFonts w:ascii="Century Gothic" w:hAnsi="Century Gothic"/>
          <w:sz w:val="22"/>
          <w:szCs w:val="22"/>
        </w:rPr>
      </w:pPr>
    </w:p>
    <w:p w:rsidR="00C32402" w:rsidRDefault="00C32402" w:rsidP="00C32402">
      <w:pPr>
        <w:rPr>
          <w:rFonts w:ascii="Century Gothic" w:hAnsi="Century Gothic"/>
          <w:sz w:val="22"/>
          <w:szCs w:val="22"/>
        </w:rPr>
      </w:pPr>
    </w:p>
    <w:p w:rsidR="00C32402" w:rsidRDefault="00C32402" w:rsidP="00C32402">
      <w:pPr>
        <w:rPr>
          <w:rFonts w:ascii="Century Gothic" w:hAnsi="Century Gothic"/>
          <w:sz w:val="22"/>
          <w:szCs w:val="22"/>
        </w:rPr>
      </w:pPr>
    </w:p>
    <w:p w:rsidR="00C32402" w:rsidRPr="002309CF" w:rsidRDefault="00C32402" w:rsidP="00C32402">
      <w:pPr>
        <w:pStyle w:val="Sinespaciado"/>
        <w:jc w:val="center"/>
        <w:rPr>
          <w:rFonts w:ascii="Century Gothic" w:hAnsi="Century Gothic" w:cs="Times New Roman"/>
        </w:rPr>
      </w:pPr>
      <w:r w:rsidRPr="002309CF">
        <w:rPr>
          <w:rFonts w:ascii="Century Gothic" w:hAnsi="Century Gothic" w:cs="Times New Roman"/>
        </w:rPr>
        <w:t>Abg. Pablo Antonio Santillán Paredes</w:t>
      </w:r>
    </w:p>
    <w:p w:rsidR="00C32402" w:rsidRPr="002309CF" w:rsidRDefault="00C32402" w:rsidP="00C32402">
      <w:pPr>
        <w:pStyle w:val="Sinespaciado"/>
        <w:jc w:val="center"/>
        <w:rPr>
          <w:rFonts w:ascii="Century Gothic" w:hAnsi="Century Gothic" w:cs="Times New Roman"/>
        </w:rPr>
      </w:pPr>
      <w:r w:rsidRPr="002309CF">
        <w:rPr>
          <w:rFonts w:ascii="Century Gothic" w:hAnsi="Century Gothic" w:cs="Times New Roman"/>
          <w:b/>
        </w:rPr>
        <w:t xml:space="preserve">SECRETARIO GENERAL DEL CONCEJO METROPOLITANO DE QUITO </w:t>
      </w:r>
    </w:p>
    <w:p w:rsidR="00CF719D" w:rsidRDefault="00CF719D" w:rsidP="001B5AA3">
      <w:pPr>
        <w:jc w:val="both"/>
        <w:rPr>
          <w:rFonts w:ascii="Century Gothic" w:hAnsi="Century Gothic"/>
          <w:b/>
          <w:sz w:val="22"/>
          <w:szCs w:val="22"/>
        </w:rPr>
      </w:pPr>
    </w:p>
    <w:p w:rsidR="00CF719D" w:rsidRPr="00CF719D" w:rsidRDefault="00CF719D" w:rsidP="001B5AA3">
      <w:pPr>
        <w:jc w:val="both"/>
        <w:rPr>
          <w:rFonts w:ascii="Century Gothic" w:hAnsi="Century Gothic"/>
          <w:b/>
          <w:sz w:val="22"/>
          <w:szCs w:val="22"/>
        </w:rPr>
      </w:pPr>
    </w:p>
    <w:sectPr w:rsidR="00CF719D" w:rsidRPr="00CF719D" w:rsidSect="00385EC1">
      <w:headerReference w:type="default" r:id="rId6"/>
      <w:pgSz w:w="11906" w:h="16838"/>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42" w:rsidRDefault="00DB0442" w:rsidP="008D21E3">
      <w:r>
        <w:separator/>
      </w:r>
    </w:p>
  </w:endnote>
  <w:endnote w:type="continuationSeparator" w:id="0">
    <w:p w:rsidR="00DB0442" w:rsidRDefault="00DB0442" w:rsidP="008D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42" w:rsidRDefault="00DB0442" w:rsidP="008D21E3">
      <w:r>
        <w:separator/>
      </w:r>
    </w:p>
  </w:footnote>
  <w:footnote w:type="continuationSeparator" w:id="0">
    <w:p w:rsidR="00DB0442" w:rsidRDefault="00DB0442" w:rsidP="008D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E3" w:rsidRDefault="008D21E3">
    <w:pPr>
      <w:pStyle w:val="Encabezado"/>
    </w:pPr>
    <w:r w:rsidRPr="00B93BB7">
      <w:rPr>
        <w:noProof/>
        <w:lang w:val="es-EC" w:eastAsia="es-EC"/>
      </w:rPr>
      <w:drawing>
        <wp:anchor distT="0" distB="0" distL="114300" distR="114300" simplePos="0" relativeHeight="251659264" behindDoc="0" locked="0" layoutInCell="1" allowOverlap="1" wp14:anchorId="499EDBE7" wp14:editId="6E670CE6">
          <wp:simplePos x="0" y="0"/>
          <wp:positionH relativeFrom="margin">
            <wp:align>center</wp:align>
          </wp:positionH>
          <wp:positionV relativeFrom="paragraph">
            <wp:posOffset>-775335</wp:posOffset>
          </wp:positionV>
          <wp:extent cx="546100" cy="800100"/>
          <wp:effectExtent l="0" t="0" r="6350" b="0"/>
          <wp:wrapSquare wrapText="bothSides"/>
          <wp:docPr id="1" name="Imagen 1" descr="Resultado de imagen de escudo de qui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Resultado de imagen de escudo de quit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F"/>
    <w:rsid w:val="001A7AEC"/>
    <w:rsid w:val="001B5AA3"/>
    <w:rsid w:val="001F6A78"/>
    <w:rsid w:val="00385EC1"/>
    <w:rsid w:val="0042758F"/>
    <w:rsid w:val="00452862"/>
    <w:rsid w:val="004A1782"/>
    <w:rsid w:val="005E340F"/>
    <w:rsid w:val="00690E77"/>
    <w:rsid w:val="008D21E3"/>
    <w:rsid w:val="008E7696"/>
    <w:rsid w:val="009E297D"/>
    <w:rsid w:val="00A83681"/>
    <w:rsid w:val="00AB0D77"/>
    <w:rsid w:val="00B33289"/>
    <w:rsid w:val="00B35F67"/>
    <w:rsid w:val="00BE596D"/>
    <w:rsid w:val="00C32402"/>
    <w:rsid w:val="00C55BF9"/>
    <w:rsid w:val="00C5708A"/>
    <w:rsid w:val="00CC4DB7"/>
    <w:rsid w:val="00CF719D"/>
    <w:rsid w:val="00D80CBE"/>
    <w:rsid w:val="00DB0442"/>
    <w:rsid w:val="00DB3FC6"/>
    <w:rsid w:val="00E34463"/>
    <w:rsid w:val="00F1025C"/>
    <w:rsid w:val="00F4106C"/>
    <w:rsid w:val="00F80205"/>
    <w:rsid w:val="00F803D4"/>
    <w:rsid w:val="00F8405B"/>
    <w:rsid w:val="00FF5C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58C3"/>
  <w15:chartTrackingRefBased/>
  <w15:docId w15:val="{E3C3FFD4-E256-4E86-9106-E3499316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1E3"/>
    <w:pPr>
      <w:tabs>
        <w:tab w:val="center" w:pos="4252"/>
        <w:tab w:val="right" w:pos="8504"/>
      </w:tabs>
    </w:pPr>
  </w:style>
  <w:style w:type="character" w:customStyle="1" w:styleId="EncabezadoCar">
    <w:name w:val="Encabezado Car"/>
    <w:basedOn w:val="Fuentedeprrafopredeter"/>
    <w:link w:val="Encabezado"/>
    <w:uiPriority w:val="99"/>
    <w:rsid w:val="008D21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D21E3"/>
    <w:pPr>
      <w:tabs>
        <w:tab w:val="center" w:pos="4252"/>
        <w:tab w:val="right" w:pos="8504"/>
      </w:tabs>
    </w:pPr>
  </w:style>
  <w:style w:type="character" w:customStyle="1" w:styleId="PiedepginaCar">
    <w:name w:val="Pie de página Car"/>
    <w:basedOn w:val="Fuentedeprrafopredeter"/>
    <w:link w:val="Piedepgina"/>
    <w:uiPriority w:val="99"/>
    <w:rsid w:val="008D21E3"/>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locked/>
    <w:rsid w:val="00F8405B"/>
  </w:style>
  <w:style w:type="paragraph" w:styleId="Sinespaciado">
    <w:name w:val="No Spacing"/>
    <w:basedOn w:val="Normal"/>
    <w:link w:val="SinespaciadoCar"/>
    <w:uiPriority w:val="1"/>
    <w:qFormat/>
    <w:rsid w:val="00F8405B"/>
    <w:pPr>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7</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Stephany Andrade Pinto</dc:creator>
  <cp:keywords/>
  <dc:description/>
  <cp:lastModifiedBy>Doris Stephany Andrade Pinto</cp:lastModifiedBy>
  <cp:revision>4</cp:revision>
  <dcterms:created xsi:type="dcterms:W3CDTF">2021-11-29T12:54:00Z</dcterms:created>
  <dcterms:modified xsi:type="dcterms:W3CDTF">2021-11-30T18:43:00Z</dcterms:modified>
</cp:coreProperties>
</file>